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
        <w:spacing w:after="0"/>
        <w:rPr>
          <w:sz w:val="20"/>
          <w:szCs w:val="20"/>
          <w:color w:val="auto"/>
        </w:rPr>
      </w:pPr>
      <w:r>
        <w:rPr>
          <w:rFonts w:ascii="Arial" w:cs="Arial" w:eastAsia="Arial" w:hAnsi="Arial"/>
          <w:sz w:val="17"/>
          <w:szCs w:val="17"/>
          <w:b w:val="1"/>
          <w:bCs w:val="1"/>
          <w:color w:val="auto"/>
        </w:rPr>
        <w:t>UNITED STATES</w:t>
      </w:r>
    </w:p>
    <w:p>
      <w:pPr>
        <w:spacing w:after="0" w:line="21" w:lineRule="exact"/>
        <w:rPr>
          <w:sz w:val="24"/>
          <w:szCs w:val="24"/>
          <w:color w:val="auto"/>
        </w:rPr>
      </w:pPr>
    </w:p>
    <w:p>
      <w:pPr>
        <w:jc w:val="center"/>
        <w:ind w:right="-87"/>
        <w:spacing w:after="0"/>
        <w:rPr>
          <w:sz w:val="20"/>
          <w:szCs w:val="20"/>
          <w:color w:val="auto"/>
        </w:rPr>
      </w:pPr>
      <w:r>
        <w:rPr>
          <w:rFonts w:ascii="Arial" w:cs="Arial" w:eastAsia="Arial" w:hAnsi="Arial"/>
          <w:sz w:val="17"/>
          <w:szCs w:val="17"/>
          <w:b w:val="1"/>
          <w:bCs w:val="1"/>
          <w:color w:val="auto"/>
        </w:rPr>
        <w:t>SECURITIES AND EXCHANGE COMMISSION</w:t>
      </w:r>
    </w:p>
    <w:p>
      <w:pPr>
        <w:jc w:val="center"/>
        <w:ind w:right="-87"/>
        <w:spacing w:after="0"/>
        <w:rPr>
          <w:sz w:val="20"/>
          <w:szCs w:val="20"/>
          <w:color w:val="auto"/>
        </w:rPr>
      </w:pPr>
      <w:r>
        <w:rPr>
          <w:rFonts w:ascii="Arial" w:cs="Arial" w:eastAsia="Arial" w:hAnsi="Arial"/>
          <w:sz w:val="12"/>
          <w:szCs w:val="12"/>
          <w:b w:val="1"/>
          <w:bCs w:val="1"/>
          <w:color w:val="auto"/>
        </w:rPr>
        <w:t>Washington, D. C. 20549</w:t>
      </w:r>
    </w:p>
    <w:p>
      <w:pPr>
        <w:spacing w:after="0" w:line="306" w:lineRule="exact"/>
        <w:rPr>
          <w:sz w:val="24"/>
          <w:szCs w:val="24"/>
          <w:color w:val="auto"/>
        </w:rPr>
      </w:pPr>
    </w:p>
    <w:p>
      <w:pPr>
        <w:jc w:val="center"/>
        <w:ind w:right="-87"/>
        <w:spacing w:after="0"/>
        <w:rPr>
          <w:sz w:val="20"/>
          <w:szCs w:val="20"/>
          <w:color w:val="auto"/>
        </w:rPr>
      </w:pPr>
      <w:r>
        <w:rPr>
          <w:rFonts w:ascii="Arial" w:cs="Arial" w:eastAsia="Arial" w:hAnsi="Arial"/>
          <w:sz w:val="17"/>
          <w:szCs w:val="17"/>
          <w:b w:val="1"/>
          <w:bCs w:val="1"/>
          <w:color w:val="auto"/>
        </w:rPr>
        <w:t>FORM 10-Q</w:t>
      </w:r>
    </w:p>
    <w:p>
      <w:pPr>
        <w:spacing w:after="0" w:line="200" w:lineRule="exact"/>
        <w:rPr>
          <w:sz w:val="24"/>
          <w:szCs w:val="24"/>
          <w:color w:val="auto"/>
        </w:rPr>
      </w:pPr>
    </w:p>
    <w:p>
      <w:pPr>
        <w:spacing w:after="0" w:line="228" w:lineRule="exact"/>
        <w:rPr>
          <w:sz w:val="24"/>
          <w:szCs w:val="24"/>
          <w:color w:val="auto"/>
        </w:rPr>
      </w:pPr>
    </w:p>
    <w:p>
      <w:pPr>
        <w:ind w:left="568" w:hanging="568"/>
        <w:spacing w:after="0"/>
        <w:tabs>
          <w:tab w:leader="none" w:pos="568" w:val="left"/>
        </w:tabs>
        <w:numPr>
          <w:ilvl w:val="0"/>
          <w:numId w:val="1"/>
        </w:numPr>
        <w:rPr>
          <w:rFonts w:ascii="Arial" w:cs="Arial" w:eastAsia="Arial" w:hAnsi="Arial"/>
          <w:sz w:val="12"/>
          <w:szCs w:val="12"/>
          <w:b w:val="1"/>
          <w:bCs w:val="1"/>
          <w:color w:val="auto"/>
        </w:rPr>
      </w:pPr>
      <w:r>
        <w:rPr>
          <w:rFonts w:ascii="Arial" w:cs="Arial" w:eastAsia="Arial" w:hAnsi="Arial"/>
          <w:sz w:val="12"/>
          <w:szCs w:val="12"/>
          <w:b w:val="1"/>
          <w:bCs w:val="1"/>
          <w:color w:val="auto"/>
        </w:rPr>
        <w:t>QUARTERLY REPORT PURSUANT TO SECTION 13 OR 15(d) OF THE SECURITIES EXCHANGE ACT OF 1934</w:t>
      </w:r>
    </w:p>
    <w:p>
      <w:pPr>
        <w:spacing w:after="0" w:line="86" w:lineRule="exact"/>
        <w:rPr>
          <w:sz w:val="24"/>
          <w:szCs w:val="24"/>
          <w:color w:val="auto"/>
        </w:rPr>
      </w:pPr>
    </w:p>
    <w:p>
      <w:pPr>
        <w:jc w:val="center"/>
        <w:ind w:right="-87"/>
        <w:spacing w:after="0"/>
        <w:rPr>
          <w:sz w:val="20"/>
          <w:szCs w:val="20"/>
          <w:color w:val="auto"/>
        </w:rPr>
      </w:pPr>
      <w:r>
        <w:rPr>
          <w:rFonts w:ascii="Arial" w:cs="Arial" w:eastAsia="Arial" w:hAnsi="Arial"/>
          <w:sz w:val="10"/>
          <w:szCs w:val="10"/>
          <w:b w:val="1"/>
          <w:bCs w:val="1"/>
          <w:color w:val="auto"/>
        </w:rPr>
        <w:t>For the quarterly period ended June 30, 2019</w:t>
      </w:r>
    </w:p>
    <w:p>
      <w:pPr>
        <w:spacing w:after="0" w:line="83" w:lineRule="exact"/>
        <w:rPr>
          <w:sz w:val="24"/>
          <w:szCs w:val="24"/>
          <w:color w:val="auto"/>
        </w:rPr>
      </w:pPr>
    </w:p>
    <w:p>
      <w:pPr>
        <w:jc w:val="center"/>
        <w:ind w:right="-87"/>
        <w:spacing w:after="0"/>
        <w:rPr>
          <w:sz w:val="20"/>
          <w:szCs w:val="20"/>
          <w:color w:val="auto"/>
        </w:rPr>
      </w:pPr>
      <w:r>
        <w:rPr>
          <w:rFonts w:ascii="Arial" w:cs="Arial" w:eastAsia="Arial" w:hAnsi="Arial"/>
          <w:sz w:val="10"/>
          <w:szCs w:val="10"/>
          <w:b w:val="1"/>
          <w:bCs w:val="1"/>
          <w:color w:val="auto"/>
        </w:rPr>
        <w:t>OR</w:t>
      </w:r>
    </w:p>
    <w:p>
      <w:pPr>
        <w:spacing w:after="0" w:line="193" w:lineRule="exact"/>
        <w:rPr>
          <w:sz w:val="24"/>
          <w:szCs w:val="24"/>
          <w:color w:val="auto"/>
        </w:rPr>
      </w:pPr>
    </w:p>
    <w:tbl>
      <w:tblPr>
        <w:tblLayout w:type="fixed"/>
        <w:tblInd w:w="8" w:type="dxa"/>
        <w:tblCellMar>
          <w:top w:w="0" w:type="dxa"/>
          <w:left w:w="0" w:type="dxa"/>
          <w:bottom w:w="0" w:type="dxa"/>
          <w:right w:w="0" w:type="dxa"/>
        </w:tblCellMar>
      </w:tblPr>
      <w:tr>
        <w:trPr>
          <w:trHeight w:val="157"/>
        </w:trPr>
        <w:tc>
          <w:tcPr>
            <w:tcW w:w="340" w:type="dxa"/>
            <w:vAlign w:val="bottom"/>
          </w:tcPr>
          <w:p>
            <w:pPr>
              <w:jc w:val="right"/>
              <w:ind w:right="180"/>
              <w:spacing w:after="0"/>
              <w:rPr>
                <w:sz w:val="20"/>
                <w:szCs w:val="20"/>
                <w:color w:val="auto"/>
              </w:rPr>
            </w:pPr>
            <w:r>
              <w:rPr>
                <w:rFonts w:ascii="Arial" w:cs="Arial" w:eastAsia="Arial" w:hAnsi="Arial"/>
                <w:sz w:val="12"/>
                <w:szCs w:val="12"/>
                <w:b w:val="1"/>
                <w:bCs w:val="1"/>
                <w:color w:val="auto"/>
                <w:w w:val="70"/>
              </w:rPr>
              <w:t>[ ]</w:t>
            </w:r>
          </w:p>
        </w:tc>
        <w:tc>
          <w:tcPr>
            <w:tcW w:w="6400" w:type="dxa"/>
            <w:vAlign w:val="bottom"/>
            <w:gridSpan w:val="4"/>
          </w:tcPr>
          <w:p>
            <w:pPr>
              <w:ind w:left="220"/>
              <w:spacing w:after="0"/>
              <w:rPr>
                <w:sz w:val="20"/>
                <w:szCs w:val="20"/>
                <w:color w:val="auto"/>
              </w:rPr>
            </w:pPr>
            <w:r>
              <w:rPr>
                <w:rFonts w:ascii="Arial" w:cs="Arial" w:eastAsia="Arial" w:hAnsi="Arial"/>
                <w:sz w:val="12"/>
                <w:szCs w:val="12"/>
                <w:b w:val="1"/>
                <w:bCs w:val="1"/>
                <w:color w:val="auto"/>
              </w:rPr>
              <w:t>TRANSITION REPORT PURSUANT TO SECTION 13 OR 15(d) OF THE SECURITIES EXCHANGE ACT OF 1934</w:t>
            </w:r>
          </w:p>
        </w:tc>
      </w:tr>
      <w:tr>
        <w:trPr>
          <w:trHeight w:val="243"/>
        </w:trPr>
        <w:tc>
          <w:tcPr>
            <w:tcW w:w="340" w:type="dxa"/>
            <w:vAlign w:val="bottom"/>
          </w:tcPr>
          <w:p>
            <w:pPr>
              <w:spacing w:after="0"/>
              <w:rPr>
                <w:sz w:val="21"/>
                <w:szCs w:val="21"/>
                <w:color w:val="auto"/>
              </w:rPr>
            </w:pPr>
          </w:p>
        </w:tc>
        <w:tc>
          <w:tcPr>
            <w:tcW w:w="5660" w:type="dxa"/>
            <w:vAlign w:val="bottom"/>
          </w:tcPr>
          <w:p>
            <w:pPr>
              <w:ind w:left="4380"/>
              <w:spacing w:after="0"/>
              <w:rPr>
                <w:sz w:val="20"/>
                <w:szCs w:val="20"/>
                <w:color w:val="auto"/>
              </w:rPr>
            </w:pPr>
            <w:r>
              <w:rPr>
                <w:rFonts w:ascii="Arial" w:cs="Arial" w:eastAsia="Arial" w:hAnsi="Arial"/>
                <w:sz w:val="10"/>
                <w:szCs w:val="10"/>
                <w:b w:val="1"/>
                <w:bCs w:val="1"/>
                <w:color w:val="auto"/>
                <w:w w:val="89"/>
              </w:rPr>
              <w:t>For the transition period from</w:t>
            </w:r>
          </w:p>
        </w:tc>
        <w:tc>
          <w:tcPr>
            <w:tcW w:w="300" w:type="dxa"/>
            <w:vAlign w:val="bottom"/>
            <w:tcBorders>
              <w:bottom w:val="single" w:sz="8" w:color="auto"/>
            </w:tcBorders>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0"/>
                <w:szCs w:val="10"/>
                <w:b w:val="1"/>
                <w:bCs w:val="1"/>
                <w:color w:val="auto"/>
              </w:rPr>
              <w:t>to</w:t>
            </w:r>
          </w:p>
        </w:tc>
        <w:tc>
          <w:tcPr>
            <w:tcW w:w="300" w:type="dxa"/>
            <w:vAlign w:val="bottom"/>
            <w:tcBorders>
              <w:bottom w:val="single" w:sz="8" w:color="auto"/>
            </w:tcBorders>
          </w:tcPr>
          <w:p>
            <w:pPr>
              <w:spacing w:after="0"/>
              <w:rPr>
                <w:sz w:val="21"/>
                <w:szCs w:val="21"/>
                <w:color w:val="auto"/>
              </w:rPr>
            </w:pPr>
          </w:p>
        </w:tc>
      </w:tr>
      <w:tr>
        <w:trPr>
          <w:trHeight w:val="197"/>
        </w:trPr>
        <w:tc>
          <w:tcPr>
            <w:tcW w:w="340" w:type="dxa"/>
            <w:vAlign w:val="bottom"/>
          </w:tcPr>
          <w:p>
            <w:pPr>
              <w:spacing w:after="0"/>
              <w:rPr>
                <w:sz w:val="17"/>
                <w:szCs w:val="17"/>
                <w:color w:val="auto"/>
              </w:rPr>
            </w:pPr>
          </w:p>
        </w:tc>
        <w:tc>
          <w:tcPr>
            <w:tcW w:w="6400" w:type="dxa"/>
            <w:vAlign w:val="bottom"/>
            <w:gridSpan w:val="4"/>
          </w:tcPr>
          <w:p>
            <w:pPr>
              <w:ind w:left="4680"/>
              <w:spacing w:after="0"/>
              <w:rPr>
                <w:sz w:val="20"/>
                <w:szCs w:val="20"/>
                <w:color w:val="auto"/>
              </w:rPr>
            </w:pPr>
            <w:r>
              <w:rPr>
                <w:rFonts w:ascii="Arial" w:cs="Arial" w:eastAsia="Arial" w:hAnsi="Arial"/>
                <w:sz w:val="10"/>
                <w:szCs w:val="10"/>
                <w:b w:val="1"/>
                <w:bCs w:val="1"/>
                <w:color w:val="auto"/>
              </w:rPr>
              <w:t>Commission file number 001-12019</w:t>
            </w:r>
          </w:p>
        </w:tc>
      </w:tr>
    </w:tbl>
    <w:p>
      <w:pPr>
        <w:spacing w:after="0" w:line="218" w:lineRule="exact"/>
        <w:rPr>
          <w:sz w:val="24"/>
          <w:szCs w:val="24"/>
          <w:color w:val="auto"/>
        </w:rPr>
      </w:pPr>
    </w:p>
    <w:p>
      <w:pPr>
        <w:jc w:val="center"/>
        <w:ind w:right="-87"/>
        <w:spacing w:after="0"/>
        <w:rPr>
          <w:sz w:val="20"/>
          <w:szCs w:val="20"/>
          <w:color w:val="auto"/>
        </w:rPr>
      </w:pPr>
      <w:r>
        <w:rPr>
          <w:rFonts w:ascii="Arial" w:cs="Arial" w:eastAsia="Arial" w:hAnsi="Arial"/>
          <w:sz w:val="20"/>
          <w:szCs w:val="20"/>
          <w:b w:val="1"/>
          <w:bCs w:val="1"/>
          <w:color w:val="auto"/>
        </w:rPr>
        <w:t>QUAKER CHEMICAL CORPORATION</w:t>
      </w:r>
    </w:p>
    <w:p>
      <w:pPr>
        <w:spacing w:after="0" w:line="30" w:lineRule="exact"/>
        <w:rPr>
          <w:sz w:val="24"/>
          <w:szCs w:val="24"/>
          <w:color w:val="auto"/>
        </w:rPr>
      </w:pPr>
    </w:p>
    <w:p>
      <w:pPr>
        <w:jc w:val="center"/>
        <w:ind w:right="-87"/>
        <w:spacing w:after="0"/>
        <w:rPr>
          <w:sz w:val="20"/>
          <w:szCs w:val="20"/>
          <w:color w:val="auto"/>
        </w:rPr>
      </w:pPr>
      <w:r>
        <w:rPr>
          <w:rFonts w:ascii="Arial" w:cs="Arial" w:eastAsia="Arial" w:hAnsi="Arial"/>
          <w:sz w:val="8"/>
          <w:szCs w:val="8"/>
          <w:b w:val="1"/>
          <w:bCs w:val="1"/>
          <w:color w:val="auto"/>
        </w:rPr>
        <w:t>(Exact name of Registrant as specified in its charter)</w:t>
      </w:r>
    </w:p>
    <w:p>
      <w:pPr>
        <w:spacing w:after="0" w:line="200" w:lineRule="exact"/>
        <w:rPr>
          <w:sz w:val="24"/>
          <w:szCs w:val="24"/>
          <w:color w:val="auto"/>
        </w:rPr>
      </w:pPr>
    </w:p>
    <w:p>
      <w:pPr>
        <w:spacing w:after="0" w:line="241" w:lineRule="exact"/>
        <w:rPr>
          <w:sz w:val="24"/>
          <w:szCs w:val="24"/>
          <w:color w:val="auto"/>
        </w:rPr>
      </w:pPr>
    </w:p>
    <w:p>
      <w:pPr>
        <w:jc w:val="both"/>
        <w:ind w:left="2608"/>
        <w:spacing w:after="0"/>
        <w:tabs>
          <w:tab w:leader="none" w:pos="8468" w:val="left"/>
        </w:tabs>
        <w:rPr>
          <w:sz w:val="20"/>
          <w:szCs w:val="20"/>
          <w:color w:val="auto"/>
        </w:rPr>
      </w:pPr>
      <w:r>
        <w:rPr>
          <w:rFonts w:ascii="Arial" w:cs="Arial" w:eastAsia="Arial" w:hAnsi="Arial"/>
          <w:sz w:val="10"/>
          <w:szCs w:val="10"/>
          <w:b w:val="1"/>
          <w:bCs w:val="1"/>
          <w:color w:val="auto"/>
        </w:rPr>
        <w:t>Pennsylvania</w:t>
      </w:r>
      <w:r>
        <w:rPr>
          <w:sz w:val="20"/>
          <w:szCs w:val="20"/>
          <w:color w:val="auto"/>
        </w:rPr>
        <w:tab/>
      </w:r>
      <w:r>
        <w:rPr>
          <w:rFonts w:ascii="Arial" w:cs="Arial" w:eastAsia="Arial" w:hAnsi="Arial"/>
          <w:sz w:val="10"/>
          <w:szCs w:val="10"/>
          <w:b w:val="1"/>
          <w:bCs w:val="1"/>
          <w:color w:val="auto"/>
        </w:rPr>
        <w:t>23-0993790</w:t>
      </w:r>
    </w:p>
    <w:p>
      <w:pPr>
        <w:sectPr>
          <w:pgSz w:w="11900" w:h="16838" w:orient="portrait"/>
          <w:cols w:equalWidth="0" w:num="1">
            <w:col w:w="11408"/>
          </w:cols>
          <w:pgMar w:left="212" w:top="656" w:right="279" w:bottom="1440" w:gutter="0" w:footer="0" w:header="0"/>
        </w:sectPr>
      </w:pPr>
    </w:p>
    <w:p>
      <w:pPr>
        <w:spacing w:after="0" w:line="20" w:lineRule="exact"/>
        <w:rPr>
          <w:sz w:val="24"/>
          <w:szCs w:val="24"/>
          <w:color w:val="auto"/>
        </w:rPr>
      </w:pPr>
    </w:p>
    <w:p>
      <w:pPr>
        <w:ind w:left="2388"/>
        <w:spacing w:after="0"/>
        <w:rPr>
          <w:sz w:val="20"/>
          <w:szCs w:val="20"/>
          <w:color w:val="auto"/>
        </w:rPr>
      </w:pPr>
      <w:r>
        <w:rPr>
          <w:rFonts w:ascii="Arial" w:cs="Arial" w:eastAsia="Arial" w:hAnsi="Arial"/>
          <w:sz w:val="8"/>
          <w:szCs w:val="8"/>
          <w:b w:val="1"/>
          <w:bCs w:val="1"/>
          <w:color w:val="auto"/>
        </w:rPr>
        <w:t>(State or other jurisdiction of</w:t>
      </w:r>
    </w:p>
    <w:p>
      <w:pPr>
        <w:spacing w:after="0" w:line="6" w:lineRule="exact"/>
        <w:rPr>
          <w:sz w:val="24"/>
          <w:szCs w:val="24"/>
          <w:color w:val="auto"/>
        </w:rPr>
      </w:pPr>
    </w:p>
    <w:p>
      <w:pPr>
        <w:ind w:left="2368"/>
        <w:spacing w:after="0"/>
        <w:rPr>
          <w:sz w:val="20"/>
          <w:szCs w:val="20"/>
          <w:color w:val="auto"/>
        </w:rPr>
      </w:pPr>
      <w:r>
        <w:rPr>
          <w:rFonts w:ascii="Arial" w:cs="Arial" w:eastAsia="Arial" w:hAnsi="Arial"/>
          <w:sz w:val="8"/>
          <w:szCs w:val="8"/>
          <w:b w:val="1"/>
          <w:bCs w:val="1"/>
          <w:color w:val="auto"/>
        </w:rPr>
        <w:t>incorporation or organization)</w:t>
      </w:r>
    </w:p>
    <w:p>
      <w:pPr>
        <w:spacing w:after="0" w:line="261" w:lineRule="exact"/>
        <w:rPr>
          <w:sz w:val="24"/>
          <w:szCs w:val="24"/>
          <w:color w:val="auto"/>
        </w:rPr>
      </w:pPr>
    </w:p>
    <w:p>
      <w:pPr>
        <w:jc w:val="center"/>
        <w:ind w:right="1952"/>
        <w:spacing w:after="0"/>
        <w:rPr>
          <w:sz w:val="20"/>
          <w:szCs w:val="20"/>
          <w:color w:val="auto"/>
        </w:rPr>
      </w:pPr>
      <w:r>
        <w:rPr>
          <w:rFonts w:ascii="Arial" w:cs="Arial" w:eastAsia="Arial" w:hAnsi="Arial"/>
          <w:sz w:val="8"/>
          <w:szCs w:val="8"/>
          <w:b w:val="1"/>
          <w:bCs w:val="1"/>
          <w:color w:val="auto"/>
        </w:rPr>
        <w:t>One Quaker ParkQuakerPark, 901 E. Hector Street901 E. Hector Street,</w:t>
      </w:r>
    </w:p>
    <w:p>
      <w:pPr>
        <w:spacing w:after="0" w:line="16" w:lineRule="exact"/>
        <w:rPr>
          <w:sz w:val="24"/>
          <w:szCs w:val="24"/>
          <w:color w:val="auto"/>
        </w:rPr>
      </w:pPr>
    </w:p>
    <w:p>
      <w:pPr>
        <w:jc w:val="center"/>
        <w:ind w:right="1952"/>
        <w:spacing w:after="0"/>
        <w:rPr>
          <w:sz w:val="20"/>
          <w:szCs w:val="20"/>
          <w:color w:val="auto"/>
        </w:rPr>
      </w:pPr>
      <w:r>
        <w:rPr>
          <w:rFonts w:ascii="Arial" w:cs="Arial" w:eastAsia="Arial" w:hAnsi="Arial"/>
          <w:sz w:val="10"/>
          <w:szCs w:val="10"/>
          <w:b w:val="1"/>
          <w:bCs w:val="1"/>
          <w:color w:val="auto"/>
        </w:rPr>
        <w:t>Conshohocken, PennsylvaniaConshohocken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7"/>
          <w:szCs w:val="7"/>
          <w:b w:val="1"/>
          <w:bCs w:val="1"/>
          <w:color w:val="auto"/>
        </w:rPr>
        <w:t>(I.R.S. Employer</w:t>
      </w:r>
    </w:p>
    <w:p>
      <w:pPr>
        <w:spacing w:after="0" w:line="18" w:lineRule="exact"/>
        <w:rPr>
          <w:sz w:val="24"/>
          <w:szCs w:val="24"/>
          <w:color w:val="auto"/>
        </w:rPr>
      </w:pPr>
    </w:p>
    <w:p>
      <w:pPr>
        <w:spacing w:after="0"/>
        <w:rPr>
          <w:sz w:val="20"/>
          <w:szCs w:val="20"/>
          <w:color w:val="auto"/>
        </w:rPr>
      </w:pPr>
      <w:r>
        <w:rPr>
          <w:rFonts w:ascii="Arial" w:cs="Arial" w:eastAsia="Arial" w:hAnsi="Arial"/>
          <w:sz w:val="7"/>
          <w:szCs w:val="7"/>
          <w:b w:val="1"/>
          <w:bCs w:val="1"/>
          <w:color w:val="auto"/>
        </w:rPr>
        <w:t>Identification No.)</w:t>
      </w:r>
    </w:p>
    <w:p>
      <w:pPr>
        <w:spacing w:after="0" w:line="200" w:lineRule="exact"/>
        <w:rPr>
          <w:sz w:val="24"/>
          <w:szCs w:val="24"/>
          <w:color w:val="auto"/>
        </w:rPr>
      </w:pPr>
    </w:p>
    <w:p>
      <w:pPr>
        <w:spacing w:after="0" w:line="207" w:lineRule="exact"/>
        <w:rPr>
          <w:sz w:val="24"/>
          <w:szCs w:val="24"/>
          <w:color w:val="auto"/>
        </w:rPr>
      </w:pPr>
    </w:p>
    <w:p>
      <w:pPr>
        <w:ind w:left="40"/>
        <w:spacing w:after="0"/>
        <w:rPr>
          <w:sz w:val="20"/>
          <w:szCs w:val="20"/>
          <w:color w:val="auto"/>
        </w:rPr>
      </w:pPr>
      <w:r>
        <w:rPr>
          <w:rFonts w:ascii="Arial" w:cs="Arial" w:eastAsia="Arial" w:hAnsi="Arial"/>
          <w:sz w:val="8"/>
          <w:szCs w:val="8"/>
          <w:b w:val="1"/>
          <w:bCs w:val="1"/>
          <w:color w:val="auto"/>
        </w:rPr>
        <w:t>19428 – 2380</w:t>
      </w:r>
    </w:p>
    <w:p>
      <w:pPr>
        <w:spacing w:after="0" w:line="32" w:lineRule="exact"/>
        <w:rPr>
          <w:sz w:val="24"/>
          <w:szCs w:val="24"/>
          <w:color w:val="auto"/>
        </w:rPr>
      </w:pPr>
    </w:p>
    <w:p>
      <w:pPr>
        <w:sectPr>
          <w:pgSz w:w="11900" w:h="16838" w:orient="portrait"/>
          <w:cols w:equalWidth="0" w:num="2">
            <w:col w:w="7708" w:space="720"/>
            <w:col w:w="2980"/>
          </w:cols>
          <w:pgMar w:left="212" w:top="656" w:right="279" w:bottom="1440" w:gutter="0" w:footer="0" w:header="0"/>
          <w:type w:val="continuous"/>
        </w:sectPr>
      </w:pPr>
    </w:p>
    <w:tbl>
      <w:tblPr>
        <w:tblLayout w:type="fixed"/>
        <w:tblInd w:w="8" w:type="dxa"/>
        <w:tblCellMar>
          <w:top w:w="0" w:type="dxa"/>
          <w:left w:w="0" w:type="dxa"/>
          <w:bottom w:w="0" w:type="dxa"/>
          <w:right w:w="0" w:type="dxa"/>
        </w:tblCellMar>
      </w:tblPr>
      <w:tr>
        <w:trPr>
          <w:trHeight w:val="99"/>
        </w:trPr>
        <w:tc>
          <w:tcPr>
            <w:tcW w:w="1560" w:type="dxa"/>
            <w:vAlign w:val="bottom"/>
          </w:tcPr>
          <w:p>
            <w:pPr>
              <w:spacing w:after="0"/>
              <w:rPr>
                <w:sz w:val="8"/>
                <w:szCs w:val="8"/>
                <w:color w:val="auto"/>
              </w:rPr>
            </w:pPr>
          </w:p>
        </w:tc>
        <w:tc>
          <w:tcPr>
            <w:tcW w:w="2380" w:type="dxa"/>
            <w:vAlign w:val="bottom"/>
            <w:gridSpan w:val="2"/>
          </w:tcPr>
          <w:p>
            <w:pPr>
              <w:ind w:left="660"/>
              <w:spacing w:after="0"/>
              <w:rPr>
                <w:sz w:val="20"/>
                <w:szCs w:val="20"/>
                <w:color w:val="auto"/>
              </w:rPr>
            </w:pPr>
            <w:r>
              <w:rPr>
                <w:rFonts w:ascii="Arial" w:cs="Arial" w:eastAsia="Arial" w:hAnsi="Arial"/>
                <w:sz w:val="8"/>
                <w:szCs w:val="8"/>
                <w:b w:val="1"/>
                <w:bCs w:val="1"/>
                <w:color w:val="auto"/>
              </w:rPr>
              <w:t>(Address of principal executive offices)</w:t>
            </w:r>
          </w:p>
        </w:tc>
        <w:tc>
          <w:tcPr>
            <w:tcW w:w="1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600" w:type="dxa"/>
            <w:vAlign w:val="bottom"/>
            <w:gridSpan w:val="2"/>
          </w:tcPr>
          <w:p>
            <w:pPr>
              <w:ind w:left="720"/>
              <w:spacing w:after="0"/>
              <w:rPr>
                <w:sz w:val="20"/>
                <w:szCs w:val="20"/>
                <w:color w:val="auto"/>
              </w:rPr>
            </w:pPr>
            <w:r>
              <w:rPr>
                <w:rFonts w:ascii="Arial" w:cs="Arial" w:eastAsia="Arial" w:hAnsi="Arial"/>
                <w:sz w:val="8"/>
                <w:szCs w:val="8"/>
                <w:b w:val="1"/>
                <w:bCs w:val="1"/>
                <w:color w:val="auto"/>
              </w:rPr>
              <w:t>(Zip Code)</w:t>
            </w:r>
          </w:p>
        </w:tc>
      </w:tr>
      <w:tr>
        <w:trPr>
          <w:trHeight w:val="180"/>
        </w:trPr>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880" w:type="dxa"/>
            <w:vAlign w:val="bottom"/>
            <w:gridSpan w:val="3"/>
          </w:tcPr>
          <w:p>
            <w:pPr>
              <w:jc w:val="center"/>
              <w:ind w:right="300"/>
              <w:spacing w:after="0"/>
              <w:rPr>
                <w:sz w:val="20"/>
                <w:szCs w:val="20"/>
                <w:color w:val="auto"/>
              </w:rPr>
            </w:pPr>
            <w:r>
              <w:rPr>
                <w:rFonts w:ascii="Arial" w:cs="Arial" w:eastAsia="Arial" w:hAnsi="Arial"/>
                <w:sz w:val="10"/>
                <w:szCs w:val="10"/>
                <w:b w:val="1"/>
                <w:bCs w:val="1"/>
                <w:color w:val="auto"/>
                <w:w w:val="85"/>
              </w:rPr>
              <w:t>Registrant’s telephone number, including area code: 610-832-4000</w:t>
            </w: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40" w:type="dxa"/>
            <w:vAlign w:val="bottom"/>
            <w:gridSpan w:val="2"/>
          </w:tcPr>
          <w:p>
            <w:pPr>
              <w:jc w:val="center"/>
              <w:ind w:right="1740"/>
              <w:spacing w:after="0"/>
              <w:rPr>
                <w:sz w:val="20"/>
                <w:szCs w:val="20"/>
                <w:color w:val="auto"/>
              </w:rPr>
            </w:pPr>
            <w:r>
              <w:rPr>
                <w:rFonts w:ascii="Arial" w:cs="Arial" w:eastAsia="Arial" w:hAnsi="Arial"/>
                <w:sz w:val="10"/>
                <w:szCs w:val="10"/>
                <w:b w:val="1"/>
                <w:bCs w:val="1"/>
                <w:color w:val="auto"/>
                <w:w w:val="88"/>
              </w:rPr>
              <w:t>Not Applicable</w:t>
            </w: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99"/>
        </w:trPr>
        <w:tc>
          <w:tcPr>
            <w:tcW w:w="1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880" w:type="dxa"/>
            <w:vAlign w:val="bottom"/>
            <w:gridSpan w:val="3"/>
          </w:tcPr>
          <w:p>
            <w:pPr>
              <w:jc w:val="center"/>
              <w:ind w:right="300"/>
              <w:spacing w:after="0"/>
              <w:rPr>
                <w:sz w:val="20"/>
                <w:szCs w:val="20"/>
                <w:color w:val="auto"/>
              </w:rPr>
            </w:pPr>
            <w:r>
              <w:rPr>
                <w:rFonts w:ascii="Arial" w:cs="Arial" w:eastAsia="Arial" w:hAnsi="Arial"/>
                <w:sz w:val="8"/>
                <w:szCs w:val="8"/>
                <w:b w:val="1"/>
                <w:bCs w:val="1"/>
                <w:color w:val="auto"/>
                <w:w w:val="87"/>
              </w:rPr>
              <w:t>Former name, former address and former fiscal year, if changed since last report.</w:t>
            </w:r>
          </w:p>
        </w:tc>
        <w:tc>
          <w:tcPr>
            <w:tcW w:w="900" w:type="dxa"/>
            <w:vAlign w:val="bottom"/>
          </w:tcPr>
          <w:p>
            <w:pPr>
              <w:spacing w:after="0"/>
              <w:rPr>
                <w:sz w:val="8"/>
                <w:szCs w:val="8"/>
                <w:color w:val="auto"/>
              </w:rPr>
            </w:pPr>
          </w:p>
        </w:tc>
        <w:tc>
          <w:tcPr>
            <w:tcW w:w="1700" w:type="dxa"/>
            <w:vAlign w:val="bottom"/>
          </w:tcPr>
          <w:p>
            <w:pPr>
              <w:spacing w:after="0"/>
              <w:rPr>
                <w:sz w:val="8"/>
                <w:szCs w:val="8"/>
                <w:color w:val="auto"/>
              </w:rPr>
            </w:pPr>
          </w:p>
        </w:tc>
      </w:tr>
      <w:tr>
        <w:trPr>
          <w:trHeight w:val="231"/>
        </w:trPr>
        <w:tc>
          <w:tcPr>
            <w:tcW w:w="3940" w:type="dxa"/>
            <w:vAlign w:val="bottom"/>
            <w:gridSpan w:val="3"/>
          </w:tcPr>
          <w:p>
            <w:pPr>
              <w:spacing w:after="0"/>
              <w:rPr>
                <w:sz w:val="20"/>
                <w:szCs w:val="20"/>
                <w:color w:val="auto"/>
              </w:rPr>
            </w:pPr>
            <w:r>
              <w:rPr>
                <w:rFonts w:ascii="Arial" w:cs="Arial" w:eastAsia="Arial" w:hAnsi="Arial"/>
                <w:sz w:val="10"/>
                <w:szCs w:val="10"/>
                <w:color w:val="auto"/>
              </w:rPr>
              <w:t>Securities registered pursuant to Section 12(b) of the Act:</w:t>
            </w:r>
          </w:p>
        </w:tc>
        <w:tc>
          <w:tcPr>
            <w:tcW w:w="1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134"/>
        </w:trPr>
        <w:tc>
          <w:tcPr>
            <w:tcW w:w="1560" w:type="dxa"/>
            <w:vAlign w:val="bottom"/>
          </w:tcPr>
          <w:p>
            <w:pPr>
              <w:spacing w:after="0"/>
              <w:rPr>
                <w:sz w:val="11"/>
                <w:szCs w:val="11"/>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7"/>
              </w:rPr>
              <w:t>Title of each class</w:t>
            </w:r>
          </w:p>
        </w:tc>
        <w:tc>
          <w:tcPr>
            <w:tcW w:w="16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8"/>
              </w:rPr>
              <w:t>Trading Symbol(s)</w:t>
            </w:r>
          </w:p>
        </w:tc>
        <w:tc>
          <w:tcPr>
            <w:tcW w:w="1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5"/>
              </w:rPr>
              <w:t>Name of each exchange on which registered</w:t>
            </w:r>
          </w:p>
        </w:tc>
      </w:tr>
      <w:tr>
        <w:trPr>
          <w:trHeight w:val="125"/>
        </w:trPr>
        <w:tc>
          <w:tcPr>
            <w:tcW w:w="3940" w:type="dxa"/>
            <w:vAlign w:val="bottom"/>
            <w:gridSpan w:val="3"/>
          </w:tcPr>
          <w:p>
            <w:pPr>
              <w:jc w:val="center"/>
              <w:ind w:right="140"/>
              <w:spacing w:after="0"/>
              <w:rPr>
                <w:sz w:val="20"/>
                <w:szCs w:val="20"/>
                <w:color w:val="auto"/>
              </w:rPr>
            </w:pPr>
            <w:r>
              <w:rPr>
                <w:rFonts w:ascii="Arial" w:cs="Arial" w:eastAsia="Arial" w:hAnsi="Arial"/>
                <w:sz w:val="10"/>
                <w:szCs w:val="10"/>
                <w:color w:val="auto"/>
                <w:w w:val="86"/>
              </w:rPr>
              <w:t>Common Stock, $1 par value</w:t>
            </w:r>
          </w:p>
        </w:tc>
        <w:tc>
          <w:tcPr>
            <w:tcW w:w="1440" w:type="dxa"/>
            <w:vAlign w:val="bottom"/>
          </w:tcPr>
          <w:p>
            <w:pPr>
              <w:spacing w:after="0"/>
              <w:rPr>
                <w:sz w:val="10"/>
                <w:szCs w:val="10"/>
                <w:color w:val="auto"/>
              </w:rPr>
            </w:pPr>
          </w:p>
        </w:tc>
        <w:tc>
          <w:tcPr>
            <w:tcW w:w="2440" w:type="dxa"/>
            <w:vAlign w:val="bottom"/>
            <w:gridSpan w:val="2"/>
          </w:tcPr>
          <w:p>
            <w:pPr>
              <w:jc w:val="center"/>
              <w:ind w:right="1740"/>
              <w:spacing w:after="0"/>
              <w:rPr>
                <w:sz w:val="20"/>
                <w:szCs w:val="20"/>
                <w:color w:val="auto"/>
              </w:rPr>
            </w:pPr>
            <w:r>
              <w:rPr>
                <w:rFonts w:ascii="Arial" w:cs="Arial" w:eastAsia="Arial" w:hAnsi="Arial"/>
                <w:sz w:val="10"/>
                <w:szCs w:val="10"/>
                <w:color w:val="auto"/>
                <w:w w:val="94"/>
              </w:rPr>
              <w:t>KWR</w:t>
            </w:r>
          </w:p>
        </w:tc>
        <w:tc>
          <w:tcPr>
            <w:tcW w:w="900" w:type="dxa"/>
            <w:vAlign w:val="bottom"/>
          </w:tcPr>
          <w:p>
            <w:pPr>
              <w:spacing w:after="0"/>
              <w:rPr>
                <w:sz w:val="10"/>
                <w:szCs w:val="10"/>
                <w:color w:val="auto"/>
              </w:rPr>
            </w:pPr>
          </w:p>
        </w:tc>
        <w:tc>
          <w:tcPr>
            <w:tcW w:w="1700" w:type="dxa"/>
            <w:vAlign w:val="bottom"/>
          </w:tcPr>
          <w:p>
            <w:pPr>
              <w:jc w:val="center"/>
              <w:spacing w:after="0"/>
              <w:rPr>
                <w:sz w:val="20"/>
                <w:szCs w:val="20"/>
                <w:color w:val="auto"/>
              </w:rPr>
            </w:pPr>
            <w:r>
              <w:rPr>
                <w:rFonts w:ascii="Arial" w:cs="Arial" w:eastAsia="Arial" w:hAnsi="Arial"/>
                <w:sz w:val="10"/>
                <w:szCs w:val="10"/>
                <w:color w:val="auto"/>
                <w:w w:val="87"/>
              </w:rPr>
              <w:t>New York Stock Exchange</w:t>
            </w:r>
          </w:p>
        </w:tc>
      </w:tr>
    </w:tbl>
    <w:p>
      <w:pPr>
        <w:spacing w:after="0" w:line="59" w:lineRule="exact"/>
        <w:rPr>
          <w:sz w:val="24"/>
          <w:szCs w:val="24"/>
          <w:color w:val="auto"/>
        </w:rPr>
      </w:pPr>
    </w:p>
    <w:p>
      <w:pPr>
        <w:ind w:left="8"/>
        <w:spacing w:after="0" w:line="230" w:lineRule="auto"/>
        <w:rPr>
          <w:sz w:val="20"/>
          <w:szCs w:val="20"/>
          <w:color w:val="auto"/>
        </w:rPr>
      </w:pPr>
      <w:r>
        <w:rPr>
          <w:rFonts w:ascii="Arial" w:cs="Arial" w:eastAsia="Arial" w:hAnsi="Arial"/>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7"/>
          <w:szCs w:val="7"/>
          <w:color w:val="auto"/>
        </w:rPr>
        <w:t>[X]</w:t>
      </w:r>
      <w:r>
        <w:rPr>
          <w:rFonts w:ascii="Arial" w:cs="Arial" w:eastAsia="Arial" w:hAnsi="Arial"/>
          <w:sz w:val="10"/>
          <w:szCs w:val="10"/>
          <w:color w:val="auto"/>
        </w:rPr>
        <w:t xml:space="preserve"> No </w:t>
      </w:r>
      <w:r>
        <w:rPr>
          <w:rFonts w:ascii="Arial" w:cs="Arial" w:eastAsia="Arial" w:hAnsi="Arial"/>
          <w:sz w:val="7"/>
          <w:szCs w:val="7"/>
          <w:color w:val="auto"/>
        </w:rPr>
        <w:t>[ ]</w:t>
      </w:r>
    </w:p>
    <w:p>
      <w:pPr>
        <w:spacing w:after="0" w:line="77" w:lineRule="exact"/>
        <w:rPr>
          <w:sz w:val="24"/>
          <w:szCs w:val="24"/>
          <w:color w:val="auto"/>
        </w:rPr>
      </w:pPr>
    </w:p>
    <w:p>
      <w:pPr>
        <w:ind w:left="8"/>
        <w:spacing w:after="0"/>
        <w:rPr>
          <w:sz w:val="20"/>
          <w:szCs w:val="20"/>
          <w:color w:val="auto"/>
        </w:rPr>
      </w:pPr>
      <w:r>
        <w:rPr>
          <w:rFonts w:ascii="Arial" w:cs="Arial" w:eastAsia="Arial" w:hAnsi="Arial"/>
          <w:sz w:val="8"/>
          <w:szCs w:val="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w:t>
      </w:r>
    </w:p>
    <w:p>
      <w:pPr>
        <w:spacing w:after="0" w:line="14" w:lineRule="exact"/>
        <w:rPr>
          <w:sz w:val="24"/>
          <w:szCs w:val="24"/>
          <w:color w:val="auto"/>
        </w:rPr>
      </w:pPr>
    </w:p>
    <w:p>
      <w:pPr>
        <w:ind w:left="8"/>
        <w:spacing w:after="0"/>
        <w:tabs>
          <w:tab w:leader="none" w:pos="3128" w:val="left"/>
        </w:tabs>
        <w:rPr>
          <w:sz w:val="20"/>
          <w:szCs w:val="20"/>
          <w:color w:val="auto"/>
        </w:rPr>
      </w:pPr>
      <w:r>
        <w:rPr>
          <w:rFonts w:ascii="Arial" w:cs="Arial" w:eastAsia="Arial" w:hAnsi="Arial"/>
          <w:sz w:val="10"/>
          <w:szCs w:val="10"/>
          <w:color w:val="auto"/>
        </w:rPr>
        <w:t>shorter period that the registrant was required to submit and post such files).</w:t>
      </w:r>
      <w:r>
        <w:rPr>
          <w:sz w:val="20"/>
          <w:szCs w:val="20"/>
          <w:color w:val="auto"/>
        </w:rPr>
        <w:tab/>
      </w:r>
      <w:r>
        <w:rPr>
          <w:rFonts w:ascii="Arial" w:cs="Arial" w:eastAsia="Arial" w:hAnsi="Arial"/>
          <w:sz w:val="8"/>
          <w:szCs w:val="8"/>
          <w:color w:val="auto"/>
        </w:rPr>
        <w:t xml:space="preserve">Yes </w:t>
      </w:r>
      <w:r>
        <w:rPr>
          <w:rFonts w:ascii="Arial" w:cs="Arial" w:eastAsia="Arial" w:hAnsi="Arial"/>
          <w:sz w:val="6"/>
          <w:szCs w:val="6"/>
          <w:color w:val="auto"/>
        </w:rPr>
        <w:t>[X]</w:t>
      </w:r>
      <w:r>
        <w:rPr>
          <w:rFonts w:ascii="Arial" w:cs="Arial" w:eastAsia="Arial" w:hAnsi="Arial"/>
          <w:sz w:val="8"/>
          <w:szCs w:val="8"/>
          <w:color w:val="auto"/>
        </w:rPr>
        <w:t xml:space="preserve"> No </w:t>
      </w:r>
      <w:r>
        <w:rPr>
          <w:rFonts w:ascii="Arial" w:cs="Arial" w:eastAsia="Arial" w:hAnsi="Arial"/>
          <w:sz w:val="6"/>
          <w:szCs w:val="6"/>
          <w:color w:val="auto"/>
        </w:rPr>
        <w:t>[ ]</w:t>
      </w:r>
    </w:p>
    <w:p>
      <w:pPr>
        <w:spacing w:after="0" w:line="77" w:lineRule="exact"/>
        <w:rPr>
          <w:sz w:val="24"/>
          <w:szCs w:val="24"/>
          <w:color w:val="auto"/>
        </w:rPr>
      </w:pPr>
    </w:p>
    <w:p>
      <w:pPr>
        <w:ind w:left="8" w:right="180"/>
        <w:spacing w:after="0" w:line="230"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9" w:lineRule="exact"/>
        <w:rPr>
          <w:sz w:val="24"/>
          <w:szCs w:val="24"/>
          <w:color w:val="auto"/>
        </w:rPr>
      </w:pPr>
    </w:p>
    <w:p>
      <w:pPr>
        <w:ind w:left="1568"/>
        <w:spacing w:after="0"/>
        <w:tabs>
          <w:tab w:leader="none" w:pos="7628" w:val="left"/>
        </w:tabs>
        <w:rPr>
          <w:sz w:val="20"/>
          <w:szCs w:val="20"/>
          <w:color w:val="auto"/>
        </w:rPr>
      </w:pPr>
      <w:r>
        <w:rPr>
          <w:rFonts w:ascii="Arial" w:cs="Arial" w:eastAsia="Arial" w:hAnsi="Arial"/>
          <w:sz w:val="10"/>
          <w:szCs w:val="10"/>
          <w:color w:val="auto"/>
        </w:rPr>
        <w:t xml:space="preserve">Large accelerated filer </w:t>
      </w:r>
      <w:r>
        <w:rPr>
          <w:rFonts w:ascii="Arial" w:cs="Arial" w:eastAsia="Arial" w:hAnsi="Arial"/>
          <w:sz w:val="7"/>
          <w:szCs w:val="7"/>
          <w:color w:val="auto"/>
        </w:rPr>
        <w:t>[X]</w:t>
      </w:r>
      <w:r>
        <w:rPr>
          <w:sz w:val="20"/>
          <w:szCs w:val="20"/>
          <w:color w:val="auto"/>
        </w:rPr>
        <w:tab/>
      </w:r>
      <w:r>
        <w:rPr>
          <w:rFonts w:ascii="Arial" w:cs="Arial" w:eastAsia="Arial" w:hAnsi="Arial"/>
          <w:sz w:val="8"/>
          <w:szCs w:val="8"/>
          <w:color w:val="auto"/>
        </w:rPr>
        <w:t xml:space="preserve">Accelerated filer </w:t>
      </w:r>
      <w:r>
        <w:rPr>
          <w:rFonts w:ascii="Arial" w:cs="Arial" w:eastAsia="Arial" w:hAnsi="Arial"/>
          <w:sz w:val="6"/>
          <w:szCs w:val="6"/>
          <w:color w:val="auto"/>
        </w:rPr>
        <w:t>[ ]</w:t>
      </w:r>
    </w:p>
    <w:p>
      <w:pPr>
        <w:ind w:left="1568"/>
        <w:spacing w:after="0"/>
        <w:tabs>
          <w:tab w:leader="none" w:pos="7628" w:val="left"/>
        </w:tabs>
        <w:rPr>
          <w:sz w:val="20"/>
          <w:szCs w:val="20"/>
          <w:color w:val="auto"/>
        </w:rPr>
      </w:pPr>
      <w:r>
        <w:rPr>
          <w:rFonts w:ascii="Arial" w:cs="Arial" w:eastAsia="Arial" w:hAnsi="Arial"/>
          <w:sz w:val="10"/>
          <w:szCs w:val="10"/>
          <w:color w:val="auto"/>
        </w:rPr>
        <w:t xml:space="preserve">Non-accelerated filer </w:t>
      </w:r>
      <w:r>
        <w:rPr>
          <w:rFonts w:ascii="Arial" w:cs="Arial" w:eastAsia="Arial" w:hAnsi="Arial"/>
          <w:sz w:val="7"/>
          <w:szCs w:val="7"/>
          <w:color w:val="auto"/>
        </w:rPr>
        <w:t>[ ]</w:t>
      </w:r>
      <w:r>
        <w:rPr>
          <w:sz w:val="20"/>
          <w:szCs w:val="20"/>
          <w:color w:val="auto"/>
        </w:rPr>
        <w:tab/>
      </w:r>
      <w:r>
        <w:rPr>
          <w:rFonts w:ascii="Arial" w:cs="Arial" w:eastAsia="Arial" w:hAnsi="Arial"/>
          <w:sz w:val="8"/>
          <w:szCs w:val="8"/>
          <w:color w:val="auto"/>
        </w:rPr>
        <w:t xml:space="preserve">Smaller reporting company </w:t>
      </w:r>
      <w:r>
        <w:rPr>
          <w:rFonts w:ascii="Arial" w:cs="Arial" w:eastAsia="Arial" w:hAnsi="Arial"/>
          <w:sz w:val="6"/>
          <w:szCs w:val="6"/>
          <w:color w:val="auto"/>
        </w:rPr>
        <w:t>[ ]</w:t>
      </w:r>
    </w:p>
    <w:p>
      <w:pPr>
        <w:ind w:left="1568"/>
        <w:spacing w:after="0" w:line="237" w:lineRule="auto"/>
        <w:rPr>
          <w:sz w:val="20"/>
          <w:szCs w:val="20"/>
          <w:color w:val="auto"/>
        </w:rPr>
      </w:pPr>
      <w:r>
        <w:rPr>
          <w:rFonts w:ascii="Arial" w:cs="Arial" w:eastAsia="Arial" w:hAnsi="Arial"/>
          <w:sz w:val="10"/>
          <w:szCs w:val="10"/>
          <w:color w:val="auto"/>
        </w:rPr>
        <w:t xml:space="preserve">Emerging growth company </w:t>
      </w:r>
      <w:r>
        <w:rPr>
          <w:rFonts w:ascii="Arial" w:cs="Arial" w:eastAsia="Arial" w:hAnsi="Arial"/>
          <w:sz w:val="7"/>
          <w:szCs w:val="7"/>
          <w:color w:val="auto"/>
        </w:rPr>
        <w:t>[ ]</w:t>
      </w:r>
    </w:p>
    <w:p>
      <w:pPr>
        <w:spacing w:after="0" w:line="77" w:lineRule="exact"/>
        <w:rPr>
          <w:sz w:val="24"/>
          <w:szCs w:val="24"/>
          <w:color w:val="auto"/>
        </w:rPr>
      </w:pPr>
    </w:p>
    <w:p>
      <w:pPr>
        <w:ind w:left="8"/>
        <w:spacing w:after="0"/>
        <w:rPr>
          <w:sz w:val="20"/>
          <w:szCs w:val="20"/>
          <w:color w:val="auto"/>
        </w:rPr>
      </w:pPr>
      <w:r>
        <w:rPr>
          <w:rFonts w:ascii="Arial" w:cs="Arial" w:eastAsia="Arial" w:hAnsi="Arial"/>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7"/>
          <w:szCs w:val="7"/>
          <w:color w:val="auto"/>
        </w:rPr>
        <w:t>[ ]</w:t>
      </w:r>
    </w:p>
    <w:p>
      <w:pPr>
        <w:spacing w:after="0" w:line="83" w:lineRule="exact"/>
        <w:rPr>
          <w:sz w:val="24"/>
          <w:szCs w:val="24"/>
          <w:color w:val="auto"/>
        </w:rPr>
      </w:pPr>
    </w:p>
    <w:p>
      <w:pPr>
        <w:ind w:left="8"/>
        <w:spacing w:after="0"/>
        <w:rPr>
          <w:sz w:val="20"/>
          <w:szCs w:val="20"/>
          <w:color w:val="auto"/>
        </w:rPr>
      </w:pPr>
      <w:r>
        <w:rPr>
          <w:rFonts w:ascii="Arial" w:cs="Arial" w:eastAsia="Arial" w:hAnsi="Arial"/>
          <w:sz w:val="10"/>
          <w:szCs w:val="10"/>
          <w:color w:val="auto"/>
        </w:rPr>
        <w:t xml:space="preserve">Indicate by check mark whether the Registrant is a shell company (as defined in Rule 12b-2 of the Exchange Act). Yes </w:t>
      </w:r>
      <w:r>
        <w:rPr>
          <w:rFonts w:ascii="Arial" w:cs="Arial" w:eastAsia="Arial" w:hAnsi="Arial"/>
          <w:sz w:val="7"/>
          <w:szCs w:val="7"/>
          <w:color w:val="auto"/>
        </w:rPr>
        <w:t>[ ]</w:t>
      </w:r>
      <w:r>
        <w:rPr>
          <w:rFonts w:ascii="Arial" w:cs="Arial" w:eastAsia="Arial" w:hAnsi="Arial"/>
          <w:sz w:val="10"/>
          <w:szCs w:val="10"/>
          <w:color w:val="auto"/>
        </w:rPr>
        <w:t xml:space="preserve"> No </w:t>
      </w:r>
      <w:r>
        <w:rPr>
          <w:rFonts w:ascii="Arial" w:cs="Arial" w:eastAsia="Arial" w:hAnsi="Arial"/>
          <w:sz w:val="7"/>
          <w:szCs w:val="7"/>
          <w:color w:val="auto"/>
        </w:rPr>
        <w:t>[X]</w:t>
      </w:r>
    </w:p>
    <w:p>
      <w:pPr>
        <w:spacing w:after="0" w:line="56" w:lineRule="exact"/>
        <w:rPr>
          <w:sz w:val="24"/>
          <w:szCs w:val="24"/>
          <w:color w:val="auto"/>
        </w:rPr>
      </w:pPr>
    </w:p>
    <w:p>
      <w:pPr>
        <w:ind w:left="8"/>
        <w:spacing w:after="0"/>
        <w:rPr>
          <w:sz w:val="20"/>
          <w:szCs w:val="20"/>
          <w:color w:val="auto"/>
        </w:rPr>
      </w:pPr>
      <w:r>
        <w:rPr>
          <w:rFonts w:ascii="Arial" w:cs="Arial" w:eastAsia="Arial" w:hAnsi="Arial"/>
          <w:sz w:val="10"/>
          <w:szCs w:val="10"/>
          <w:color w:val="auto"/>
        </w:rPr>
        <w:t>Indicate the number of shares outstanding of each of the issuer’s classes of common stock, as of the latest practicable date.</w:t>
      </w:r>
    </w:p>
    <w:p>
      <w:pPr>
        <w:spacing w:after="0" w:line="219" w:lineRule="exact"/>
        <w:rPr>
          <w:sz w:val="24"/>
          <w:szCs w:val="24"/>
          <w:color w:val="auto"/>
        </w:rPr>
      </w:pPr>
    </w:p>
    <w:p>
      <w:pPr>
        <w:jc w:val="center"/>
        <w:ind w:right="4672"/>
        <w:spacing w:after="0"/>
        <w:rPr>
          <w:sz w:val="20"/>
          <w:szCs w:val="20"/>
          <w:color w:val="auto"/>
        </w:rPr>
      </w:pPr>
      <w:r>
        <w:rPr>
          <w:rFonts w:ascii="Arial" w:cs="Arial" w:eastAsia="Arial" w:hAnsi="Arial"/>
          <w:sz w:val="10"/>
          <w:szCs w:val="10"/>
          <w:b w:val="1"/>
          <w:bCs w:val="1"/>
          <w:color w:val="auto"/>
        </w:rPr>
        <w:t>Number of Shares of Common Stock</w:t>
      </w:r>
    </w:p>
    <w:p>
      <w:pPr>
        <w:jc w:val="center"/>
        <w:ind w:right="4672"/>
        <w:spacing w:after="0" w:line="187" w:lineRule="auto"/>
        <w:rPr>
          <w:sz w:val="20"/>
          <w:szCs w:val="20"/>
          <w:color w:val="auto"/>
        </w:rPr>
      </w:pPr>
      <w:r>
        <w:rPr>
          <w:rFonts w:ascii="Arial" w:cs="Arial" w:eastAsia="Arial" w:hAnsi="Arial"/>
          <w:sz w:val="8"/>
          <w:szCs w:val="8"/>
          <w:b w:val="1"/>
          <w:bCs w:val="1"/>
          <w:color w:val="auto"/>
        </w:rPr>
        <w:t>Outstanding on June 30, 2019</w:t>
      </w:r>
    </w:p>
    <w:p>
      <w:pPr>
        <w:ind w:left="9068"/>
        <w:spacing w:after="0" w:line="237" w:lineRule="auto"/>
        <w:rPr>
          <w:sz w:val="20"/>
          <w:szCs w:val="20"/>
          <w:color w:val="auto"/>
        </w:rPr>
      </w:pPr>
      <w:r>
        <w:rPr>
          <w:rFonts w:ascii="Arial" w:cs="Arial" w:eastAsia="Arial" w:hAnsi="Arial"/>
          <w:sz w:val="10"/>
          <w:szCs w:val="10"/>
          <w:b w:val="1"/>
          <w:bCs w:val="1"/>
          <w:color w:val="auto"/>
        </w:rPr>
        <w:t>13,337,896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461645</wp:posOffset>
            </wp:positionV>
            <wp:extent cx="73177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08"/>
          </w:cols>
          <w:pgMar w:left="212" w:top="656"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20" w:type="dxa"/>
            <w:vAlign w:val="bottom"/>
            <w:gridSpan w:val="10"/>
          </w:tcPr>
          <w:p>
            <w:pPr>
              <w:ind w:left="1300"/>
              <w:spacing w:after="0"/>
              <w:rPr>
                <w:sz w:val="20"/>
                <w:szCs w:val="20"/>
                <w:color w:val="auto"/>
              </w:rPr>
            </w:pPr>
            <w:r>
              <w:rPr>
                <w:rFonts w:ascii="Arial" w:cs="Arial" w:eastAsia="Arial" w:hAnsi="Arial"/>
                <w:sz w:val="12"/>
                <w:szCs w:val="12"/>
                <w:b w:val="1"/>
                <w:bCs w:val="1"/>
                <w:color w:val="auto"/>
              </w:rPr>
              <w:t>QUAKER CHEMICAL CORPORATION AND CONSOLIDATED SUBSIDIARIES</w:t>
            </w:r>
          </w:p>
        </w:tc>
        <w:tc>
          <w:tcPr>
            <w:tcW w:w="0" w:type="dxa"/>
            <w:vAlign w:val="bottom"/>
          </w:tcPr>
          <w:p>
            <w:pPr>
              <w:spacing w:after="0"/>
              <w:rPr>
                <w:sz w:val="1"/>
                <w:szCs w:val="1"/>
                <w:color w:val="auto"/>
              </w:rPr>
            </w:pPr>
          </w:p>
        </w:tc>
      </w:tr>
      <w:tr>
        <w:trPr>
          <w:trHeight w:val="589"/>
        </w:trPr>
        <w:tc>
          <w:tcPr>
            <w:tcW w:w="1020" w:type="dxa"/>
            <w:vAlign w:val="bottom"/>
          </w:tcPr>
          <w:p>
            <w:pPr>
              <w:spacing w:after="0"/>
              <w:rPr>
                <w:sz w:val="20"/>
                <w:szCs w:val="20"/>
                <w:color w:val="auto"/>
              </w:rPr>
            </w:pPr>
            <w:r>
              <w:rPr>
                <w:rFonts w:ascii="Arial" w:cs="Arial" w:eastAsia="Arial" w:hAnsi="Arial"/>
                <w:sz w:val="12"/>
                <w:szCs w:val="12"/>
                <w:b w:val="1"/>
                <w:bCs w:val="1"/>
                <w:color w:val="auto"/>
              </w:rPr>
              <w:t>PART I.</w:t>
            </w:r>
          </w:p>
        </w:tc>
        <w:tc>
          <w:tcPr>
            <w:tcW w:w="2560" w:type="dxa"/>
            <w:vAlign w:val="bottom"/>
            <w:gridSpan w:val="5"/>
          </w:tcPr>
          <w:p>
            <w:pPr>
              <w:spacing w:after="0"/>
              <w:rPr>
                <w:sz w:val="20"/>
                <w:szCs w:val="20"/>
                <w:color w:val="auto"/>
              </w:rPr>
            </w:pPr>
            <w:r>
              <w:rPr>
                <w:rFonts w:ascii="Arial" w:cs="Arial" w:eastAsia="Arial" w:hAnsi="Arial"/>
                <w:sz w:val="12"/>
                <w:szCs w:val="12"/>
                <w:b w:val="1"/>
                <w:bCs w:val="1"/>
                <w:color w:val="auto"/>
              </w:rPr>
              <w:t>FINANCIAL INFORMATION</w:t>
            </w:r>
          </w:p>
        </w:tc>
        <w:tc>
          <w:tcPr>
            <w:tcW w:w="4320" w:type="dxa"/>
            <w:vAlign w:val="bottom"/>
            <w:tcBorders>
              <w:top w:val="single" w:sz="8" w:color="auto"/>
            </w:tcBorders>
            <w:gridSpan w:val="9"/>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020" w:type="dxa"/>
            <w:vAlign w:val="bottom"/>
          </w:tcPr>
          <w:p>
            <w:pPr>
              <w:spacing w:after="0"/>
              <w:rPr>
                <w:sz w:val="20"/>
                <w:szCs w:val="20"/>
                <w:color w:val="auto"/>
              </w:rPr>
            </w:pPr>
            <w:r>
              <w:rPr>
                <w:rFonts w:ascii="Arial" w:cs="Arial" w:eastAsia="Arial" w:hAnsi="Arial"/>
                <w:sz w:val="12"/>
                <w:szCs w:val="12"/>
                <w:b w:val="1"/>
                <w:bCs w:val="1"/>
                <w:color w:val="auto"/>
              </w:rPr>
              <w:t>Item 1.</w:t>
            </w:r>
          </w:p>
        </w:tc>
        <w:tc>
          <w:tcPr>
            <w:tcW w:w="6880" w:type="dxa"/>
            <w:vAlign w:val="bottom"/>
            <w:gridSpan w:val="14"/>
          </w:tcPr>
          <w:p>
            <w:pPr>
              <w:spacing w:after="0"/>
              <w:rPr>
                <w:sz w:val="20"/>
                <w:szCs w:val="20"/>
                <w:color w:val="auto"/>
              </w:rPr>
            </w:pPr>
            <w:r>
              <w:rPr>
                <w:rFonts w:ascii="Arial" w:cs="Arial" w:eastAsia="Arial" w:hAnsi="Arial"/>
                <w:sz w:val="12"/>
                <w:szCs w:val="12"/>
                <w:color w:val="auto"/>
              </w:rPr>
              <w:t>Financial Statements (unaudited)</w:t>
            </w:r>
          </w:p>
        </w:tc>
        <w:tc>
          <w:tcPr>
            <w:tcW w:w="0" w:type="dxa"/>
            <w:vAlign w:val="bottom"/>
          </w:tcPr>
          <w:p>
            <w:pPr>
              <w:spacing w:after="0"/>
              <w:rPr>
                <w:sz w:val="1"/>
                <w:szCs w:val="1"/>
                <w:color w:val="auto"/>
              </w:rPr>
            </w:pPr>
          </w:p>
        </w:tc>
      </w:tr>
      <w:tr>
        <w:trPr>
          <w:trHeight w:val="126"/>
        </w:trPr>
        <w:tc>
          <w:tcPr>
            <w:tcW w:w="1020" w:type="dxa"/>
            <w:vAlign w:val="bottom"/>
          </w:tcPr>
          <w:p>
            <w:pPr>
              <w:spacing w:after="0"/>
              <w:rPr>
                <w:sz w:val="10"/>
                <w:szCs w:val="10"/>
                <w:color w:val="auto"/>
              </w:rPr>
            </w:pPr>
          </w:p>
        </w:tc>
        <w:tc>
          <w:tcPr>
            <w:tcW w:w="6880" w:type="dxa"/>
            <w:vAlign w:val="bottom"/>
            <w:gridSpan w:val="14"/>
          </w:tcPr>
          <w:p>
            <w:pPr>
              <w:spacing w:after="0" w:line="126" w:lineRule="exact"/>
              <w:rPr>
                <w:sz w:val="20"/>
                <w:szCs w:val="20"/>
                <w:color w:val="auto"/>
              </w:rPr>
            </w:pPr>
            <w:r>
              <w:rPr>
                <w:rFonts w:ascii="Arial" w:cs="Arial" w:eastAsia="Arial" w:hAnsi="Arial"/>
                <w:sz w:val="12"/>
                <w:szCs w:val="12"/>
                <w:color w:val="0000FF"/>
              </w:rPr>
              <w:t>Condensed Consolidated Statements of Income for the Three and Six Months Ended June 30, 2019 and June 30, 2018</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20" w:type="dxa"/>
            <w:vAlign w:val="bottom"/>
          </w:tcPr>
          <w:p>
            <w:pPr>
              <w:spacing w:after="0"/>
              <w:rPr>
                <w:sz w:val="16"/>
                <w:szCs w:val="16"/>
                <w:color w:val="auto"/>
              </w:rPr>
            </w:pPr>
          </w:p>
        </w:tc>
        <w:tc>
          <w:tcPr>
            <w:tcW w:w="6460" w:type="dxa"/>
            <w:vAlign w:val="bottom"/>
            <w:tcBorders>
              <w:bottom w:val="single" w:sz="8" w:color="0000FF"/>
            </w:tcBorders>
            <w:gridSpan w:val="13"/>
          </w:tcPr>
          <w:p>
            <w:pPr>
              <w:spacing w:after="0"/>
              <w:rPr>
                <w:sz w:val="20"/>
                <w:szCs w:val="20"/>
                <w:color w:val="auto"/>
              </w:rPr>
            </w:pPr>
            <w:r>
              <w:rPr>
                <w:rFonts w:ascii="Arial" w:cs="Arial" w:eastAsia="Arial" w:hAnsi="Arial"/>
                <w:sz w:val="12"/>
                <w:szCs w:val="12"/>
                <w:color w:val="0000FF"/>
                <w:w w:val="89"/>
              </w:rPr>
              <w:t>Condensed Consolidated Statements of Comprehensive Income for the Three and Six Months Ended June 30, 2019 and June 30, 2018</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3960" w:type="dxa"/>
            <w:vAlign w:val="bottom"/>
            <w:tcBorders>
              <w:bottom w:val="single" w:sz="8" w:color="0000FF"/>
            </w:tcBorders>
            <w:gridSpan w:val="9"/>
          </w:tcPr>
          <w:p>
            <w:pPr>
              <w:spacing w:after="0"/>
              <w:rPr>
                <w:sz w:val="20"/>
                <w:szCs w:val="20"/>
                <w:color w:val="auto"/>
              </w:rPr>
            </w:pPr>
            <w:r>
              <w:rPr>
                <w:rFonts w:ascii="Arial" w:cs="Arial" w:eastAsia="Arial" w:hAnsi="Arial"/>
                <w:sz w:val="12"/>
                <w:szCs w:val="12"/>
                <w:color w:val="0000FF"/>
                <w:w w:val="88"/>
              </w:rPr>
              <w:t>Condensed Consolidated Balance Sheets at June 30, 2019 and December 31, 2018</w:t>
            </w:r>
          </w:p>
        </w:tc>
        <w:tc>
          <w:tcPr>
            <w:tcW w:w="292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020" w:type="dxa"/>
            <w:vAlign w:val="bottom"/>
          </w:tcPr>
          <w:p>
            <w:pPr>
              <w:spacing w:after="0"/>
              <w:rPr>
                <w:sz w:val="11"/>
                <w:szCs w:val="11"/>
                <w:color w:val="auto"/>
              </w:rPr>
            </w:pPr>
          </w:p>
        </w:tc>
        <w:tc>
          <w:tcPr>
            <w:tcW w:w="5360" w:type="dxa"/>
            <w:vAlign w:val="bottom"/>
            <w:tcBorders>
              <w:bottom w:val="single" w:sz="8" w:color="0000FF"/>
            </w:tcBorders>
            <w:gridSpan w:val="11"/>
          </w:tcPr>
          <w:p>
            <w:pPr>
              <w:spacing w:after="0" w:line="133" w:lineRule="exact"/>
              <w:rPr>
                <w:sz w:val="20"/>
                <w:szCs w:val="20"/>
                <w:color w:val="auto"/>
              </w:rPr>
            </w:pPr>
            <w:r>
              <w:rPr>
                <w:rFonts w:ascii="Arial" w:cs="Arial" w:eastAsia="Arial" w:hAnsi="Arial"/>
                <w:sz w:val="12"/>
                <w:szCs w:val="12"/>
                <w:color w:val="0000FF"/>
                <w:w w:val="89"/>
              </w:rPr>
              <w:t>Condensed Consolidated Statements of Cash Flows for the Six Months Ended June 30, 2019 and June 30, 2018</w:t>
            </w:r>
          </w:p>
        </w:tc>
        <w:tc>
          <w:tcPr>
            <w:tcW w:w="152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020" w:type="dxa"/>
            <w:vAlign w:val="bottom"/>
            <w:vMerge w:val="restart"/>
          </w:tcPr>
          <w:p>
            <w:pPr>
              <w:spacing w:after="0"/>
              <w:rPr>
                <w:sz w:val="20"/>
                <w:szCs w:val="20"/>
                <w:color w:val="auto"/>
              </w:rPr>
            </w:pPr>
            <w:r>
              <w:rPr>
                <w:rFonts w:ascii="Arial" w:cs="Arial" w:eastAsia="Arial" w:hAnsi="Arial"/>
                <w:sz w:val="12"/>
                <w:szCs w:val="12"/>
                <w:b w:val="1"/>
                <w:bCs w:val="1"/>
                <w:color w:val="auto"/>
              </w:rPr>
              <w:t>Item 2.</w:t>
            </w:r>
          </w:p>
        </w:tc>
        <w:tc>
          <w:tcPr>
            <w:tcW w:w="2680" w:type="dxa"/>
            <w:vAlign w:val="bottom"/>
            <w:tcBorders>
              <w:bottom w:val="single" w:sz="8" w:color="0000FF"/>
            </w:tcBorders>
            <w:gridSpan w:val="6"/>
          </w:tcPr>
          <w:p>
            <w:pPr>
              <w:spacing w:after="0" w:line="124" w:lineRule="exact"/>
              <w:rPr>
                <w:rFonts w:ascii="Arial" w:cs="Arial" w:eastAsia="Arial" w:hAnsi="Arial"/>
                <w:sz w:val="12"/>
                <w:szCs w:val="12"/>
                <w:color w:val="0000FF"/>
                <w:w w:val="89"/>
              </w:rPr>
            </w:pPr>
            <w:hyperlink w:anchor="page7">
              <w:r>
                <w:rPr>
                  <w:rFonts w:ascii="Arial" w:cs="Arial" w:eastAsia="Arial" w:hAnsi="Arial"/>
                  <w:sz w:val="12"/>
                  <w:szCs w:val="12"/>
                  <w:color w:val="0000FF"/>
                  <w:w w:val="89"/>
                </w:rPr>
                <w:t>Notes to Condensed Consolidated Financial Statements</w:t>
              </w:r>
            </w:hyperlink>
          </w:p>
        </w:tc>
        <w:tc>
          <w:tcPr>
            <w:tcW w:w="420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020" w:type="dxa"/>
            <w:vAlign w:val="bottom"/>
            <w:vMerge w:val="continue"/>
          </w:tcPr>
          <w:p>
            <w:pPr>
              <w:spacing w:after="0"/>
              <w:rPr>
                <w:sz w:val="11"/>
                <w:szCs w:val="11"/>
                <w:color w:val="auto"/>
              </w:rPr>
            </w:pPr>
          </w:p>
        </w:tc>
        <w:tc>
          <w:tcPr>
            <w:tcW w:w="4320" w:type="dxa"/>
            <w:vAlign w:val="bottom"/>
            <w:tcBorders>
              <w:bottom w:val="single" w:sz="8" w:color="0000FF"/>
            </w:tcBorders>
            <w:gridSpan w:val="10"/>
          </w:tcPr>
          <w:p>
            <w:pPr>
              <w:spacing w:after="0" w:line="133" w:lineRule="exact"/>
              <w:rPr>
                <w:sz w:val="20"/>
                <w:szCs w:val="20"/>
                <w:color w:val="auto"/>
              </w:rPr>
            </w:pPr>
            <w:r>
              <w:rPr>
                <w:rFonts w:ascii="Arial" w:cs="Arial" w:eastAsia="Arial" w:hAnsi="Arial"/>
                <w:sz w:val="12"/>
                <w:szCs w:val="12"/>
                <w:color w:val="0000FF"/>
                <w:w w:val="91"/>
              </w:rPr>
              <w:t>Management’s Discussion and Analysis of Financial Condition and Results of Operations</w:t>
            </w:r>
          </w:p>
        </w:tc>
        <w:tc>
          <w:tcPr>
            <w:tcW w:w="256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Item 3.</w:t>
            </w:r>
          </w:p>
        </w:tc>
        <w:tc>
          <w:tcPr>
            <w:tcW w:w="6880" w:type="dxa"/>
            <w:vAlign w:val="bottom"/>
            <w:gridSpan w:val="14"/>
          </w:tcPr>
          <w:p>
            <w:pPr>
              <w:spacing w:after="0" w:line="133" w:lineRule="exact"/>
              <w:rPr>
                <w:sz w:val="20"/>
                <w:szCs w:val="20"/>
                <w:color w:val="auto"/>
              </w:rPr>
            </w:pPr>
            <w:r>
              <w:rPr>
                <w:rFonts w:ascii="Arial" w:cs="Arial" w:eastAsia="Arial" w:hAnsi="Arial"/>
                <w:sz w:val="12"/>
                <w:szCs w:val="12"/>
                <w:color w:val="0000FF"/>
              </w:rPr>
              <w:t>Quantitative and Qualitative Disclosures about Market Risk</w:t>
            </w:r>
          </w:p>
        </w:tc>
        <w:tc>
          <w:tcPr>
            <w:tcW w:w="0" w:type="dxa"/>
            <w:vAlign w:val="bottom"/>
          </w:tcPr>
          <w:p>
            <w:pPr>
              <w:spacing w:after="0"/>
              <w:rPr>
                <w:sz w:val="1"/>
                <w:szCs w:val="1"/>
                <w:color w:val="auto"/>
              </w:rPr>
            </w:pPr>
          </w:p>
        </w:tc>
      </w:tr>
      <w:tr>
        <w:trPr>
          <w:trHeight w:val="133"/>
        </w:trPr>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Item 4.</w:t>
            </w:r>
          </w:p>
        </w:tc>
        <w:tc>
          <w:tcPr>
            <w:tcW w:w="2880" w:type="dxa"/>
            <w:vAlign w:val="bottom"/>
            <w:tcBorders>
              <w:top w:val="single" w:sz="8" w:color="0000FF"/>
            </w:tcBorders>
            <w:gridSpan w:val="7"/>
          </w:tcPr>
          <w:p>
            <w:pPr>
              <w:spacing w:after="0" w:line="133" w:lineRule="exact"/>
              <w:rPr>
                <w:sz w:val="20"/>
                <w:szCs w:val="20"/>
                <w:color w:val="auto"/>
              </w:rPr>
            </w:pPr>
            <w:r>
              <w:rPr>
                <w:rFonts w:ascii="Arial" w:cs="Arial" w:eastAsia="Arial" w:hAnsi="Arial"/>
                <w:sz w:val="12"/>
                <w:szCs w:val="12"/>
                <w:color w:val="0000FF"/>
              </w:rPr>
              <w:t>Controls and Procedures</w:t>
            </w:r>
          </w:p>
        </w:tc>
        <w:tc>
          <w:tcPr>
            <w:tcW w:w="4000" w:type="dxa"/>
            <w:vAlign w:val="bottom"/>
            <w:gridSpan w:val="7"/>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2"/>
                <w:szCs w:val="12"/>
                <w:b w:val="1"/>
                <w:bCs w:val="1"/>
                <w:color w:val="auto"/>
              </w:rPr>
              <w:t>PART II.</w:t>
            </w:r>
          </w:p>
        </w:tc>
        <w:tc>
          <w:tcPr>
            <w:tcW w:w="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39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020" w:type="dxa"/>
            <w:vAlign w:val="bottom"/>
            <w:vMerge w:val="continue"/>
          </w:tcPr>
          <w:p>
            <w:pPr>
              <w:spacing w:after="0"/>
              <w:rPr>
                <w:sz w:val="11"/>
                <w:szCs w:val="11"/>
                <w:color w:val="auto"/>
              </w:rPr>
            </w:pPr>
          </w:p>
        </w:tc>
        <w:tc>
          <w:tcPr>
            <w:tcW w:w="6880" w:type="dxa"/>
            <w:vAlign w:val="bottom"/>
            <w:gridSpan w:val="14"/>
          </w:tcPr>
          <w:p>
            <w:pPr>
              <w:spacing w:after="0" w:line="133" w:lineRule="exact"/>
              <w:rPr>
                <w:sz w:val="20"/>
                <w:szCs w:val="20"/>
                <w:color w:val="auto"/>
              </w:rPr>
            </w:pPr>
            <w:r>
              <w:rPr>
                <w:rFonts w:ascii="Arial" w:cs="Arial" w:eastAsia="Arial" w:hAnsi="Arial"/>
                <w:sz w:val="12"/>
                <w:szCs w:val="12"/>
                <w:color w:val="0000FF"/>
              </w:rPr>
              <w:t>OTHER INFORMATION</w:t>
            </w:r>
          </w:p>
        </w:tc>
        <w:tc>
          <w:tcPr>
            <w:tcW w:w="0" w:type="dxa"/>
            <w:vAlign w:val="bottom"/>
          </w:tcPr>
          <w:p>
            <w:pPr>
              <w:spacing w:after="0"/>
              <w:rPr>
                <w:sz w:val="1"/>
                <w:szCs w:val="1"/>
                <w:color w:val="auto"/>
              </w:rPr>
            </w:pPr>
          </w:p>
        </w:tc>
      </w:tr>
      <w:tr>
        <w:trPr>
          <w:trHeight w:val="133"/>
        </w:trPr>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Item 1.</w:t>
            </w:r>
          </w:p>
        </w:tc>
        <w:tc>
          <w:tcPr>
            <w:tcW w:w="900" w:type="dxa"/>
            <w:vAlign w:val="bottom"/>
            <w:tcBorders>
              <w:top w:val="single" w:sz="8" w:color="0000FF"/>
              <w:bottom w:val="single" w:sz="8" w:color="0000FF"/>
            </w:tcBorders>
            <w:gridSpan w:val="2"/>
          </w:tcPr>
          <w:p>
            <w:pPr>
              <w:spacing w:after="0" w:line="133" w:lineRule="exact"/>
              <w:rPr>
                <w:sz w:val="20"/>
                <w:szCs w:val="20"/>
                <w:color w:val="auto"/>
              </w:rPr>
            </w:pPr>
            <w:r>
              <w:rPr>
                <w:rFonts w:ascii="Arial" w:cs="Arial" w:eastAsia="Arial" w:hAnsi="Arial"/>
                <w:sz w:val="12"/>
                <w:szCs w:val="12"/>
                <w:color w:val="0000FF"/>
                <w:w w:val="88"/>
              </w:rPr>
              <w:t>Legal Proceedings</w:t>
            </w:r>
          </w:p>
        </w:tc>
        <w:tc>
          <w:tcPr>
            <w:tcW w:w="360" w:type="dxa"/>
            <w:vAlign w:val="bottom"/>
            <w:tcBorders>
              <w:top w:val="single" w:sz="8" w:color="0000FF"/>
            </w:tcBorders>
            <w:gridSpan w:val="2"/>
          </w:tcPr>
          <w:p>
            <w:pPr>
              <w:spacing w:after="0"/>
              <w:rPr>
                <w:sz w:val="11"/>
                <w:szCs w:val="11"/>
                <w:color w:val="auto"/>
              </w:rPr>
            </w:pPr>
          </w:p>
        </w:tc>
        <w:tc>
          <w:tcPr>
            <w:tcW w:w="5620" w:type="dxa"/>
            <w:vAlign w:val="bottom"/>
            <w:gridSpan w:val="10"/>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Item 2.</w:t>
            </w:r>
          </w:p>
        </w:tc>
        <w:tc>
          <w:tcPr>
            <w:tcW w:w="6880" w:type="dxa"/>
            <w:vAlign w:val="bottom"/>
            <w:gridSpan w:val="14"/>
          </w:tcPr>
          <w:p>
            <w:pPr>
              <w:spacing w:after="0" w:line="133" w:lineRule="exact"/>
              <w:rPr>
                <w:sz w:val="20"/>
                <w:szCs w:val="20"/>
                <w:color w:val="auto"/>
              </w:rPr>
            </w:pPr>
            <w:r>
              <w:rPr>
                <w:rFonts w:ascii="Arial" w:cs="Arial" w:eastAsia="Arial" w:hAnsi="Arial"/>
                <w:sz w:val="12"/>
                <w:szCs w:val="12"/>
                <w:color w:val="0000FF"/>
              </w:rPr>
              <w:t>Unregistered Sales of Equity Securities and Use of Proceeds</w:t>
            </w:r>
          </w:p>
        </w:tc>
        <w:tc>
          <w:tcPr>
            <w:tcW w:w="0" w:type="dxa"/>
            <w:vAlign w:val="bottom"/>
          </w:tcPr>
          <w:p>
            <w:pPr>
              <w:spacing w:after="0"/>
              <w:rPr>
                <w:sz w:val="1"/>
                <w:szCs w:val="1"/>
                <w:color w:val="auto"/>
              </w:rPr>
            </w:pPr>
          </w:p>
        </w:tc>
      </w:tr>
      <w:tr>
        <w:trPr>
          <w:trHeight w:val="133"/>
        </w:trPr>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Item 6.</w:t>
            </w:r>
          </w:p>
        </w:tc>
        <w:tc>
          <w:tcPr>
            <w:tcW w:w="2900" w:type="dxa"/>
            <w:vAlign w:val="bottom"/>
            <w:tcBorders>
              <w:top w:val="single" w:sz="8" w:color="0000FF"/>
            </w:tcBorders>
            <w:gridSpan w:val="8"/>
          </w:tcPr>
          <w:p>
            <w:pPr>
              <w:spacing w:after="0" w:line="133" w:lineRule="exact"/>
              <w:rPr>
                <w:sz w:val="20"/>
                <w:szCs w:val="20"/>
                <w:color w:val="auto"/>
              </w:rPr>
            </w:pPr>
            <w:r>
              <w:rPr>
                <w:rFonts w:ascii="Arial" w:cs="Arial" w:eastAsia="Arial" w:hAnsi="Arial"/>
                <w:sz w:val="12"/>
                <w:szCs w:val="12"/>
                <w:color w:val="0000FF"/>
              </w:rPr>
              <w:t>Exhibits</w:t>
            </w:r>
          </w:p>
        </w:tc>
        <w:tc>
          <w:tcPr>
            <w:tcW w:w="3980" w:type="dxa"/>
            <w:vAlign w:val="bottom"/>
            <w:gridSpan w:val="6"/>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020" w:type="dxa"/>
            <w:vAlign w:val="bottom"/>
          </w:tcPr>
          <w:p>
            <w:pPr>
              <w:spacing w:after="0"/>
              <w:rPr>
                <w:sz w:val="20"/>
                <w:szCs w:val="20"/>
                <w:color w:val="auto"/>
              </w:rPr>
            </w:pPr>
            <w:r>
              <w:rPr>
                <w:rFonts w:ascii="Arial" w:cs="Arial" w:eastAsia="Arial" w:hAnsi="Arial"/>
                <w:sz w:val="12"/>
                <w:szCs w:val="12"/>
                <w:b w:val="1"/>
                <w:bCs w:val="1"/>
                <w:color w:val="auto"/>
              </w:rPr>
              <w:t>Signatures</w:t>
            </w:r>
          </w:p>
        </w:tc>
        <w:tc>
          <w:tcPr>
            <w:tcW w:w="400" w:type="dxa"/>
            <w:vAlign w:val="bottom"/>
            <w:tcBorders>
              <w:top w:val="single" w:sz="8" w:color="0000FF"/>
            </w:tcBorders>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3"/>
        </w:trPr>
        <w:tc>
          <w:tcPr>
            <w:tcW w:w="1020" w:type="dxa"/>
            <w:vAlign w:val="bottom"/>
          </w:tcPr>
          <w:p>
            <w:pPr>
              <w:spacing w:after="0"/>
              <w:rPr>
                <w:sz w:val="24"/>
                <w:szCs w:val="24"/>
                <w:color w:val="auto"/>
              </w:rPr>
            </w:pPr>
          </w:p>
        </w:tc>
        <w:tc>
          <w:tcPr>
            <w:tcW w:w="5360" w:type="dxa"/>
            <w:vAlign w:val="bottom"/>
            <w:gridSpan w:val="11"/>
          </w:tcPr>
          <w:p>
            <w:pPr>
              <w:ind w:left="4680"/>
              <w:spacing w:after="0"/>
              <w:rPr>
                <w:sz w:val="20"/>
                <w:szCs w:val="20"/>
                <w:color w:val="auto"/>
              </w:rPr>
            </w:pPr>
            <w:r>
              <w:rPr>
                <w:rFonts w:ascii="Arial" w:cs="Arial" w:eastAsia="Arial" w:hAnsi="Arial"/>
                <w:sz w:val="12"/>
                <w:szCs w:val="12"/>
                <w:color w:val="auto"/>
              </w:rPr>
              <w:t>1</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33020</wp:posOffset>
            </wp:positionV>
            <wp:extent cx="73177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12065</wp:posOffset>
            </wp:positionV>
            <wp:extent cx="29146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1465" cy="5715"/>
                    </a:xfrm>
                    <a:prstGeom prst="rect">
                      <a:avLst/>
                    </a:prstGeom>
                    <a:noFill/>
                  </pic:spPr>
                </pic:pic>
              </a:graphicData>
            </a:graphic>
          </wp:anchor>
        </w:drawing>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23</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34</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35</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36</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36</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36</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37</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37</w:t>
      </w:r>
    </w:p>
    <w:p>
      <w:pPr>
        <w:sectPr>
          <w:pgSz w:w="11900" w:h="16838" w:orient="portrait"/>
          <w:cols w:equalWidth="0" w:num="2">
            <w:col w:w="10400" w:space="720"/>
            <w:col w:w="340"/>
          </w:cols>
          <w:pgMar w:left="220" w:top="263" w:right="2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4"/>
          <w:szCs w:val="14"/>
          <w:b w:val="1"/>
          <w:bCs w:val="1"/>
          <w:color w:val="auto"/>
        </w:rPr>
        <w:t>PART I</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FINANCIAL INFORMATION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2840" w:type="dxa"/>
            <w:vAlign w:val="bottom"/>
          </w:tcPr>
          <w:p>
            <w:pPr>
              <w:ind w:left="40"/>
              <w:spacing w:after="0"/>
              <w:rPr>
                <w:sz w:val="20"/>
                <w:szCs w:val="20"/>
                <w:color w:val="auto"/>
              </w:rPr>
            </w:pPr>
            <w:r>
              <w:rPr>
                <w:rFonts w:ascii="Arial" w:cs="Arial" w:eastAsia="Arial" w:hAnsi="Arial"/>
                <w:sz w:val="14"/>
                <w:szCs w:val="14"/>
                <w:b w:val="1"/>
                <w:bCs w:val="1"/>
                <w:color w:val="auto"/>
              </w:rPr>
              <w:t>Financial Statements (Unaudited).</w:t>
            </w:r>
          </w:p>
        </w:tc>
        <w:tc>
          <w:tcPr>
            <w:tcW w:w="2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468"/>
        </w:trPr>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580" w:type="dxa"/>
            <w:vAlign w:val="bottom"/>
            <w:gridSpan w:val="4"/>
          </w:tcPr>
          <w:p>
            <w:pPr>
              <w:jc w:val="center"/>
              <w:ind w:left="496"/>
              <w:spacing w:after="0"/>
              <w:rPr>
                <w:sz w:val="20"/>
                <w:szCs w:val="20"/>
                <w:color w:val="auto"/>
              </w:rPr>
            </w:pPr>
            <w:r>
              <w:rPr>
                <w:rFonts w:ascii="Arial" w:cs="Arial" w:eastAsia="Arial" w:hAnsi="Arial"/>
                <w:sz w:val="14"/>
                <w:szCs w:val="14"/>
                <w:b w:val="1"/>
                <w:bCs w:val="1"/>
                <w:color w:val="auto"/>
                <w:w w:val="95"/>
              </w:rPr>
              <w:t>Quaker Chemical Corporation</w:t>
            </w: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9"/>
        </w:trPr>
        <w:tc>
          <w:tcPr>
            <w:tcW w:w="8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3580" w:type="dxa"/>
            <w:vAlign w:val="bottom"/>
            <w:gridSpan w:val="4"/>
          </w:tcPr>
          <w:p>
            <w:pPr>
              <w:jc w:val="center"/>
              <w:ind w:left="496"/>
              <w:spacing w:after="0"/>
              <w:rPr>
                <w:sz w:val="20"/>
                <w:szCs w:val="20"/>
                <w:color w:val="auto"/>
              </w:rPr>
            </w:pPr>
            <w:r>
              <w:rPr>
                <w:rFonts w:ascii="Arial" w:cs="Arial" w:eastAsia="Arial" w:hAnsi="Arial"/>
                <w:sz w:val="14"/>
                <w:szCs w:val="14"/>
                <w:b w:val="1"/>
                <w:bCs w:val="1"/>
                <w:color w:val="auto"/>
                <w:w w:val="91"/>
              </w:rPr>
              <w:t>Condensed Consolidated Statements of Income</w:t>
            </w: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153"/>
        </w:trPr>
        <w:tc>
          <w:tcPr>
            <w:tcW w:w="8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3580" w:type="dxa"/>
            <w:vAlign w:val="bottom"/>
            <w:gridSpan w:val="4"/>
          </w:tcPr>
          <w:p>
            <w:pPr>
              <w:jc w:val="center"/>
              <w:ind w:left="496"/>
              <w:spacing w:after="0"/>
              <w:rPr>
                <w:sz w:val="20"/>
                <w:szCs w:val="20"/>
                <w:color w:val="auto"/>
              </w:rPr>
            </w:pPr>
            <w:r>
              <w:rPr>
                <w:rFonts w:ascii="Arial" w:cs="Arial" w:eastAsia="Arial" w:hAnsi="Arial"/>
                <w:sz w:val="12"/>
                <w:szCs w:val="12"/>
                <w:b w:val="1"/>
                <w:bCs w:val="1"/>
                <w:i w:val="1"/>
                <w:iCs w:val="1"/>
                <w:color w:val="auto"/>
                <w:w w:val="86"/>
              </w:rPr>
              <w:t>(Dollars in thousands, except per share data)</w:t>
            </w: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599"/>
        </w:trPr>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b w:val="1"/>
                <w:bCs w:val="1"/>
                <w:color w:val="auto"/>
              </w:rPr>
              <w:t>Unaudited</w:t>
            </w: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134"/>
        </w:trPr>
        <w:tc>
          <w:tcPr>
            <w:tcW w:w="8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40" w:type="dxa"/>
            <w:vAlign w:val="bottom"/>
            <w:gridSpan w:val="3"/>
          </w:tcPr>
          <w:p>
            <w:pPr>
              <w:jc w:val="right"/>
              <w:spacing w:after="0" w:line="134" w:lineRule="exact"/>
              <w:rPr>
                <w:sz w:val="20"/>
                <w:szCs w:val="20"/>
                <w:color w:val="auto"/>
              </w:rPr>
            </w:pPr>
            <w:r>
              <w:rPr>
                <w:rFonts w:ascii="Arial" w:cs="Arial" w:eastAsia="Arial" w:hAnsi="Arial"/>
                <w:sz w:val="12"/>
                <w:szCs w:val="12"/>
                <w:b w:val="1"/>
                <w:bCs w:val="1"/>
                <w:color w:val="auto"/>
              </w:rPr>
              <w:t>Three Months Ended</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60" w:type="dxa"/>
            <w:vAlign w:val="bottom"/>
            <w:gridSpan w:val="3"/>
          </w:tcPr>
          <w:p>
            <w:pPr>
              <w:jc w:val="right"/>
              <w:ind w:right="20"/>
              <w:spacing w:after="0" w:line="134" w:lineRule="exact"/>
              <w:rPr>
                <w:sz w:val="20"/>
                <w:szCs w:val="20"/>
                <w:color w:val="auto"/>
              </w:rPr>
            </w:pPr>
            <w:r>
              <w:rPr>
                <w:rFonts w:ascii="Arial" w:cs="Arial" w:eastAsia="Arial" w:hAnsi="Arial"/>
                <w:sz w:val="12"/>
                <w:szCs w:val="12"/>
                <w:b w:val="1"/>
                <w:bCs w:val="1"/>
                <w:color w:val="auto"/>
              </w:rPr>
              <w:t>Six Months Ended</w:t>
            </w:r>
          </w:p>
        </w:tc>
        <w:tc>
          <w:tcPr>
            <w:tcW w:w="860" w:type="dxa"/>
            <w:vAlign w:val="bottom"/>
          </w:tcPr>
          <w:p>
            <w:pPr>
              <w:spacing w:after="0"/>
              <w:rPr>
                <w:sz w:val="11"/>
                <w:szCs w:val="11"/>
                <w:color w:val="auto"/>
              </w:rPr>
            </w:pPr>
          </w:p>
        </w:tc>
      </w:tr>
      <w:tr>
        <w:trPr>
          <w:trHeight w:val="157"/>
        </w:trPr>
        <w:tc>
          <w:tcPr>
            <w:tcW w:w="8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2"/>
                <w:szCs w:val="12"/>
                <w:b w:val="1"/>
                <w:bCs w:val="1"/>
                <w:color w:val="auto"/>
              </w:rPr>
              <w:t>June 30,</w:t>
            </w: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2"/>
                <w:szCs w:val="12"/>
                <w:b w:val="1"/>
                <w:bCs w:val="1"/>
                <w:color w:val="auto"/>
              </w:rPr>
              <w:t>June 30,</w:t>
            </w:r>
          </w:p>
        </w:tc>
        <w:tc>
          <w:tcPr>
            <w:tcW w:w="860" w:type="dxa"/>
            <w:vAlign w:val="bottom"/>
            <w:tcBorders>
              <w:bottom w:val="single" w:sz="8" w:color="auto"/>
            </w:tcBorders>
          </w:tcPr>
          <w:p>
            <w:pPr>
              <w:spacing w:after="0"/>
              <w:rPr>
                <w:sz w:val="13"/>
                <w:szCs w:val="13"/>
                <w:color w:val="auto"/>
              </w:rPr>
            </w:pPr>
          </w:p>
        </w:tc>
      </w:tr>
      <w:tr>
        <w:trPr>
          <w:trHeight w:val="133"/>
        </w:trPr>
        <w:tc>
          <w:tcPr>
            <w:tcW w:w="820" w:type="dxa"/>
            <w:vAlign w:val="bottom"/>
            <w:tcBorders>
              <w:bottom w:val="single" w:sz="8" w:color="B7E5FF"/>
            </w:tcBorders>
          </w:tcPr>
          <w:p>
            <w:pPr>
              <w:spacing w:after="0"/>
              <w:rPr>
                <w:sz w:val="11"/>
                <w:szCs w:val="11"/>
                <w:color w:val="auto"/>
              </w:rPr>
            </w:pPr>
          </w:p>
        </w:tc>
        <w:tc>
          <w:tcPr>
            <w:tcW w:w="2840" w:type="dxa"/>
            <w:vAlign w:val="bottom"/>
            <w:tcBorders>
              <w:bottom w:val="single" w:sz="8" w:color="B7E5FF"/>
            </w:tcBorders>
          </w:tcPr>
          <w:p>
            <w:pPr>
              <w:spacing w:after="0"/>
              <w:rPr>
                <w:sz w:val="11"/>
                <w:szCs w:val="11"/>
                <w:color w:val="auto"/>
              </w:rPr>
            </w:pPr>
          </w:p>
        </w:tc>
        <w:tc>
          <w:tcPr>
            <w:tcW w:w="2160" w:type="dxa"/>
            <w:vAlign w:val="bottom"/>
            <w:tcBorders>
              <w:bottom w:val="single" w:sz="8" w:color="B7E5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80"/>
              <w:spacing w:after="0" w:line="133" w:lineRule="exact"/>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B7E5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480"/>
              <w:spacing w:after="0" w:line="133" w:lineRule="exact"/>
              <w:rPr>
                <w:sz w:val="20"/>
                <w:szCs w:val="20"/>
                <w:color w:val="auto"/>
              </w:rPr>
            </w:pPr>
            <w:r>
              <w:rPr>
                <w:rFonts w:ascii="Arial" w:cs="Arial" w:eastAsia="Arial" w:hAnsi="Arial"/>
                <w:sz w:val="12"/>
                <w:szCs w:val="12"/>
                <w:b w:val="1"/>
                <w:bCs w:val="1"/>
                <w:color w:val="auto"/>
                <w:w w:val="89"/>
              </w:rPr>
              <w:t>2018</w:t>
            </w:r>
          </w:p>
        </w:tc>
        <w:tc>
          <w:tcPr>
            <w:tcW w:w="120" w:type="dxa"/>
            <w:vAlign w:val="bottom"/>
            <w:tcBorders>
              <w:bottom w:val="single" w:sz="8" w:color="B7E5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80"/>
              <w:spacing w:after="0" w:line="133" w:lineRule="exact"/>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B7E5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00"/>
              <w:spacing w:after="0" w:line="133" w:lineRule="exact"/>
              <w:rPr>
                <w:sz w:val="20"/>
                <w:szCs w:val="20"/>
                <w:color w:val="auto"/>
              </w:rPr>
            </w:pPr>
            <w:r>
              <w:rPr>
                <w:rFonts w:ascii="Arial" w:cs="Arial" w:eastAsia="Arial" w:hAnsi="Arial"/>
                <w:sz w:val="12"/>
                <w:szCs w:val="12"/>
                <w:b w:val="1"/>
                <w:bCs w:val="1"/>
                <w:color w:val="auto"/>
              </w:rPr>
              <w:t>2018</w:t>
            </w:r>
          </w:p>
        </w:tc>
      </w:tr>
      <w:tr>
        <w:trPr>
          <w:trHeight w:val="133"/>
        </w:trPr>
        <w:tc>
          <w:tcPr>
            <w:tcW w:w="820" w:type="dxa"/>
            <w:vAlign w:val="bottom"/>
            <w:shd w:val="clear" w:color="auto" w:fill="B7E5FF"/>
          </w:tcPr>
          <w:p>
            <w:pPr>
              <w:ind w:left="20"/>
              <w:spacing w:after="0" w:line="133" w:lineRule="exact"/>
              <w:rPr>
                <w:sz w:val="20"/>
                <w:szCs w:val="20"/>
                <w:color w:val="auto"/>
              </w:rPr>
            </w:pPr>
            <w:r>
              <w:rPr>
                <w:rFonts w:ascii="Arial" w:cs="Arial" w:eastAsia="Arial" w:hAnsi="Arial"/>
                <w:sz w:val="12"/>
                <w:szCs w:val="12"/>
                <w:color w:val="auto"/>
              </w:rPr>
              <w:t>Net sales</w:t>
            </w:r>
          </w:p>
        </w:tc>
        <w:tc>
          <w:tcPr>
            <w:tcW w:w="2840" w:type="dxa"/>
            <w:vAlign w:val="bottom"/>
            <w:shd w:val="clear" w:color="auto" w:fill="B7E5FF"/>
          </w:tcPr>
          <w:p>
            <w:pPr>
              <w:spacing w:after="0"/>
              <w:rPr>
                <w:sz w:val="11"/>
                <w:szCs w:val="11"/>
                <w:color w:val="auto"/>
              </w:rPr>
            </w:pPr>
          </w:p>
        </w:tc>
        <w:tc>
          <w:tcPr>
            <w:tcW w:w="2160" w:type="dxa"/>
            <w:vAlign w:val="bottom"/>
            <w:shd w:val="clear" w:color="auto" w:fill="B7E5FF"/>
          </w:tcPr>
          <w:p>
            <w:pPr>
              <w:spacing w:after="0"/>
              <w:rPr>
                <w:sz w:val="11"/>
                <w:szCs w:val="11"/>
                <w:color w:val="auto"/>
              </w:rPr>
            </w:pPr>
          </w:p>
        </w:tc>
        <w:tc>
          <w:tcPr>
            <w:tcW w:w="300" w:type="dxa"/>
            <w:vAlign w:val="bottom"/>
            <w:shd w:val="clear" w:color="auto" w:fill="B7E5FF"/>
          </w:tcPr>
          <w:p>
            <w:pPr>
              <w:jc w:val="right"/>
              <w:ind w:right="160"/>
              <w:spacing w:after="0" w:line="133" w:lineRule="exact"/>
              <w:rPr>
                <w:sz w:val="20"/>
                <w:szCs w:val="20"/>
                <w:color w:val="auto"/>
              </w:rPr>
            </w:pPr>
            <w:r>
              <w:rPr>
                <w:rFonts w:ascii="Arial" w:cs="Arial" w:eastAsia="Arial" w:hAnsi="Arial"/>
                <w:sz w:val="12"/>
                <w:szCs w:val="12"/>
                <w:color w:val="auto"/>
                <w:w w:val="89"/>
              </w:rPr>
              <w:t>$</w:t>
            </w:r>
          </w:p>
        </w:tc>
        <w:tc>
          <w:tcPr>
            <w:tcW w:w="102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205,869</w:t>
            </w:r>
          </w:p>
        </w:tc>
        <w:tc>
          <w:tcPr>
            <w:tcW w:w="100" w:type="dxa"/>
            <w:vAlign w:val="bottom"/>
            <w:shd w:val="clear" w:color="auto" w:fill="B7E5FF"/>
          </w:tcPr>
          <w:p>
            <w:pPr>
              <w:spacing w:after="0"/>
              <w:rPr>
                <w:sz w:val="11"/>
                <w:szCs w:val="11"/>
                <w:color w:val="auto"/>
              </w:rPr>
            </w:pPr>
          </w:p>
        </w:tc>
        <w:tc>
          <w:tcPr>
            <w:tcW w:w="520" w:type="dxa"/>
            <w:vAlign w:val="bottom"/>
            <w:shd w:val="clear" w:color="auto" w:fill="B7E5FF"/>
          </w:tcPr>
          <w:p>
            <w:pPr>
              <w:jc w:val="right"/>
              <w:ind w:right="380"/>
              <w:spacing w:after="0" w:line="133" w:lineRule="exact"/>
              <w:rPr>
                <w:sz w:val="20"/>
                <w:szCs w:val="20"/>
                <w:color w:val="auto"/>
              </w:rPr>
            </w:pPr>
            <w:r>
              <w:rPr>
                <w:rFonts w:ascii="Arial" w:cs="Arial" w:eastAsia="Arial" w:hAnsi="Arial"/>
                <w:sz w:val="12"/>
                <w:szCs w:val="12"/>
                <w:color w:val="auto"/>
                <w:w w:val="89"/>
              </w:rPr>
              <w:t>$</w:t>
            </w:r>
          </w:p>
        </w:tc>
        <w:tc>
          <w:tcPr>
            <w:tcW w:w="80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221,962</w:t>
            </w:r>
          </w:p>
        </w:tc>
        <w:tc>
          <w:tcPr>
            <w:tcW w:w="120" w:type="dxa"/>
            <w:vAlign w:val="bottom"/>
            <w:shd w:val="clear" w:color="auto" w:fill="B7E5FF"/>
          </w:tcPr>
          <w:p>
            <w:pPr>
              <w:spacing w:after="0"/>
              <w:rPr>
                <w:sz w:val="11"/>
                <w:szCs w:val="11"/>
                <w:color w:val="auto"/>
              </w:rPr>
            </w:pPr>
          </w:p>
        </w:tc>
        <w:tc>
          <w:tcPr>
            <w:tcW w:w="380" w:type="dxa"/>
            <w:vAlign w:val="bottom"/>
            <w:shd w:val="clear" w:color="auto" w:fill="B7E5FF"/>
          </w:tcPr>
          <w:p>
            <w:pPr>
              <w:jc w:val="right"/>
              <w:ind w:right="240"/>
              <w:spacing w:after="0" w:line="133" w:lineRule="exact"/>
              <w:rPr>
                <w:sz w:val="20"/>
                <w:szCs w:val="20"/>
                <w:color w:val="auto"/>
              </w:rPr>
            </w:pPr>
            <w:r>
              <w:rPr>
                <w:rFonts w:ascii="Arial" w:cs="Arial" w:eastAsia="Arial" w:hAnsi="Arial"/>
                <w:sz w:val="12"/>
                <w:szCs w:val="12"/>
                <w:color w:val="auto"/>
                <w:w w:val="89"/>
              </w:rPr>
              <w:t>$</w:t>
            </w:r>
          </w:p>
        </w:tc>
        <w:tc>
          <w:tcPr>
            <w:tcW w:w="94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417,079</w:t>
            </w:r>
          </w:p>
        </w:tc>
        <w:tc>
          <w:tcPr>
            <w:tcW w:w="120" w:type="dxa"/>
            <w:vAlign w:val="bottom"/>
            <w:shd w:val="clear" w:color="auto" w:fill="B7E5FF"/>
          </w:tcPr>
          <w:p>
            <w:pPr>
              <w:spacing w:after="0"/>
              <w:rPr>
                <w:sz w:val="11"/>
                <w:szCs w:val="11"/>
                <w:color w:val="auto"/>
              </w:rPr>
            </w:pPr>
          </w:p>
        </w:tc>
        <w:tc>
          <w:tcPr>
            <w:tcW w:w="500" w:type="dxa"/>
            <w:vAlign w:val="bottom"/>
            <w:shd w:val="clear" w:color="auto" w:fill="B7E5FF"/>
          </w:tcPr>
          <w:p>
            <w:pPr>
              <w:jc w:val="right"/>
              <w:ind w:right="360"/>
              <w:spacing w:after="0" w:line="133" w:lineRule="exact"/>
              <w:rPr>
                <w:sz w:val="20"/>
                <w:szCs w:val="20"/>
                <w:color w:val="auto"/>
              </w:rPr>
            </w:pPr>
            <w:r>
              <w:rPr>
                <w:rFonts w:ascii="Arial" w:cs="Arial" w:eastAsia="Arial" w:hAnsi="Arial"/>
                <w:sz w:val="12"/>
                <w:szCs w:val="12"/>
                <w:color w:val="auto"/>
                <w:w w:val="89"/>
              </w:rPr>
              <w:t>$</w:t>
            </w:r>
          </w:p>
        </w:tc>
        <w:tc>
          <w:tcPr>
            <w:tcW w:w="86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434,017</w:t>
            </w:r>
          </w:p>
        </w:tc>
      </w:tr>
      <w:tr>
        <w:trPr>
          <w:trHeight w:val="153"/>
        </w:trPr>
        <w:tc>
          <w:tcPr>
            <w:tcW w:w="3660" w:type="dxa"/>
            <w:vAlign w:val="bottom"/>
            <w:tcBorders>
              <w:bottom w:val="single" w:sz="8" w:color="B7E5FF"/>
            </w:tcBorders>
            <w:gridSpan w:val="2"/>
          </w:tcPr>
          <w:p>
            <w:pPr>
              <w:ind w:left="20"/>
              <w:spacing w:after="0"/>
              <w:rPr>
                <w:sz w:val="20"/>
                <w:szCs w:val="20"/>
                <w:color w:val="auto"/>
              </w:rPr>
            </w:pPr>
            <w:r>
              <w:rPr>
                <w:rFonts w:ascii="Arial" w:cs="Arial" w:eastAsia="Arial" w:hAnsi="Arial"/>
                <w:sz w:val="12"/>
                <w:szCs w:val="12"/>
                <w:color w:val="auto"/>
              </w:rPr>
              <w:t>Cost of goods sold</w:t>
            </w:r>
          </w:p>
        </w:tc>
        <w:tc>
          <w:tcPr>
            <w:tcW w:w="2160" w:type="dxa"/>
            <w:vAlign w:val="bottom"/>
            <w:tcBorders>
              <w:bottom w:val="single" w:sz="8" w:color="B7E5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130,708</w:t>
            </w:r>
          </w:p>
        </w:tc>
        <w:tc>
          <w:tcPr>
            <w:tcW w:w="100" w:type="dxa"/>
            <w:vAlign w:val="bottom"/>
            <w:tcBorders>
              <w:bottom w:val="single" w:sz="8" w:color="B7E5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141,025</w:t>
            </w:r>
          </w:p>
        </w:tc>
        <w:tc>
          <w:tcPr>
            <w:tcW w:w="120" w:type="dxa"/>
            <w:vAlign w:val="bottom"/>
            <w:tcBorders>
              <w:bottom w:val="single" w:sz="8" w:color="B7E5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266,151</w:t>
            </w:r>
          </w:p>
        </w:tc>
        <w:tc>
          <w:tcPr>
            <w:tcW w:w="120" w:type="dxa"/>
            <w:vAlign w:val="bottom"/>
            <w:tcBorders>
              <w:bottom w:val="single" w:sz="8" w:color="B7E5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277,633</w:t>
            </w:r>
          </w:p>
        </w:tc>
      </w:tr>
      <w:tr>
        <w:trPr>
          <w:trHeight w:val="133"/>
        </w:trPr>
        <w:tc>
          <w:tcPr>
            <w:tcW w:w="820" w:type="dxa"/>
            <w:vAlign w:val="bottom"/>
            <w:shd w:val="clear" w:color="auto" w:fill="B7E5FF"/>
          </w:tcPr>
          <w:p>
            <w:pPr>
              <w:ind w:left="120"/>
              <w:spacing w:after="0" w:line="133" w:lineRule="exact"/>
              <w:rPr>
                <w:sz w:val="20"/>
                <w:szCs w:val="20"/>
                <w:color w:val="auto"/>
              </w:rPr>
            </w:pPr>
            <w:r>
              <w:rPr>
                <w:rFonts w:ascii="Arial" w:cs="Arial" w:eastAsia="Arial" w:hAnsi="Arial"/>
                <w:sz w:val="12"/>
                <w:szCs w:val="12"/>
                <w:color w:val="auto"/>
              </w:rPr>
              <w:t>Gross profit</w:t>
            </w:r>
          </w:p>
        </w:tc>
        <w:tc>
          <w:tcPr>
            <w:tcW w:w="2840" w:type="dxa"/>
            <w:vAlign w:val="bottom"/>
            <w:shd w:val="clear" w:color="auto" w:fill="B7E5FF"/>
          </w:tcPr>
          <w:p>
            <w:pPr>
              <w:spacing w:after="0"/>
              <w:rPr>
                <w:sz w:val="11"/>
                <w:szCs w:val="11"/>
                <w:color w:val="auto"/>
              </w:rPr>
            </w:pPr>
          </w:p>
        </w:tc>
        <w:tc>
          <w:tcPr>
            <w:tcW w:w="2160" w:type="dxa"/>
            <w:vAlign w:val="bottom"/>
            <w:shd w:val="clear" w:color="auto" w:fill="B7E5FF"/>
          </w:tcPr>
          <w:p>
            <w:pPr>
              <w:spacing w:after="0"/>
              <w:rPr>
                <w:sz w:val="11"/>
                <w:szCs w:val="11"/>
                <w:color w:val="auto"/>
              </w:rPr>
            </w:pPr>
          </w:p>
        </w:tc>
        <w:tc>
          <w:tcPr>
            <w:tcW w:w="300" w:type="dxa"/>
            <w:vAlign w:val="bottom"/>
            <w:shd w:val="clear" w:color="auto" w:fill="B7E5FF"/>
          </w:tcPr>
          <w:p>
            <w:pPr>
              <w:spacing w:after="0"/>
              <w:rPr>
                <w:sz w:val="11"/>
                <w:szCs w:val="11"/>
                <w:color w:val="auto"/>
              </w:rPr>
            </w:pPr>
          </w:p>
        </w:tc>
        <w:tc>
          <w:tcPr>
            <w:tcW w:w="102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75,161</w:t>
            </w:r>
          </w:p>
        </w:tc>
        <w:tc>
          <w:tcPr>
            <w:tcW w:w="100" w:type="dxa"/>
            <w:vAlign w:val="bottom"/>
            <w:shd w:val="clear" w:color="auto" w:fill="B7E5FF"/>
          </w:tcPr>
          <w:p>
            <w:pPr>
              <w:spacing w:after="0"/>
              <w:rPr>
                <w:sz w:val="11"/>
                <w:szCs w:val="11"/>
                <w:color w:val="auto"/>
              </w:rPr>
            </w:pPr>
          </w:p>
        </w:tc>
        <w:tc>
          <w:tcPr>
            <w:tcW w:w="520" w:type="dxa"/>
            <w:vAlign w:val="bottom"/>
            <w:shd w:val="clear" w:color="auto" w:fill="B7E5FF"/>
          </w:tcPr>
          <w:p>
            <w:pPr>
              <w:spacing w:after="0"/>
              <w:rPr>
                <w:sz w:val="11"/>
                <w:szCs w:val="11"/>
                <w:color w:val="auto"/>
              </w:rPr>
            </w:pPr>
          </w:p>
        </w:tc>
        <w:tc>
          <w:tcPr>
            <w:tcW w:w="80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80,937</w:t>
            </w:r>
          </w:p>
        </w:tc>
        <w:tc>
          <w:tcPr>
            <w:tcW w:w="120" w:type="dxa"/>
            <w:vAlign w:val="bottom"/>
            <w:shd w:val="clear" w:color="auto" w:fill="B7E5FF"/>
          </w:tcPr>
          <w:p>
            <w:pPr>
              <w:spacing w:after="0"/>
              <w:rPr>
                <w:sz w:val="11"/>
                <w:szCs w:val="11"/>
                <w:color w:val="auto"/>
              </w:rPr>
            </w:pPr>
          </w:p>
        </w:tc>
        <w:tc>
          <w:tcPr>
            <w:tcW w:w="380" w:type="dxa"/>
            <w:vAlign w:val="bottom"/>
            <w:shd w:val="clear" w:color="auto" w:fill="B7E5FF"/>
          </w:tcPr>
          <w:p>
            <w:pPr>
              <w:spacing w:after="0"/>
              <w:rPr>
                <w:sz w:val="11"/>
                <w:szCs w:val="11"/>
                <w:color w:val="auto"/>
              </w:rPr>
            </w:pPr>
          </w:p>
        </w:tc>
        <w:tc>
          <w:tcPr>
            <w:tcW w:w="94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150,928</w:t>
            </w:r>
          </w:p>
        </w:tc>
        <w:tc>
          <w:tcPr>
            <w:tcW w:w="120" w:type="dxa"/>
            <w:vAlign w:val="bottom"/>
            <w:shd w:val="clear" w:color="auto" w:fill="B7E5FF"/>
          </w:tcPr>
          <w:p>
            <w:pPr>
              <w:spacing w:after="0"/>
              <w:rPr>
                <w:sz w:val="11"/>
                <w:szCs w:val="11"/>
                <w:color w:val="auto"/>
              </w:rPr>
            </w:pPr>
          </w:p>
        </w:tc>
        <w:tc>
          <w:tcPr>
            <w:tcW w:w="500" w:type="dxa"/>
            <w:vAlign w:val="bottom"/>
            <w:shd w:val="clear" w:color="auto" w:fill="B7E5FF"/>
          </w:tcPr>
          <w:p>
            <w:pPr>
              <w:spacing w:after="0"/>
              <w:rPr>
                <w:sz w:val="11"/>
                <w:szCs w:val="11"/>
                <w:color w:val="auto"/>
              </w:rPr>
            </w:pPr>
          </w:p>
        </w:tc>
        <w:tc>
          <w:tcPr>
            <w:tcW w:w="86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156,384</w:t>
            </w:r>
          </w:p>
        </w:tc>
      </w:tr>
      <w:tr>
        <w:trPr>
          <w:trHeight w:val="153"/>
        </w:trPr>
        <w:tc>
          <w:tcPr>
            <w:tcW w:w="3660" w:type="dxa"/>
            <w:vAlign w:val="bottom"/>
            <w:gridSpan w:val="2"/>
          </w:tcPr>
          <w:p>
            <w:pPr>
              <w:ind w:left="20"/>
              <w:spacing w:after="0"/>
              <w:rPr>
                <w:sz w:val="20"/>
                <w:szCs w:val="20"/>
                <w:color w:val="auto"/>
              </w:rPr>
            </w:pPr>
            <w:r>
              <w:rPr>
                <w:rFonts w:ascii="Arial" w:cs="Arial" w:eastAsia="Arial" w:hAnsi="Arial"/>
                <w:sz w:val="12"/>
                <w:szCs w:val="12"/>
                <w:color w:val="auto"/>
              </w:rPr>
              <w:t>Selling, general and administrative expenses</w:t>
            </w:r>
          </w:p>
        </w:tc>
        <w:tc>
          <w:tcPr>
            <w:tcW w:w="2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50,026</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54,083</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101,481</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104,090</w:t>
            </w:r>
          </w:p>
        </w:tc>
      </w:tr>
      <w:tr>
        <w:trPr>
          <w:trHeight w:val="153"/>
        </w:trPr>
        <w:tc>
          <w:tcPr>
            <w:tcW w:w="3660" w:type="dxa"/>
            <w:vAlign w:val="bottom"/>
            <w:gridSpan w:val="2"/>
            <w:shd w:val="clear" w:color="auto" w:fill="B7E5FF"/>
          </w:tcPr>
          <w:p>
            <w:pPr>
              <w:ind w:left="20"/>
              <w:spacing w:after="0"/>
              <w:rPr>
                <w:sz w:val="20"/>
                <w:szCs w:val="20"/>
                <w:color w:val="auto"/>
              </w:rPr>
            </w:pPr>
            <w:r>
              <w:rPr>
                <w:rFonts w:ascii="Arial" w:cs="Arial" w:eastAsia="Arial" w:hAnsi="Arial"/>
                <w:sz w:val="12"/>
                <w:szCs w:val="12"/>
                <w:color w:val="auto"/>
              </w:rPr>
              <w:t>Combination and other acquisition-related expenses</w:t>
            </w:r>
          </w:p>
        </w:tc>
        <w:tc>
          <w:tcPr>
            <w:tcW w:w="2160" w:type="dxa"/>
            <w:vAlign w:val="bottom"/>
            <w:shd w:val="clear" w:color="auto" w:fill="B7E5FF"/>
          </w:tcPr>
          <w:p>
            <w:pPr>
              <w:spacing w:after="0"/>
              <w:rPr>
                <w:sz w:val="13"/>
                <w:szCs w:val="13"/>
                <w:color w:val="auto"/>
              </w:rPr>
            </w:pPr>
          </w:p>
        </w:tc>
        <w:tc>
          <w:tcPr>
            <w:tcW w:w="300" w:type="dxa"/>
            <w:vAlign w:val="bottom"/>
            <w:tcBorders>
              <w:bottom w:val="single" w:sz="8" w:color="auto"/>
            </w:tcBorders>
            <w:shd w:val="clear" w:color="auto" w:fill="B7E5FF"/>
          </w:tcPr>
          <w:p>
            <w:pPr>
              <w:spacing w:after="0"/>
              <w:rPr>
                <w:sz w:val="13"/>
                <w:szCs w:val="13"/>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4,604</w:t>
            </w:r>
          </w:p>
        </w:tc>
        <w:tc>
          <w:tcPr>
            <w:tcW w:w="100" w:type="dxa"/>
            <w:vAlign w:val="bottom"/>
            <w:shd w:val="clear" w:color="auto" w:fill="B7E5FF"/>
          </w:tcPr>
          <w:p>
            <w:pPr>
              <w:spacing w:after="0"/>
              <w:rPr>
                <w:sz w:val="13"/>
                <w:szCs w:val="13"/>
                <w:color w:val="auto"/>
              </w:rPr>
            </w:pPr>
          </w:p>
        </w:tc>
        <w:tc>
          <w:tcPr>
            <w:tcW w:w="520" w:type="dxa"/>
            <w:vAlign w:val="bottom"/>
            <w:tcBorders>
              <w:bottom w:val="single" w:sz="8" w:color="auto"/>
            </w:tcBorders>
            <w:shd w:val="clear" w:color="auto" w:fill="B7E5FF"/>
          </w:tcPr>
          <w:p>
            <w:pPr>
              <w:spacing w:after="0"/>
              <w:rPr>
                <w:sz w:val="13"/>
                <w:szCs w:val="13"/>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4,291</w:t>
            </w:r>
          </w:p>
        </w:tc>
        <w:tc>
          <w:tcPr>
            <w:tcW w:w="120" w:type="dxa"/>
            <w:vAlign w:val="bottom"/>
            <w:shd w:val="clear" w:color="auto" w:fill="B7E5FF"/>
          </w:tcPr>
          <w:p>
            <w:pPr>
              <w:spacing w:after="0"/>
              <w:rPr>
                <w:sz w:val="13"/>
                <w:szCs w:val="13"/>
                <w:color w:val="auto"/>
              </w:rPr>
            </w:pPr>
          </w:p>
        </w:tc>
        <w:tc>
          <w:tcPr>
            <w:tcW w:w="380" w:type="dxa"/>
            <w:vAlign w:val="bottom"/>
            <w:tcBorders>
              <w:bottom w:val="single" w:sz="8" w:color="auto"/>
            </w:tcBorders>
            <w:shd w:val="clear" w:color="auto" w:fill="B7E5FF"/>
          </w:tcPr>
          <w:p>
            <w:pPr>
              <w:spacing w:after="0"/>
              <w:rPr>
                <w:sz w:val="13"/>
                <w:szCs w:val="13"/>
                <w:color w:val="auto"/>
              </w:rPr>
            </w:pPr>
          </w:p>
        </w:tc>
        <w:tc>
          <w:tcPr>
            <w:tcW w:w="9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9,087</w:t>
            </w:r>
          </w:p>
        </w:tc>
        <w:tc>
          <w:tcPr>
            <w:tcW w:w="120" w:type="dxa"/>
            <w:vAlign w:val="bottom"/>
            <w:shd w:val="clear" w:color="auto" w:fill="B7E5FF"/>
          </w:tcPr>
          <w:p>
            <w:pPr>
              <w:spacing w:after="0"/>
              <w:rPr>
                <w:sz w:val="13"/>
                <w:szCs w:val="13"/>
                <w:color w:val="auto"/>
              </w:rPr>
            </w:pPr>
          </w:p>
        </w:tc>
        <w:tc>
          <w:tcPr>
            <w:tcW w:w="500" w:type="dxa"/>
            <w:vAlign w:val="bottom"/>
            <w:tcBorders>
              <w:bottom w:val="single" w:sz="8" w:color="auto"/>
            </w:tcBorders>
            <w:shd w:val="clear" w:color="auto" w:fill="B7E5FF"/>
          </w:tcPr>
          <w:p>
            <w:pPr>
              <w:spacing w:after="0"/>
              <w:rPr>
                <w:sz w:val="13"/>
                <w:szCs w:val="13"/>
                <w:color w:val="auto"/>
              </w:rPr>
            </w:pPr>
          </w:p>
        </w:tc>
        <w:tc>
          <w:tcPr>
            <w:tcW w:w="8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9,500</w:t>
            </w:r>
          </w:p>
        </w:tc>
      </w:tr>
      <w:tr>
        <w:trPr>
          <w:trHeight w:val="133"/>
        </w:trPr>
        <w:tc>
          <w:tcPr>
            <w:tcW w:w="3660" w:type="dxa"/>
            <w:vAlign w:val="bottom"/>
            <w:gridSpan w:val="2"/>
          </w:tcPr>
          <w:p>
            <w:pPr>
              <w:ind w:left="120"/>
              <w:spacing w:after="0" w:line="133" w:lineRule="exact"/>
              <w:rPr>
                <w:sz w:val="20"/>
                <w:szCs w:val="20"/>
                <w:color w:val="auto"/>
              </w:rPr>
            </w:pPr>
            <w:r>
              <w:rPr>
                <w:rFonts w:ascii="Arial" w:cs="Arial" w:eastAsia="Arial" w:hAnsi="Arial"/>
                <w:sz w:val="12"/>
                <w:szCs w:val="12"/>
                <w:color w:val="auto"/>
              </w:rPr>
              <w:t>Operating income</w:t>
            </w:r>
          </w:p>
        </w:tc>
        <w:tc>
          <w:tcPr>
            <w:tcW w:w="2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line="133" w:lineRule="exact"/>
              <w:rPr>
                <w:sz w:val="20"/>
                <w:szCs w:val="20"/>
                <w:color w:val="auto"/>
              </w:rPr>
            </w:pPr>
            <w:r>
              <w:rPr>
                <w:rFonts w:ascii="Arial" w:cs="Arial" w:eastAsia="Arial" w:hAnsi="Arial"/>
                <w:sz w:val="12"/>
                <w:szCs w:val="12"/>
                <w:color w:val="auto"/>
              </w:rPr>
              <w:t>20,531</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22,563</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jc w:val="right"/>
              <w:spacing w:after="0" w:line="133" w:lineRule="exact"/>
              <w:rPr>
                <w:sz w:val="20"/>
                <w:szCs w:val="20"/>
                <w:color w:val="auto"/>
              </w:rPr>
            </w:pPr>
            <w:r>
              <w:rPr>
                <w:rFonts w:ascii="Arial" w:cs="Arial" w:eastAsia="Arial" w:hAnsi="Arial"/>
                <w:sz w:val="12"/>
                <w:szCs w:val="12"/>
                <w:color w:val="auto"/>
              </w:rPr>
              <w:t>40,360</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Arial" w:cs="Arial" w:eastAsia="Arial" w:hAnsi="Arial"/>
                <w:sz w:val="12"/>
                <w:szCs w:val="12"/>
                <w:color w:val="auto"/>
              </w:rPr>
              <w:t>42,794</w:t>
            </w:r>
          </w:p>
        </w:tc>
      </w:tr>
      <w:tr>
        <w:trPr>
          <w:trHeight w:val="153"/>
        </w:trPr>
        <w:tc>
          <w:tcPr>
            <w:tcW w:w="3660" w:type="dxa"/>
            <w:vAlign w:val="bottom"/>
            <w:gridSpan w:val="2"/>
            <w:shd w:val="clear" w:color="auto" w:fill="B7E5FF"/>
          </w:tcPr>
          <w:p>
            <w:pPr>
              <w:ind w:left="20"/>
              <w:spacing w:after="0"/>
              <w:rPr>
                <w:sz w:val="20"/>
                <w:szCs w:val="20"/>
                <w:color w:val="auto"/>
              </w:rPr>
            </w:pPr>
            <w:r>
              <w:rPr>
                <w:rFonts w:ascii="Arial" w:cs="Arial" w:eastAsia="Arial" w:hAnsi="Arial"/>
                <w:sz w:val="12"/>
                <w:szCs w:val="12"/>
                <w:color w:val="auto"/>
              </w:rPr>
              <w:t>Other income (expense), net</w:t>
            </w:r>
          </w:p>
        </w:tc>
        <w:tc>
          <w:tcPr>
            <w:tcW w:w="2160" w:type="dxa"/>
            <w:vAlign w:val="bottom"/>
            <w:shd w:val="clear" w:color="auto" w:fill="B7E5FF"/>
          </w:tcPr>
          <w:p>
            <w:pPr>
              <w:spacing w:after="0"/>
              <w:rPr>
                <w:sz w:val="13"/>
                <w:szCs w:val="13"/>
                <w:color w:val="auto"/>
              </w:rPr>
            </w:pPr>
          </w:p>
        </w:tc>
        <w:tc>
          <w:tcPr>
            <w:tcW w:w="300" w:type="dxa"/>
            <w:vAlign w:val="bottom"/>
            <w:shd w:val="clear" w:color="auto" w:fill="B7E5FF"/>
          </w:tcPr>
          <w:p>
            <w:pPr>
              <w:spacing w:after="0"/>
              <w:rPr>
                <w:sz w:val="13"/>
                <w:szCs w:val="13"/>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43</w:t>
            </w:r>
          </w:p>
        </w:tc>
        <w:tc>
          <w:tcPr>
            <w:tcW w:w="100" w:type="dxa"/>
            <w:vAlign w:val="bottom"/>
            <w:shd w:val="clear" w:color="auto" w:fill="B7E5FF"/>
          </w:tcPr>
          <w:p>
            <w:pPr>
              <w:spacing w:after="0"/>
              <w:rPr>
                <w:sz w:val="13"/>
                <w:szCs w:val="13"/>
                <w:color w:val="auto"/>
              </w:rPr>
            </w:pPr>
          </w:p>
        </w:tc>
        <w:tc>
          <w:tcPr>
            <w:tcW w:w="520" w:type="dxa"/>
            <w:vAlign w:val="bottom"/>
            <w:shd w:val="clear" w:color="auto" w:fill="B7E5FF"/>
          </w:tcPr>
          <w:p>
            <w:pPr>
              <w:spacing w:after="0"/>
              <w:rPr>
                <w:sz w:val="13"/>
                <w:szCs w:val="13"/>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261</w:t>
            </w:r>
          </w:p>
        </w:tc>
        <w:tc>
          <w:tcPr>
            <w:tcW w:w="120" w:type="dxa"/>
            <w:vAlign w:val="bottom"/>
            <w:shd w:val="clear" w:color="auto" w:fill="B7E5FF"/>
          </w:tcPr>
          <w:p>
            <w:pPr>
              <w:spacing w:after="0"/>
              <w:rPr>
                <w:sz w:val="13"/>
                <w:szCs w:val="13"/>
                <w:color w:val="auto"/>
              </w:rPr>
            </w:pPr>
          </w:p>
        </w:tc>
        <w:tc>
          <w:tcPr>
            <w:tcW w:w="380" w:type="dxa"/>
            <w:vAlign w:val="bottom"/>
            <w:shd w:val="clear" w:color="auto" w:fill="B7E5FF"/>
          </w:tcPr>
          <w:p>
            <w:pPr>
              <w:spacing w:after="0"/>
              <w:rPr>
                <w:sz w:val="13"/>
                <w:szCs w:val="13"/>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(592)</w:t>
            </w:r>
          </w:p>
        </w:tc>
        <w:tc>
          <w:tcPr>
            <w:tcW w:w="120" w:type="dxa"/>
            <w:vAlign w:val="bottom"/>
            <w:shd w:val="clear" w:color="auto" w:fill="B7E5FF"/>
          </w:tcPr>
          <w:p>
            <w:pPr>
              <w:spacing w:after="0"/>
              <w:rPr>
                <w:sz w:val="13"/>
                <w:szCs w:val="13"/>
                <w:color w:val="auto"/>
              </w:rPr>
            </w:pPr>
          </w:p>
        </w:tc>
        <w:tc>
          <w:tcPr>
            <w:tcW w:w="500" w:type="dxa"/>
            <w:vAlign w:val="bottom"/>
            <w:shd w:val="clear" w:color="auto" w:fill="B7E5FF"/>
          </w:tcPr>
          <w:p>
            <w:pPr>
              <w:spacing w:after="0"/>
              <w:rPr>
                <w:sz w:val="13"/>
                <w:szCs w:val="13"/>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(108)</w:t>
            </w:r>
          </w:p>
        </w:tc>
      </w:tr>
      <w:tr>
        <w:trPr>
          <w:trHeight w:val="153"/>
        </w:trPr>
        <w:tc>
          <w:tcPr>
            <w:tcW w:w="820" w:type="dxa"/>
            <w:vAlign w:val="bottom"/>
          </w:tcPr>
          <w:p>
            <w:pPr>
              <w:ind w:left="20"/>
              <w:spacing w:after="0"/>
              <w:rPr>
                <w:sz w:val="20"/>
                <w:szCs w:val="20"/>
                <w:color w:val="auto"/>
              </w:rPr>
            </w:pPr>
            <w:r>
              <w:rPr>
                <w:rFonts w:ascii="Arial" w:cs="Arial" w:eastAsia="Arial" w:hAnsi="Arial"/>
                <w:sz w:val="12"/>
                <w:szCs w:val="12"/>
                <w:color w:val="auto"/>
                <w:w w:val="87"/>
              </w:rPr>
              <w:t>Interest expense</w:t>
            </w:r>
          </w:p>
        </w:tc>
        <w:tc>
          <w:tcPr>
            <w:tcW w:w="28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(1,283)</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(1,602)</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(2,497)</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(3,294)</w:t>
            </w:r>
          </w:p>
        </w:tc>
      </w:tr>
      <w:tr>
        <w:trPr>
          <w:trHeight w:val="153"/>
        </w:trPr>
        <w:tc>
          <w:tcPr>
            <w:tcW w:w="820" w:type="dxa"/>
            <w:vAlign w:val="bottom"/>
            <w:shd w:val="clear" w:color="auto" w:fill="B7E5FF"/>
          </w:tcPr>
          <w:p>
            <w:pPr>
              <w:ind w:left="20"/>
              <w:spacing w:after="0"/>
              <w:rPr>
                <w:sz w:val="20"/>
                <w:szCs w:val="20"/>
                <w:color w:val="auto"/>
              </w:rPr>
            </w:pPr>
            <w:r>
              <w:rPr>
                <w:rFonts w:ascii="Arial" w:cs="Arial" w:eastAsia="Arial" w:hAnsi="Arial"/>
                <w:sz w:val="12"/>
                <w:szCs w:val="12"/>
                <w:color w:val="auto"/>
                <w:w w:val="95"/>
              </w:rPr>
              <w:t>Interest income</w:t>
            </w:r>
          </w:p>
        </w:tc>
        <w:tc>
          <w:tcPr>
            <w:tcW w:w="2840" w:type="dxa"/>
            <w:vAlign w:val="bottom"/>
            <w:shd w:val="clear" w:color="auto" w:fill="B7E5FF"/>
          </w:tcPr>
          <w:p>
            <w:pPr>
              <w:spacing w:after="0"/>
              <w:rPr>
                <w:sz w:val="13"/>
                <w:szCs w:val="13"/>
                <w:color w:val="auto"/>
              </w:rPr>
            </w:pPr>
          </w:p>
        </w:tc>
        <w:tc>
          <w:tcPr>
            <w:tcW w:w="2160" w:type="dxa"/>
            <w:vAlign w:val="bottom"/>
            <w:shd w:val="clear" w:color="auto" w:fill="B7E5FF"/>
          </w:tcPr>
          <w:p>
            <w:pPr>
              <w:spacing w:after="0"/>
              <w:rPr>
                <w:sz w:val="13"/>
                <w:szCs w:val="13"/>
                <w:color w:val="auto"/>
              </w:rPr>
            </w:pPr>
          </w:p>
        </w:tc>
        <w:tc>
          <w:tcPr>
            <w:tcW w:w="300" w:type="dxa"/>
            <w:vAlign w:val="bottom"/>
            <w:tcBorders>
              <w:bottom w:val="single" w:sz="8" w:color="auto"/>
            </w:tcBorders>
            <w:shd w:val="clear" w:color="auto" w:fill="B7E5FF"/>
          </w:tcPr>
          <w:p>
            <w:pPr>
              <w:spacing w:after="0"/>
              <w:rPr>
                <w:sz w:val="13"/>
                <w:szCs w:val="13"/>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550</w:t>
            </w:r>
          </w:p>
        </w:tc>
        <w:tc>
          <w:tcPr>
            <w:tcW w:w="100" w:type="dxa"/>
            <w:vAlign w:val="bottom"/>
            <w:shd w:val="clear" w:color="auto" w:fill="B7E5FF"/>
          </w:tcPr>
          <w:p>
            <w:pPr>
              <w:spacing w:after="0"/>
              <w:rPr>
                <w:sz w:val="13"/>
                <w:szCs w:val="13"/>
                <w:color w:val="auto"/>
              </w:rPr>
            </w:pPr>
          </w:p>
        </w:tc>
        <w:tc>
          <w:tcPr>
            <w:tcW w:w="520" w:type="dxa"/>
            <w:vAlign w:val="bottom"/>
            <w:tcBorders>
              <w:bottom w:val="single" w:sz="8" w:color="auto"/>
            </w:tcBorders>
            <w:shd w:val="clear" w:color="auto" w:fill="B7E5FF"/>
          </w:tcPr>
          <w:p>
            <w:pPr>
              <w:spacing w:after="0"/>
              <w:rPr>
                <w:sz w:val="13"/>
                <w:szCs w:val="13"/>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571</w:t>
            </w:r>
          </w:p>
        </w:tc>
        <w:tc>
          <w:tcPr>
            <w:tcW w:w="120" w:type="dxa"/>
            <w:vAlign w:val="bottom"/>
            <w:shd w:val="clear" w:color="auto" w:fill="B7E5FF"/>
          </w:tcPr>
          <w:p>
            <w:pPr>
              <w:spacing w:after="0"/>
              <w:rPr>
                <w:sz w:val="13"/>
                <w:szCs w:val="13"/>
                <w:color w:val="auto"/>
              </w:rPr>
            </w:pPr>
          </w:p>
        </w:tc>
        <w:tc>
          <w:tcPr>
            <w:tcW w:w="380" w:type="dxa"/>
            <w:vAlign w:val="bottom"/>
            <w:tcBorders>
              <w:bottom w:val="single" w:sz="8" w:color="auto"/>
            </w:tcBorders>
            <w:shd w:val="clear" w:color="auto" w:fill="B7E5FF"/>
          </w:tcPr>
          <w:p>
            <w:pPr>
              <w:spacing w:after="0"/>
              <w:rPr>
                <w:sz w:val="13"/>
                <w:szCs w:val="13"/>
                <w:color w:val="auto"/>
              </w:rPr>
            </w:pPr>
          </w:p>
        </w:tc>
        <w:tc>
          <w:tcPr>
            <w:tcW w:w="9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988</w:t>
            </w:r>
          </w:p>
        </w:tc>
        <w:tc>
          <w:tcPr>
            <w:tcW w:w="120" w:type="dxa"/>
            <w:vAlign w:val="bottom"/>
            <w:shd w:val="clear" w:color="auto" w:fill="B7E5FF"/>
          </w:tcPr>
          <w:p>
            <w:pPr>
              <w:spacing w:after="0"/>
              <w:rPr>
                <w:sz w:val="13"/>
                <w:szCs w:val="13"/>
                <w:color w:val="auto"/>
              </w:rPr>
            </w:pPr>
          </w:p>
        </w:tc>
        <w:tc>
          <w:tcPr>
            <w:tcW w:w="500" w:type="dxa"/>
            <w:vAlign w:val="bottom"/>
            <w:tcBorders>
              <w:bottom w:val="single" w:sz="8" w:color="auto"/>
            </w:tcBorders>
            <w:shd w:val="clear" w:color="auto" w:fill="B7E5FF"/>
          </w:tcPr>
          <w:p>
            <w:pPr>
              <w:spacing w:after="0"/>
              <w:rPr>
                <w:sz w:val="13"/>
                <w:szCs w:val="13"/>
                <w:color w:val="auto"/>
              </w:rPr>
            </w:pPr>
          </w:p>
        </w:tc>
        <w:tc>
          <w:tcPr>
            <w:tcW w:w="8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1,060</w:t>
            </w:r>
          </w:p>
        </w:tc>
      </w:tr>
      <w:tr>
        <w:trPr>
          <w:trHeight w:val="133"/>
        </w:trPr>
        <w:tc>
          <w:tcPr>
            <w:tcW w:w="3660" w:type="dxa"/>
            <w:vAlign w:val="bottom"/>
            <w:gridSpan w:val="2"/>
          </w:tcPr>
          <w:p>
            <w:pPr>
              <w:ind w:left="120"/>
              <w:spacing w:after="0" w:line="133" w:lineRule="exact"/>
              <w:rPr>
                <w:sz w:val="20"/>
                <w:szCs w:val="20"/>
                <w:color w:val="auto"/>
              </w:rPr>
            </w:pPr>
            <w:r>
              <w:rPr>
                <w:rFonts w:ascii="Arial" w:cs="Arial" w:eastAsia="Arial" w:hAnsi="Arial"/>
                <w:sz w:val="12"/>
                <w:szCs w:val="12"/>
                <w:color w:val="auto"/>
              </w:rPr>
              <w:t>Income before taxes and equity in net income of associated</w:t>
            </w:r>
          </w:p>
        </w:tc>
        <w:tc>
          <w:tcPr>
            <w:tcW w:w="2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53"/>
        </w:trPr>
        <w:tc>
          <w:tcPr>
            <w:tcW w:w="820" w:type="dxa"/>
            <w:vAlign w:val="bottom"/>
            <w:shd w:val="clear" w:color="auto" w:fill="B7E5FF"/>
          </w:tcPr>
          <w:p>
            <w:pPr>
              <w:ind w:left="240"/>
              <w:spacing w:after="0"/>
              <w:rPr>
                <w:sz w:val="20"/>
                <w:szCs w:val="20"/>
                <w:color w:val="auto"/>
              </w:rPr>
            </w:pPr>
            <w:r>
              <w:rPr>
                <w:rFonts w:ascii="Arial" w:cs="Arial" w:eastAsia="Arial" w:hAnsi="Arial"/>
                <w:sz w:val="12"/>
                <w:szCs w:val="12"/>
                <w:color w:val="auto"/>
                <w:w w:val="96"/>
              </w:rPr>
              <w:t>companies</w:t>
            </w:r>
          </w:p>
        </w:tc>
        <w:tc>
          <w:tcPr>
            <w:tcW w:w="2840" w:type="dxa"/>
            <w:vAlign w:val="bottom"/>
            <w:shd w:val="clear" w:color="auto" w:fill="B7E5FF"/>
          </w:tcPr>
          <w:p>
            <w:pPr>
              <w:spacing w:after="0"/>
              <w:rPr>
                <w:sz w:val="13"/>
                <w:szCs w:val="13"/>
                <w:color w:val="auto"/>
              </w:rPr>
            </w:pPr>
          </w:p>
        </w:tc>
        <w:tc>
          <w:tcPr>
            <w:tcW w:w="2160" w:type="dxa"/>
            <w:vAlign w:val="bottom"/>
            <w:shd w:val="clear" w:color="auto" w:fill="B7E5FF"/>
          </w:tcPr>
          <w:p>
            <w:pPr>
              <w:spacing w:after="0"/>
              <w:rPr>
                <w:sz w:val="13"/>
                <w:szCs w:val="13"/>
                <w:color w:val="auto"/>
              </w:rPr>
            </w:pPr>
          </w:p>
        </w:tc>
        <w:tc>
          <w:tcPr>
            <w:tcW w:w="300" w:type="dxa"/>
            <w:vAlign w:val="bottom"/>
            <w:shd w:val="clear" w:color="auto" w:fill="B7E5FF"/>
          </w:tcPr>
          <w:p>
            <w:pPr>
              <w:spacing w:after="0"/>
              <w:rPr>
                <w:sz w:val="13"/>
                <w:szCs w:val="13"/>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19,841</w:t>
            </w:r>
          </w:p>
        </w:tc>
        <w:tc>
          <w:tcPr>
            <w:tcW w:w="100" w:type="dxa"/>
            <w:vAlign w:val="bottom"/>
            <w:shd w:val="clear" w:color="auto" w:fill="B7E5FF"/>
          </w:tcPr>
          <w:p>
            <w:pPr>
              <w:spacing w:after="0"/>
              <w:rPr>
                <w:sz w:val="13"/>
                <w:szCs w:val="13"/>
                <w:color w:val="auto"/>
              </w:rPr>
            </w:pPr>
          </w:p>
        </w:tc>
        <w:tc>
          <w:tcPr>
            <w:tcW w:w="520" w:type="dxa"/>
            <w:vAlign w:val="bottom"/>
            <w:shd w:val="clear" w:color="auto" w:fill="B7E5FF"/>
          </w:tcPr>
          <w:p>
            <w:pPr>
              <w:spacing w:after="0"/>
              <w:rPr>
                <w:sz w:val="13"/>
                <w:szCs w:val="13"/>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21,793</w:t>
            </w:r>
          </w:p>
        </w:tc>
        <w:tc>
          <w:tcPr>
            <w:tcW w:w="120" w:type="dxa"/>
            <w:vAlign w:val="bottom"/>
            <w:shd w:val="clear" w:color="auto" w:fill="B7E5FF"/>
          </w:tcPr>
          <w:p>
            <w:pPr>
              <w:spacing w:after="0"/>
              <w:rPr>
                <w:sz w:val="13"/>
                <w:szCs w:val="13"/>
                <w:color w:val="auto"/>
              </w:rPr>
            </w:pPr>
          </w:p>
        </w:tc>
        <w:tc>
          <w:tcPr>
            <w:tcW w:w="380" w:type="dxa"/>
            <w:vAlign w:val="bottom"/>
            <w:shd w:val="clear" w:color="auto" w:fill="B7E5FF"/>
          </w:tcPr>
          <w:p>
            <w:pPr>
              <w:spacing w:after="0"/>
              <w:rPr>
                <w:sz w:val="13"/>
                <w:szCs w:val="13"/>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38,259</w:t>
            </w:r>
          </w:p>
        </w:tc>
        <w:tc>
          <w:tcPr>
            <w:tcW w:w="120" w:type="dxa"/>
            <w:vAlign w:val="bottom"/>
            <w:shd w:val="clear" w:color="auto" w:fill="B7E5FF"/>
          </w:tcPr>
          <w:p>
            <w:pPr>
              <w:spacing w:after="0"/>
              <w:rPr>
                <w:sz w:val="13"/>
                <w:szCs w:val="13"/>
                <w:color w:val="auto"/>
              </w:rPr>
            </w:pPr>
          </w:p>
        </w:tc>
        <w:tc>
          <w:tcPr>
            <w:tcW w:w="500" w:type="dxa"/>
            <w:vAlign w:val="bottom"/>
            <w:shd w:val="clear" w:color="auto" w:fill="B7E5FF"/>
          </w:tcPr>
          <w:p>
            <w:pPr>
              <w:spacing w:after="0"/>
              <w:rPr>
                <w:sz w:val="13"/>
                <w:szCs w:val="13"/>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40,452</w:t>
            </w:r>
          </w:p>
        </w:tc>
      </w:tr>
      <w:tr>
        <w:trPr>
          <w:trHeight w:val="153"/>
        </w:trPr>
        <w:tc>
          <w:tcPr>
            <w:tcW w:w="3660" w:type="dxa"/>
            <w:vAlign w:val="bottom"/>
            <w:gridSpan w:val="2"/>
          </w:tcPr>
          <w:p>
            <w:pPr>
              <w:ind w:left="20"/>
              <w:spacing w:after="0"/>
              <w:rPr>
                <w:sz w:val="20"/>
                <w:szCs w:val="20"/>
                <w:color w:val="auto"/>
              </w:rPr>
            </w:pPr>
            <w:r>
              <w:rPr>
                <w:rFonts w:ascii="Arial" w:cs="Arial" w:eastAsia="Arial" w:hAnsi="Arial"/>
                <w:sz w:val="12"/>
                <w:szCs w:val="12"/>
                <w:color w:val="auto"/>
              </w:rPr>
              <w:t>Taxes on income before equity in net income of associated</w:t>
            </w:r>
          </w:p>
        </w:tc>
        <w:tc>
          <w:tcPr>
            <w:tcW w:w="2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3"/>
        </w:trPr>
        <w:tc>
          <w:tcPr>
            <w:tcW w:w="820" w:type="dxa"/>
            <w:vAlign w:val="bottom"/>
            <w:shd w:val="clear" w:color="auto" w:fill="B7E5FF"/>
          </w:tcPr>
          <w:p>
            <w:pPr>
              <w:ind w:left="120"/>
              <w:spacing w:after="0"/>
              <w:rPr>
                <w:sz w:val="20"/>
                <w:szCs w:val="20"/>
                <w:color w:val="auto"/>
              </w:rPr>
            </w:pPr>
            <w:r>
              <w:rPr>
                <w:rFonts w:ascii="Arial" w:cs="Arial" w:eastAsia="Arial" w:hAnsi="Arial"/>
                <w:sz w:val="12"/>
                <w:szCs w:val="12"/>
                <w:color w:val="auto"/>
              </w:rPr>
              <w:t>companies</w:t>
            </w:r>
          </w:p>
        </w:tc>
        <w:tc>
          <w:tcPr>
            <w:tcW w:w="2840" w:type="dxa"/>
            <w:vAlign w:val="bottom"/>
            <w:shd w:val="clear" w:color="auto" w:fill="B7E5FF"/>
          </w:tcPr>
          <w:p>
            <w:pPr>
              <w:spacing w:after="0"/>
              <w:rPr>
                <w:sz w:val="13"/>
                <w:szCs w:val="13"/>
                <w:color w:val="auto"/>
              </w:rPr>
            </w:pPr>
          </w:p>
        </w:tc>
        <w:tc>
          <w:tcPr>
            <w:tcW w:w="2160" w:type="dxa"/>
            <w:vAlign w:val="bottom"/>
            <w:shd w:val="clear" w:color="auto" w:fill="B7E5FF"/>
          </w:tcPr>
          <w:p>
            <w:pPr>
              <w:spacing w:after="0"/>
              <w:rPr>
                <w:sz w:val="13"/>
                <w:szCs w:val="13"/>
                <w:color w:val="auto"/>
              </w:rPr>
            </w:pPr>
          </w:p>
        </w:tc>
        <w:tc>
          <w:tcPr>
            <w:tcW w:w="300" w:type="dxa"/>
            <w:vAlign w:val="bottom"/>
            <w:tcBorders>
              <w:bottom w:val="single" w:sz="8" w:color="auto"/>
            </w:tcBorders>
            <w:shd w:val="clear" w:color="auto" w:fill="B7E5FF"/>
          </w:tcPr>
          <w:p>
            <w:pPr>
              <w:spacing w:after="0"/>
              <w:rPr>
                <w:sz w:val="13"/>
                <w:szCs w:val="13"/>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4,800</w:t>
            </w:r>
          </w:p>
        </w:tc>
        <w:tc>
          <w:tcPr>
            <w:tcW w:w="100" w:type="dxa"/>
            <w:vAlign w:val="bottom"/>
            <w:shd w:val="clear" w:color="auto" w:fill="B7E5FF"/>
          </w:tcPr>
          <w:p>
            <w:pPr>
              <w:spacing w:after="0"/>
              <w:rPr>
                <w:sz w:val="13"/>
                <w:szCs w:val="13"/>
                <w:color w:val="auto"/>
              </w:rPr>
            </w:pPr>
          </w:p>
        </w:tc>
        <w:tc>
          <w:tcPr>
            <w:tcW w:w="520" w:type="dxa"/>
            <w:vAlign w:val="bottom"/>
            <w:tcBorders>
              <w:bottom w:val="single" w:sz="8" w:color="auto"/>
            </w:tcBorders>
            <w:shd w:val="clear" w:color="auto" w:fill="B7E5FF"/>
          </w:tcPr>
          <w:p>
            <w:pPr>
              <w:spacing w:after="0"/>
              <w:rPr>
                <w:sz w:val="13"/>
                <w:szCs w:val="13"/>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3,668</w:t>
            </w:r>
          </w:p>
        </w:tc>
        <w:tc>
          <w:tcPr>
            <w:tcW w:w="120" w:type="dxa"/>
            <w:vAlign w:val="bottom"/>
            <w:shd w:val="clear" w:color="auto" w:fill="B7E5FF"/>
          </w:tcPr>
          <w:p>
            <w:pPr>
              <w:spacing w:after="0"/>
              <w:rPr>
                <w:sz w:val="13"/>
                <w:szCs w:val="13"/>
                <w:color w:val="auto"/>
              </w:rPr>
            </w:pPr>
          </w:p>
        </w:tc>
        <w:tc>
          <w:tcPr>
            <w:tcW w:w="380" w:type="dxa"/>
            <w:vAlign w:val="bottom"/>
            <w:tcBorders>
              <w:bottom w:val="single" w:sz="8" w:color="auto"/>
            </w:tcBorders>
            <w:shd w:val="clear" w:color="auto" w:fill="B7E5FF"/>
          </w:tcPr>
          <w:p>
            <w:pPr>
              <w:spacing w:after="0"/>
              <w:rPr>
                <w:sz w:val="13"/>
                <w:szCs w:val="13"/>
                <w:color w:val="auto"/>
              </w:rPr>
            </w:pPr>
          </w:p>
        </w:tc>
        <w:tc>
          <w:tcPr>
            <w:tcW w:w="9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9,729</w:t>
            </w:r>
          </w:p>
        </w:tc>
        <w:tc>
          <w:tcPr>
            <w:tcW w:w="120" w:type="dxa"/>
            <w:vAlign w:val="bottom"/>
            <w:shd w:val="clear" w:color="auto" w:fill="B7E5FF"/>
          </w:tcPr>
          <w:p>
            <w:pPr>
              <w:spacing w:after="0"/>
              <w:rPr>
                <w:sz w:val="13"/>
                <w:szCs w:val="13"/>
                <w:color w:val="auto"/>
              </w:rPr>
            </w:pPr>
          </w:p>
        </w:tc>
        <w:tc>
          <w:tcPr>
            <w:tcW w:w="500" w:type="dxa"/>
            <w:vAlign w:val="bottom"/>
            <w:tcBorders>
              <w:bottom w:val="single" w:sz="8" w:color="auto"/>
            </w:tcBorders>
            <w:shd w:val="clear" w:color="auto" w:fill="B7E5FF"/>
          </w:tcPr>
          <w:p>
            <w:pPr>
              <w:spacing w:after="0"/>
              <w:rPr>
                <w:sz w:val="13"/>
                <w:szCs w:val="13"/>
                <w:color w:val="auto"/>
              </w:rPr>
            </w:pPr>
          </w:p>
        </w:tc>
        <w:tc>
          <w:tcPr>
            <w:tcW w:w="8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9,224</w:t>
            </w:r>
          </w:p>
        </w:tc>
      </w:tr>
      <w:tr>
        <w:trPr>
          <w:trHeight w:val="133"/>
        </w:trPr>
        <w:tc>
          <w:tcPr>
            <w:tcW w:w="3660" w:type="dxa"/>
            <w:vAlign w:val="bottom"/>
            <w:gridSpan w:val="2"/>
          </w:tcPr>
          <w:p>
            <w:pPr>
              <w:ind w:left="120"/>
              <w:spacing w:after="0" w:line="133" w:lineRule="exact"/>
              <w:rPr>
                <w:sz w:val="20"/>
                <w:szCs w:val="20"/>
                <w:color w:val="auto"/>
              </w:rPr>
            </w:pPr>
            <w:r>
              <w:rPr>
                <w:rFonts w:ascii="Arial" w:cs="Arial" w:eastAsia="Arial" w:hAnsi="Arial"/>
                <w:sz w:val="12"/>
                <w:szCs w:val="12"/>
                <w:color w:val="auto"/>
              </w:rPr>
              <w:t>Income before equity in net income of associated companies</w:t>
            </w:r>
          </w:p>
        </w:tc>
        <w:tc>
          <w:tcPr>
            <w:tcW w:w="2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line="133" w:lineRule="exact"/>
              <w:rPr>
                <w:sz w:val="20"/>
                <w:szCs w:val="20"/>
                <w:color w:val="auto"/>
              </w:rPr>
            </w:pPr>
            <w:r>
              <w:rPr>
                <w:rFonts w:ascii="Arial" w:cs="Arial" w:eastAsia="Arial" w:hAnsi="Arial"/>
                <w:sz w:val="12"/>
                <w:szCs w:val="12"/>
                <w:color w:val="auto"/>
              </w:rPr>
              <w:t>15,041</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18,125</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jc w:val="right"/>
              <w:spacing w:after="0" w:line="133" w:lineRule="exact"/>
              <w:rPr>
                <w:sz w:val="20"/>
                <w:szCs w:val="20"/>
                <w:color w:val="auto"/>
              </w:rPr>
            </w:pPr>
            <w:r>
              <w:rPr>
                <w:rFonts w:ascii="Arial" w:cs="Arial" w:eastAsia="Arial" w:hAnsi="Arial"/>
                <w:sz w:val="12"/>
                <w:szCs w:val="12"/>
                <w:color w:val="auto"/>
              </w:rPr>
              <w:t>28,530</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Arial" w:cs="Arial" w:eastAsia="Arial" w:hAnsi="Arial"/>
                <w:sz w:val="12"/>
                <w:szCs w:val="12"/>
                <w:color w:val="auto"/>
              </w:rPr>
              <w:t>31,228</w:t>
            </w:r>
          </w:p>
        </w:tc>
      </w:tr>
      <w:tr>
        <w:trPr>
          <w:trHeight w:val="153"/>
        </w:trPr>
        <w:tc>
          <w:tcPr>
            <w:tcW w:w="3660" w:type="dxa"/>
            <w:vAlign w:val="bottom"/>
            <w:gridSpan w:val="2"/>
            <w:shd w:val="clear" w:color="auto" w:fill="B7E5FF"/>
          </w:tcPr>
          <w:p>
            <w:pPr>
              <w:ind w:left="20"/>
              <w:spacing w:after="0"/>
              <w:rPr>
                <w:sz w:val="20"/>
                <w:szCs w:val="20"/>
                <w:color w:val="auto"/>
              </w:rPr>
            </w:pPr>
            <w:r>
              <w:rPr>
                <w:rFonts w:ascii="Arial" w:cs="Arial" w:eastAsia="Arial" w:hAnsi="Arial"/>
                <w:sz w:val="12"/>
                <w:szCs w:val="12"/>
                <w:color w:val="auto"/>
              </w:rPr>
              <w:t>Equity in net income of associated companies</w:t>
            </w:r>
          </w:p>
        </w:tc>
        <w:tc>
          <w:tcPr>
            <w:tcW w:w="2160" w:type="dxa"/>
            <w:vAlign w:val="bottom"/>
            <w:shd w:val="clear" w:color="auto" w:fill="B7E5FF"/>
          </w:tcPr>
          <w:p>
            <w:pPr>
              <w:spacing w:after="0"/>
              <w:rPr>
                <w:sz w:val="13"/>
                <w:szCs w:val="13"/>
                <w:color w:val="auto"/>
              </w:rPr>
            </w:pPr>
          </w:p>
        </w:tc>
        <w:tc>
          <w:tcPr>
            <w:tcW w:w="300" w:type="dxa"/>
            <w:vAlign w:val="bottom"/>
            <w:tcBorders>
              <w:bottom w:val="single" w:sz="8" w:color="auto"/>
            </w:tcBorders>
            <w:shd w:val="clear" w:color="auto" w:fill="B7E5FF"/>
          </w:tcPr>
          <w:p>
            <w:pPr>
              <w:spacing w:after="0"/>
              <w:rPr>
                <w:sz w:val="13"/>
                <w:szCs w:val="13"/>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608</w:t>
            </w:r>
          </w:p>
        </w:tc>
        <w:tc>
          <w:tcPr>
            <w:tcW w:w="100" w:type="dxa"/>
            <w:vAlign w:val="bottom"/>
            <w:shd w:val="clear" w:color="auto" w:fill="B7E5FF"/>
          </w:tcPr>
          <w:p>
            <w:pPr>
              <w:spacing w:after="0"/>
              <w:rPr>
                <w:sz w:val="13"/>
                <w:szCs w:val="13"/>
                <w:color w:val="auto"/>
              </w:rPr>
            </w:pPr>
          </w:p>
        </w:tc>
        <w:tc>
          <w:tcPr>
            <w:tcW w:w="520" w:type="dxa"/>
            <w:vAlign w:val="bottom"/>
            <w:tcBorders>
              <w:bottom w:val="single" w:sz="8" w:color="auto"/>
            </w:tcBorders>
            <w:shd w:val="clear" w:color="auto" w:fill="B7E5FF"/>
          </w:tcPr>
          <w:p>
            <w:pPr>
              <w:spacing w:after="0"/>
              <w:rPr>
                <w:sz w:val="13"/>
                <w:szCs w:val="13"/>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1,245</w:t>
            </w:r>
          </w:p>
        </w:tc>
        <w:tc>
          <w:tcPr>
            <w:tcW w:w="120" w:type="dxa"/>
            <w:vAlign w:val="bottom"/>
            <w:shd w:val="clear" w:color="auto" w:fill="B7E5FF"/>
          </w:tcPr>
          <w:p>
            <w:pPr>
              <w:spacing w:after="0"/>
              <w:rPr>
                <w:sz w:val="13"/>
                <w:szCs w:val="13"/>
                <w:color w:val="auto"/>
              </w:rPr>
            </w:pPr>
          </w:p>
        </w:tc>
        <w:tc>
          <w:tcPr>
            <w:tcW w:w="380" w:type="dxa"/>
            <w:vAlign w:val="bottom"/>
            <w:tcBorders>
              <w:bottom w:val="single" w:sz="8" w:color="auto"/>
            </w:tcBorders>
            <w:shd w:val="clear" w:color="auto" w:fill="B7E5FF"/>
          </w:tcPr>
          <w:p>
            <w:pPr>
              <w:spacing w:after="0"/>
              <w:rPr>
                <w:sz w:val="13"/>
                <w:szCs w:val="13"/>
                <w:color w:val="auto"/>
              </w:rPr>
            </w:pPr>
          </w:p>
        </w:tc>
        <w:tc>
          <w:tcPr>
            <w:tcW w:w="9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1,019</w:t>
            </w:r>
          </w:p>
        </w:tc>
        <w:tc>
          <w:tcPr>
            <w:tcW w:w="120" w:type="dxa"/>
            <w:vAlign w:val="bottom"/>
            <w:shd w:val="clear" w:color="auto" w:fill="B7E5FF"/>
          </w:tcPr>
          <w:p>
            <w:pPr>
              <w:spacing w:after="0"/>
              <w:rPr>
                <w:sz w:val="13"/>
                <w:szCs w:val="13"/>
                <w:color w:val="auto"/>
              </w:rPr>
            </w:pPr>
          </w:p>
        </w:tc>
        <w:tc>
          <w:tcPr>
            <w:tcW w:w="500" w:type="dxa"/>
            <w:vAlign w:val="bottom"/>
            <w:tcBorders>
              <w:bottom w:val="single" w:sz="8" w:color="auto"/>
            </w:tcBorders>
            <w:shd w:val="clear" w:color="auto" w:fill="B7E5FF"/>
          </w:tcPr>
          <w:p>
            <w:pPr>
              <w:spacing w:after="0"/>
              <w:rPr>
                <w:sz w:val="13"/>
                <w:szCs w:val="13"/>
                <w:color w:val="auto"/>
              </w:rPr>
            </w:pPr>
          </w:p>
        </w:tc>
        <w:tc>
          <w:tcPr>
            <w:tcW w:w="8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929</w:t>
            </w:r>
          </w:p>
        </w:tc>
      </w:tr>
      <w:tr>
        <w:trPr>
          <w:trHeight w:val="133"/>
        </w:trPr>
        <w:tc>
          <w:tcPr>
            <w:tcW w:w="820" w:type="dxa"/>
            <w:vAlign w:val="bottom"/>
          </w:tcPr>
          <w:p>
            <w:pPr>
              <w:ind w:left="120"/>
              <w:spacing w:after="0" w:line="133" w:lineRule="exact"/>
              <w:rPr>
                <w:sz w:val="20"/>
                <w:szCs w:val="20"/>
                <w:color w:val="auto"/>
              </w:rPr>
            </w:pPr>
            <w:r>
              <w:rPr>
                <w:rFonts w:ascii="Arial" w:cs="Arial" w:eastAsia="Arial" w:hAnsi="Arial"/>
                <w:sz w:val="12"/>
                <w:szCs w:val="12"/>
                <w:color w:val="auto"/>
              </w:rPr>
              <w:t>Net income</w:t>
            </w:r>
          </w:p>
        </w:tc>
        <w:tc>
          <w:tcPr>
            <w:tcW w:w="28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line="133" w:lineRule="exact"/>
              <w:rPr>
                <w:sz w:val="20"/>
                <w:szCs w:val="20"/>
                <w:color w:val="auto"/>
              </w:rPr>
            </w:pPr>
            <w:r>
              <w:rPr>
                <w:rFonts w:ascii="Arial" w:cs="Arial" w:eastAsia="Arial" w:hAnsi="Arial"/>
                <w:sz w:val="12"/>
                <w:szCs w:val="12"/>
                <w:color w:val="auto"/>
              </w:rPr>
              <w:t>15,649</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19,370</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jc w:val="right"/>
              <w:spacing w:after="0" w:line="133" w:lineRule="exact"/>
              <w:rPr>
                <w:sz w:val="20"/>
                <w:szCs w:val="20"/>
                <w:color w:val="auto"/>
              </w:rPr>
            </w:pPr>
            <w:r>
              <w:rPr>
                <w:rFonts w:ascii="Arial" w:cs="Arial" w:eastAsia="Arial" w:hAnsi="Arial"/>
                <w:sz w:val="12"/>
                <w:szCs w:val="12"/>
                <w:color w:val="auto"/>
              </w:rPr>
              <w:t>29,549</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Arial" w:cs="Arial" w:eastAsia="Arial" w:hAnsi="Arial"/>
                <w:sz w:val="12"/>
                <w:szCs w:val="12"/>
                <w:color w:val="auto"/>
              </w:rPr>
              <w:t>32,157</w:t>
            </w:r>
          </w:p>
        </w:tc>
      </w:tr>
      <w:tr>
        <w:trPr>
          <w:trHeight w:val="153"/>
        </w:trPr>
        <w:tc>
          <w:tcPr>
            <w:tcW w:w="3660" w:type="dxa"/>
            <w:vAlign w:val="bottom"/>
            <w:gridSpan w:val="2"/>
            <w:shd w:val="clear" w:color="auto" w:fill="B7E5FF"/>
          </w:tcPr>
          <w:p>
            <w:pPr>
              <w:ind w:left="20"/>
              <w:spacing w:after="0"/>
              <w:rPr>
                <w:sz w:val="20"/>
                <w:szCs w:val="20"/>
                <w:color w:val="auto"/>
              </w:rPr>
            </w:pPr>
            <w:r>
              <w:rPr>
                <w:rFonts w:ascii="Arial" w:cs="Arial" w:eastAsia="Arial" w:hAnsi="Arial"/>
                <w:sz w:val="12"/>
                <w:szCs w:val="12"/>
                <w:color w:val="auto"/>
              </w:rPr>
              <w:t>Less: Net income attributable to noncontrolling interest</w:t>
            </w:r>
          </w:p>
        </w:tc>
        <w:tc>
          <w:tcPr>
            <w:tcW w:w="2160" w:type="dxa"/>
            <w:vAlign w:val="bottom"/>
            <w:shd w:val="clear" w:color="auto" w:fill="B7E5FF"/>
          </w:tcPr>
          <w:p>
            <w:pPr>
              <w:spacing w:after="0"/>
              <w:rPr>
                <w:sz w:val="13"/>
                <w:szCs w:val="13"/>
                <w:color w:val="auto"/>
              </w:rPr>
            </w:pPr>
          </w:p>
        </w:tc>
        <w:tc>
          <w:tcPr>
            <w:tcW w:w="300" w:type="dxa"/>
            <w:vAlign w:val="bottom"/>
            <w:tcBorders>
              <w:bottom w:val="single" w:sz="8" w:color="auto"/>
            </w:tcBorders>
            <w:shd w:val="clear" w:color="auto" w:fill="B7E5FF"/>
          </w:tcPr>
          <w:p>
            <w:pPr>
              <w:spacing w:after="0"/>
              <w:rPr>
                <w:sz w:val="13"/>
                <w:szCs w:val="13"/>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58</w:t>
            </w:r>
          </w:p>
        </w:tc>
        <w:tc>
          <w:tcPr>
            <w:tcW w:w="100" w:type="dxa"/>
            <w:vAlign w:val="bottom"/>
            <w:shd w:val="clear" w:color="auto" w:fill="B7E5FF"/>
          </w:tcPr>
          <w:p>
            <w:pPr>
              <w:spacing w:after="0"/>
              <w:rPr>
                <w:sz w:val="13"/>
                <w:szCs w:val="13"/>
                <w:color w:val="auto"/>
              </w:rPr>
            </w:pPr>
          </w:p>
        </w:tc>
        <w:tc>
          <w:tcPr>
            <w:tcW w:w="520" w:type="dxa"/>
            <w:vAlign w:val="bottom"/>
            <w:tcBorders>
              <w:bottom w:val="single" w:sz="8" w:color="auto"/>
            </w:tcBorders>
            <w:shd w:val="clear" w:color="auto" w:fill="B7E5FF"/>
          </w:tcPr>
          <w:p>
            <w:pPr>
              <w:spacing w:after="0"/>
              <w:rPr>
                <w:sz w:val="13"/>
                <w:szCs w:val="13"/>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124</w:t>
            </w:r>
          </w:p>
        </w:tc>
        <w:tc>
          <w:tcPr>
            <w:tcW w:w="120" w:type="dxa"/>
            <w:vAlign w:val="bottom"/>
            <w:shd w:val="clear" w:color="auto" w:fill="B7E5FF"/>
          </w:tcPr>
          <w:p>
            <w:pPr>
              <w:spacing w:after="0"/>
              <w:rPr>
                <w:sz w:val="13"/>
                <w:szCs w:val="13"/>
                <w:color w:val="auto"/>
              </w:rPr>
            </w:pPr>
          </w:p>
        </w:tc>
        <w:tc>
          <w:tcPr>
            <w:tcW w:w="380" w:type="dxa"/>
            <w:vAlign w:val="bottom"/>
            <w:tcBorders>
              <w:bottom w:val="single" w:sz="8" w:color="auto"/>
            </w:tcBorders>
            <w:shd w:val="clear" w:color="auto" w:fill="B7E5FF"/>
          </w:tcPr>
          <w:p>
            <w:pPr>
              <w:spacing w:after="0"/>
              <w:rPr>
                <w:sz w:val="13"/>
                <w:szCs w:val="13"/>
                <w:color w:val="auto"/>
              </w:rPr>
            </w:pPr>
          </w:p>
        </w:tc>
        <w:tc>
          <w:tcPr>
            <w:tcW w:w="9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114</w:t>
            </w:r>
          </w:p>
        </w:tc>
        <w:tc>
          <w:tcPr>
            <w:tcW w:w="120" w:type="dxa"/>
            <w:vAlign w:val="bottom"/>
            <w:shd w:val="clear" w:color="auto" w:fill="B7E5FF"/>
          </w:tcPr>
          <w:p>
            <w:pPr>
              <w:spacing w:after="0"/>
              <w:rPr>
                <w:sz w:val="13"/>
                <w:szCs w:val="13"/>
                <w:color w:val="auto"/>
              </w:rPr>
            </w:pPr>
          </w:p>
        </w:tc>
        <w:tc>
          <w:tcPr>
            <w:tcW w:w="500" w:type="dxa"/>
            <w:vAlign w:val="bottom"/>
            <w:tcBorders>
              <w:bottom w:val="single" w:sz="8" w:color="auto"/>
            </w:tcBorders>
            <w:shd w:val="clear" w:color="auto" w:fill="B7E5FF"/>
          </w:tcPr>
          <w:p>
            <w:pPr>
              <w:spacing w:after="0"/>
              <w:rPr>
                <w:sz w:val="13"/>
                <w:szCs w:val="13"/>
                <w:color w:val="auto"/>
              </w:rPr>
            </w:pPr>
          </w:p>
        </w:tc>
        <w:tc>
          <w:tcPr>
            <w:tcW w:w="8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179</w:t>
            </w:r>
          </w:p>
        </w:tc>
      </w:tr>
      <w:tr>
        <w:trPr>
          <w:trHeight w:val="140"/>
        </w:trPr>
        <w:tc>
          <w:tcPr>
            <w:tcW w:w="3660" w:type="dxa"/>
            <w:vAlign w:val="bottom"/>
            <w:tcBorders>
              <w:bottom w:val="single" w:sz="8" w:color="B7E5FF"/>
            </w:tcBorders>
            <w:gridSpan w:val="2"/>
          </w:tcPr>
          <w:p>
            <w:pPr>
              <w:ind w:left="120"/>
              <w:spacing w:after="0" w:line="133" w:lineRule="exact"/>
              <w:rPr>
                <w:sz w:val="20"/>
                <w:szCs w:val="20"/>
                <w:color w:val="auto"/>
              </w:rPr>
            </w:pPr>
            <w:r>
              <w:rPr>
                <w:rFonts w:ascii="Arial" w:cs="Arial" w:eastAsia="Arial" w:hAnsi="Arial"/>
                <w:sz w:val="12"/>
                <w:szCs w:val="12"/>
                <w:color w:val="auto"/>
              </w:rPr>
              <w:t>Net income attributable to Quaker Chemical Corporation</w:t>
            </w:r>
          </w:p>
        </w:tc>
        <w:tc>
          <w:tcPr>
            <w:tcW w:w="2160" w:type="dxa"/>
            <w:vAlign w:val="bottom"/>
            <w:tcBorders>
              <w:bottom w:val="single" w:sz="8" w:color="B7E5FF"/>
            </w:tcBorders>
          </w:tcPr>
          <w:p>
            <w:pPr>
              <w:spacing w:after="0"/>
              <w:rPr>
                <w:sz w:val="12"/>
                <w:szCs w:val="12"/>
                <w:color w:val="auto"/>
              </w:rPr>
            </w:pPr>
          </w:p>
        </w:tc>
        <w:tc>
          <w:tcPr>
            <w:tcW w:w="300" w:type="dxa"/>
            <w:vAlign w:val="bottom"/>
            <w:tcBorders>
              <w:bottom w:val="single" w:sz="8" w:color="auto"/>
            </w:tcBorders>
          </w:tcPr>
          <w:p>
            <w:pPr>
              <w:jc w:val="right"/>
              <w:ind w:right="160"/>
              <w:spacing w:after="0" w:line="133" w:lineRule="exact"/>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15,591</w:t>
            </w:r>
          </w:p>
        </w:tc>
        <w:tc>
          <w:tcPr>
            <w:tcW w:w="100" w:type="dxa"/>
            <w:vAlign w:val="bottom"/>
            <w:tcBorders>
              <w:bottom w:val="single" w:sz="8" w:color="B7E5FF"/>
            </w:tcBorders>
          </w:tcPr>
          <w:p>
            <w:pPr>
              <w:spacing w:after="0"/>
              <w:rPr>
                <w:sz w:val="12"/>
                <w:szCs w:val="12"/>
                <w:color w:val="auto"/>
              </w:rPr>
            </w:pPr>
          </w:p>
        </w:tc>
        <w:tc>
          <w:tcPr>
            <w:tcW w:w="520" w:type="dxa"/>
            <w:vAlign w:val="bottom"/>
            <w:tcBorders>
              <w:bottom w:val="single" w:sz="8" w:color="auto"/>
            </w:tcBorders>
          </w:tcPr>
          <w:p>
            <w:pPr>
              <w:jc w:val="right"/>
              <w:ind w:right="380"/>
              <w:spacing w:after="0" w:line="133" w:lineRule="exact"/>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19,246</w:t>
            </w:r>
          </w:p>
        </w:tc>
        <w:tc>
          <w:tcPr>
            <w:tcW w:w="120" w:type="dxa"/>
            <w:vAlign w:val="bottom"/>
            <w:tcBorders>
              <w:bottom w:val="single" w:sz="8" w:color="B7E5FF"/>
            </w:tcBorders>
          </w:tcPr>
          <w:p>
            <w:pPr>
              <w:spacing w:after="0"/>
              <w:rPr>
                <w:sz w:val="12"/>
                <w:szCs w:val="12"/>
                <w:color w:val="auto"/>
              </w:rPr>
            </w:pPr>
          </w:p>
        </w:tc>
        <w:tc>
          <w:tcPr>
            <w:tcW w:w="380" w:type="dxa"/>
            <w:vAlign w:val="bottom"/>
            <w:tcBorders>
              <w:bottom w:val="single" w:sz="8" w:color="auto"/>
            </w:tcBorders>
          </w:tcPr>
          <w:p>
            <w:pPr>
              <w:jc w:val="right"/>
              <w:ind w:right="240"/>
              <w:spacing w:after="0" w:line="133" w:lineRule="exact"/>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29,435</w:t>
            </w:r>
          </w:p>
        </w:tc>
        <w:tc>
          <w:tcPr>
            <w:tcW w:w="120" w:type="dxa"/>
            <w:vAlign w:val="bottom"/>
            <w:tcBorders>
              <w:bottom w:val="single" w:sz="8" w:color="B7E5FF"/>
            </w:tcBorders>
          </w:tcPr>
          <w:p>
            <w:pPr>
              <w:spacing w:after="0"/>
              <w:rPr>
                <w:sz w:val="12"/>
                <w:szCs w:val="12"/>
                <w:color w:val="auto"/>
              </w:rPr>
            </w:pPr>
          </w:p>
        </w:tc>
        <w:tc>
          <w:tcPr>
            <w:tcW w:w="500" w:type="dxa"/>
            <w:vAlign w:val="bottom"/>
            <w:tcBorders>
              <w:bottom w:val="single" w:sz="8" w:color="auto"/>
            </w:tcBorders>
          </w:tcPr>
          <w:p>
            <w:pPr>
              <w:jc w:val="right"/>
              <w:ind w:right="360"/>
              <w:spacing w:after="0" w:line="133" w:lineRule="exact"/>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31,978</w:t>
            </w:r>
          </w:p>
        </w:tc>
      </w:tr>
      <w:tr>
        <w:trPr>
          <w:trHeight w:val="144"/>
        </w:trPr>
        <w:tc>
          <w:tcPr>
            <w:tcW w:w="820" w:type="dxa"/>
            <w:vAlign w:val="bottom"/>
            <w:shd w:val="clear" w:color="auto" w:fill="B7E5FF"/>
          </w:tcPr>
          <w:p>
            <w:pPr>
              <w:ind w:left="20"/>
              <w:spacing w:after="0" w:line="135" w:lineRule="exact"/>
              <w:rPr>
                <w:sz w:val="20"/>
                <w:szCs w:val="20"/>
                <w:color w:val="auto"/>
              </w:rPr>
            </w:pPr>
            <w:r>
              <w:rPr>
                <w:rFonts w:ascii="Arial" w:cs="Arial" w:eastAsia="Arial" w:hAnsi="Arial"/>
                <w:sz w:val="12"/>
                <w:szCs w:val="12"/>
                <w:color w:val="auto"/>
                <w:w w:val="95"/>
              </w:rPr>
              <w:t>Per share data:</w:t>
            </w:r>
          </w:p>
        </w:tc>
        <w:tc>
          <w:tcPr>
            <w:tcW w:w="2840" w:type="dxa"/>
            <w:vAlign w:val="bottom"/>
            <w:shd w:val="clear" w:color="auto" w:fill="B7E5FF"/>
          </w:tcPr>
          <w:p>
            <w:pPr>
              <w:spacing w:after="0"/>
              <w:rPr>
                <w:sz w:val="12"/>
                <w:szCs w:val="12"/>
                <w:color w:val="auto"/>
              </w:rPr>
            </w:pPr>
          </w:p>
        </w:tc>
        <w:tc>
          <w:tcPr>
            <w:tcW w:w="2160" w:type="dxa"/>
            <w:vAlign w:val="bottom"/>
            <w:shd w:val="clear" w:color="auto" w:fill="B7E5FF"/>
          </w:tcPr>
          <w:p>
            <w:pPr>
              <w:spacing w:after="0"/>
              <w:rPr>
                <w:sz w:val="12"/>
                <w:szCs w:val="12"/>
                <w:color w:val="auto"/>
              </w:rPr>
            </w:pPr>
          </w:p>
        </w:tc>
        <w:tc>
          <w:tcPr>
            <w:tcW w:w="300" w:type="dxa"/>
            <w:vAlign w:val="bottom"/>
            <w:shd w:val="clear" w:color="auto" w:fill="B7E5FF"/>
          </w:tcPr>
          <w:p>
            <w:pPr>
              <w:spacing w:after="0"/>
              <w:rPr>
                <w:sz w:val="12"/>
                <w:szCs w:val="12"/>
                <w:color w:val="auto"/>
              </w:rPr>
            </w:pPr>
          </w:p>
        </w:tc>
        <w:tc>
          <w:tcPr>
            <w:tcW w:w="102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0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380" w:type="dxa"/>
            <w:vAlign w:val="bottom"/>
            <w:shd w:val="clear" w:color="auto" w:fill="B7E5FF"/>
          </w:tcPr>
          <w:p>
            <w:pPr>
              <w:spacing w:after="0"/>
              <w:rPr>
                <w:sz w:val="12"/>
                <w:szCs w:val="12"/>
                <w:color w:val="auto"/>
              </w:rPr>
            </w:pPr>
          </w:p>
        </w:tc>
        <w:tc>
          <w:tcPr>
            <w:tcW w:w="94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860" w:type="dxa"/>
            <w:vAlign w:val="bottom"/>
            <w:shd w:val="clear" w:color="auto" w:fill="B7E5FF"/>
          </w:tcPr>
          <w:p>
            <w:pPr>
              <w:spacing w:after="0"/>
              <w:rPr>
                <w:sz w:val="12"/>
                <w:szCs w:val="12"/>
                <w:color w:val="auto"/>
              </w:rPr>
            </w:pPr>
          </w:p>
        </w:tc>
      </w:tr>
      <w:tr>
        <w:trPr>
          <w:trHeight w:val="153"/>
        </w:trPr>
        <w:tc>
          <w:tcPr>
            <w:tcW w:w="3660" w:type="dxa"/>
            <w:vAlign w:val="bottom"/>
            <w:gridSpan w:val="2"/>
          </w:tcPr>
          <w:p>
            <w:pPr>
              <w:ind w:left="120"/>
              <w:spacing w:after="0"/>
              <w:rPr>
                <w:sz w:val="20"/>
                <w:szCs w:val="20"/>
                <w:color w:val="auto"/>
              </w:rPr>
            </w:pPr>
            <w:r>
              <w:rPr>
                <w:rFonts w:ascii="Arial" w:cs="Arial" w:eastAsia="Arial" w:hAnsi="Arial"/>
                <w:sz w:val="12"/>
                <w:szCs w:val="12"/>
                <w:color w:val="auto"/>
              </w:rPr>
              <w:t>Net income attributable to Quaker Chemical Corporation</w:t>
            </w:r>
          </w:p>
        </w:tc>
        <w:tc>
          <w:tcPr>
            <w:tcW w:w="2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3"/>
        </w:trPr>
        <w:tc>
          <w:tcPr>
            <w:tcW w:w="3660" w:type="dxa"/>
            <w:vAlign w:val="bottom"/>
            <w:gridSpan w:val="2"/>
            <w:shd w:val="clear" w:color="auto" w:fill="B7E5FF"/>
          </w:tcPr>
          <w:p>
            <w:pPr>
              <w:ind w:left="240"/>
              <w:spacing w:after="0"/>
              <w:rPr>
                <w:sz w:val="20"/>
                <w:szCs w:val="20"/>
                <w:color w:val="auto"/>
              </w:rPr>
            </w:pPr>
            <w:r>
              <w:rPr>
                <w:rFonts w:ascii="Arial" w:cs="Arial" w:eastAsia="Arial" w:hAnsi="Arial"/>
                <w:sz w:val="12"/>
                <w:szCs w:val="12"/>
                <w:color w:val="auto"/>
              </w:rPr>
              <w:t>common shareholders – basic</w:t>
            </w:r>
          </w:p>
        </w:tc>
        <w:tc>
          <w:tcPr>
            <w:tcW w:w="246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1.17</w:t>
            </w:r>
          </w:p>
        </w:tc>
        <w:tc>
          <w:tcPr>
            <w:tcW w:w="100" w:type="dxa"/>
            <w:vAlign w:val="bottom"/>
            <w:shd w:val="clear" w:color="auto" w:fill="B7E5FF"/>
          </w:tcPr>
          <w:p>
            <w:pPr>
              <w:spacing w:after="0"/>
              <w:rPr>
                <w:sz w:val="13"/>
                <w:szCs w:val="13"/>
                <w:color w:val="auto"/>
              </w:rPr>
            </w:pPr>
          </w:p>
        </w:tc>
        <w:tc>
          <w:tcPr>
            <w:tcW w:w="520" w:type="dxa"/>
            <w:vAlign w:val="bottom"/>
            <w:shd w:val="clear" w:color="auto" w:fill="B7E5FF"/>
          </w:tcPr>
          <w:p>
            <w:pPr>
              <w:jc w:val="right"/>
              <w:ind w:right="38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1.44</w:t>
            </w:r>
          </w:p>
        </w:tc>
        <w:tc>
          <w:tcPr>
            <w:tcW w:w="120" w:type="dxa"/>
            <w:vAlign w:val="bottom"/>
            <w:shd w:val="clear" w:color="auto" w:fill="B7E5FF"/>
          </w:tcPr>
          <w:p>
            <w:pPr>
              <w:spacing w:after="0"/>
              <w:rPr>
                <w:sz w:val="13"/>
                <w:szCs w:val="13"/>
                <w:color w:val="auto"/>
              </w:rPr>
            </w:pPr>
          </w:p>
        </w:tc>
        <w:tc>
          <w:tcPr>
            <w:tcW w:w="380" w:type="dxa"/>
            <w:vAlign w:val="bottom"/>
            <w:shd w:val="clear" w:color="auto" w:fill="B7E5FF"/>
          </w:tcPr>
          <w:p>
            <w:pPr>
              <w:jc w:val="right"/>
              <w:ind w:right="24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2.21</w:t>
            </w:r>
          </w:p>
        </w:tc>
        <w:tc>
          <w:tcPr>
            <w:tcW w:w="120" w:type="dxa"/>
            <w:vAlign w:val="bottom"/>
            <w:shd w:val="clear" w:color="auto" w:fill="B7E5FF"/>
          </w:tcPr>
          <w:p>
            <w:pPr>
              <w:spacing w:after="0"/>
              <w:rPr>
                <w:sz w:val="13"/>
                <w:szCs w:val="13"/>
                <w:color w:val="auto"/>
              </w:rPr>
            </w:pPr>
          </w:p>
        </w:tc>
        <w:tc>
          <w:tcPr>
            <w:tcW w:w="500" w:type="dxa"/>
            <w:vAlign w:val="bottom"/>
            <w:shd w:val="clear" w:color="auto" w:fill="B7E5FF"/>
          </w:tcPr>
          <w:p>
            <w:pPr>
              <w:jc w:val="right"/>
              <w:ind w:right="36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2.40</w:t>
            </w:r>
          </w:p>
        </w:tc>
      </w:tr>
      <w:tr>
        <w:trPr>
          <w:trHeight w:val="153"/>
        </w:trPr>
        <w:tc>
          <w:tcPr>
            <w:tcW w:w="3660" w:type="dxa"/>
            <w:vAlign w:val="bottom"/>
            <w:gridSpan w:val="2"/>
          </w:tcPr>
          <w:p>
            <w:pPr>
              <w:ind w:left="120"/>
              <w:spacing w:after="0"/>
              <w:rPr>
                <w:sz w:val="20"/>
                <w:szCs w:val="20"/>
                <w:color w:val="auto"/>
              </w:rPr>
            </w:pPr>
            <w:r>
              <w:rPr>
                <w:rFonts w:ascii="Arial" w:cs="Arial" w:eastAsia="Arial" w:hAnsi="Arial"/>
                <w:sz w:val="12"/>
                <w:szCs w:val="12"/>
                <w:color w:val="auto"/>
              </w:rPr>
              <w:t>Net income attributable to Quaker Chemical Corporation</w:t>
            </w:r>
          </w:p>
        </w:tc>
        <w:tc>
          <w:tcPr>
            <w:tcW w:w="2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3"/>
        </w:trPr>
        <w:tc>
          <w:tcPr>
            <w:tcW w:w="3660" w:type="dxa"/>
            <w:vAlign w:val="bottom"/>
            <w:gridSpan w:val="2"/>
            <w:shd w:val="clear" w:color="auto" w:fill="B7E5FF"/>
          </w:tcPr>
          <w:p>
            <w:pPr>
              <w:ind w:left="240"/>
              <w:spacing w:after="0"/>
              <w:rPr>
                <w:sz w:val="20"/>
                <w:szCs w:val="20"/>
                <w:color w:val="auto"/>
              </w:rPr>
            </w:pPr>
            <w:r>
              <w:rPr>
                <w:rFonts w:ascii="Arial" w:cs="Arial" w:eastAsia="Arial" w:hAnsi="Arial"/>
                <w:sz w:val="12"/>
                <w:szCs w:val="12"/>
                <w:color w:val="auto"/>
              </w:rPr>
              <w:t>common shareholders – diluted</w:t>
            </w:r>
          </w:p>
        </w:tc>
        <w:tc>
          <w:tcPr>
            <w:tcW w:w="246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1.17</w:t>
            </w:r>
          </w:p>
        </w:tc>
        <w:tc>
          <w:tcPr>
            <w:tcW w:w="100" w:type="dxa"/>
            <w:vAlign w:val="bottom"/>
            <w:shd w:val="clear" w:color="auto" w:fill="B7E5FF"/>
          </w:tcPr>
          <w:p>
            <w:pPr>
              <w:spacing w:after="0"/>
              <w:rPr>
                <w:sz w:val="13"/>
                <w:szCs w:val="13"/>
                <w:color w:val="auto"/>
              </w:rPr>
            </w:pPr>
          </w:p>
        </w:tc>
        <w:tc>
          <w:tcPr>
            <w:tcW w:w="520" w:type="dxa"/>
            <w:vAlign w:val="bottom"/>
            <w:shd w:val="clear" w:color="auto" w:fill="B7E5FF"/>
          </w:tcPr>
          <w:p>
            <w:pPr>
              <w:jc w:val="right"/>
              <w:ind w:right="38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1.44</w:t>
            </w:r>
          </w:p>
        </w:tc>
        <w:tc>
          <w:tcPr>
            <w:tcW w:w="120" w:type="dxa"/>
            <w:vAlign w:val="bottom"/>
            <w:shd w:val="clear" w:color="auto" w:fill="B7E5FF"/>
          </w:tcPr>
          <w:p>
            <w:pPr>
              <w:spacing w:after="0"/>
              <w:rPr>
                <w:sz w:val="13"/>
                <w:szCs w:val="13"/>
                <w:color w:val="auto"/>
              </w:rPr>
            </w:pPr>
          </w:p>
        </w:tc>
        <w:tc>
          <w:tcPr>
            <w:tcW w:w="380" w:type="dxa"/>
            <w:vAlign w:val="bottom"/>
            <w:shd w:val="clear" w:color="auto" w:fill="B7E5FF"/>
          </w:tcPr>
          <w:p>
            <w:pPr>
              <w:jc w:val="right"/>
              <w:ind w:right="24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2.20</w:t>
            </w:r>
          </w:p>
        </w:tc>
        <w:tc>
          <w:tcPr>
            <w:tcW w:w="120" w:type="dxa"/>
            <w:vAlign w:val="bottom"/>
            <w:shd w:val="clear" w:color="auto" w:fill="B7E5FF"/>
          </w:tcPr>
          <w:p>
            <w:pPr>
              <w:spacing w:after="0"/>
              <w:rPr>
                <w:sz w:val="13"/>
                <w:szCs w:val="13"/>
                <w:color w:val="auto"/>
              </w:rPr>
            </w:pPr>
          </w:p>
        </w:tc>
        <w:tc>
          <w:tcPr>
            <w:tcW w:w="500" w:type="dxa"/>
            <w:vAlign w:val="bottom"/>
            <w:shd w:val="clear" w:color="auto" w:fill="B7E5FF"/>
          </w:tcPr>
          <w:p>
            <w:pPr>
              <w:jc w:val="right"/>
              <w:ind w:right="36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2.40</w:t>
            </w:r>
          </w:p>
        </w:tc>
      </w:tr>
      <w:tr>
        <w:trPr>
          <w:trHeight w:val="153"/>
        </w:trPr>
        <w:tc>
          <w:tcPr>
            <w:tcW w:w="3660" w:type="dxa"/>
            <w:vAlign w:val="bottom"/>
            <w:gridSpan w:val="2"/>
          </w:tcPr>
          <w:p>
            <w:pPr>
              <w:ind w:left="120"/>
              <w:spacing w:after="0"/>
              <w:rPr>
                <w:sz w:val="20"/>
                <w:szCs w:val="20"/>
                <w:color w:val="auto"/>
              </w:rPr>
            </w:pPr>
            <w:r>
              <w:rPr>
                <w:rFonts w:ascii="Arial" w:cs="Arial" w:eastAsia="Arial" w:hAnsi="Arial"/>
                <w:sz w:val="12"/>
                <w:szCs w:val="12"/>
                <w:color w:val="auto"/>
              </w:rPr>
              <w:t>Dividends declared</w:t>
            </w:r>
          </w:p>
        </w:tc>
        <w:tc>
          <w:tcPr>
            <w:tcW w:w="2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0.385</w:t>
            </w:r>
          </w:p>
        </w:tc>
        <w:tc>
          <w:tcPr>
            <w:tcW w:w="100" w:type="dxa"/>
            <w:vAlign w:val="bottom"/>
          </w:tcPr>
          <w:p>
            <w:pPr>
              <w:spacing w:after="0"/>
              <w:rPr>
                <w:sz w:val="13"/>
                <w:szCs w:val="13"/>
                <w:color w:val="auto"/>
              </w:rPr>
            </w:pPr>
          </w:p>
        </w:tc>
        <w:tc>
          <w:tcPr>
            <w:tcW w:w="520" w:type="dxa"/>
            <w:vAlign w:val="bottom"/>
          </w:tcPr>
          <w:p>
            <w:pPr>
              <w:jc w:val="right"/>
              <w:ind w:right="380"/>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0.370</w:t>
            </w:r>
          </w:p>
        </w:tc>
        <w:tc>
          <w:tcPr>
            <w:tcW w:w="12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0.755</w:t>
            </w:r>
          </w:p>
        </w:tc>
        <w:tc>
          <w:tcPr>
            <w:tcW w:w="120" w:type="dxa"/>
            <w:vAlign w:val="bottom"/>
          </w:tcPr>
          <w:p>
            <w:pPr>
              <w:spacing w:after="0"/>
              <w:rPr>
                <w:sz w:val="13"/>
                <w:szCs w:val="13"/>
                <w:color w:val="auto"/>
              </w:rPr>
            </w:pPr>
          </w:p>
        </w:tc>
        <w:tc>
          <w:tcPr>
            <w:tcW w:w="500" w:type="dxa"/>
            <w:vAlign w:val="bottom"/>
          </w:tcPr>
          <w:p>
            <w:pPr>
              <w:jc w:val="right"/>
              <w:ind w:right="36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0.725</w:t>
            </w: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these condensed consolidated financial statements.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177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22" w:right="19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2"/>
          <w:szCs w:val="12"/>
          <w:color w:val="auto"/>
        </w:rPr>
        <w:t>Net income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Other comprehensive (loss) income, net of tax</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2"/>
          <w:szCs w:val="12"/>
          <w:color w:val="auto"/>
        </w:rPr>
        <w:t>Currency translation adjustments</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2"/>
          <w:szCs w:val="12"/>
          <w:color w:val="auto"/>
        </w:rPr>
        <w:t>Defined benefit retirement plans</w:t>
      </w:r>
    </w:p>
    <w:p>
      <w:pPr>
        <w:spacing w:after="0" w:line="6" w:lineRule="exact"/>
        <w:rPr>
          <w:sz w:val="20"/>
          <w:szCs w:val="20"/>
          <w:color w:val="auto"/>
        </w:rPr>
      </w:pPr>
    </w:p>
    <w:p>
      <w:pPr>
        <w:ind w:left="220" w:right="60" w:hanging="107"/>
        <w:spacing w:after="0" w:line="292" w:lineRule="auto"/>
        <w:rPr>
          <w:sz w:val="20"/>
          <w:szCs w:val="20"/>
          <w:color w:val="auto"/>
        </w:rPr>
      </w:pPr>
      <w:r>
        <w:rPr>
          <w:rFonts w:ascii="Arial" w:cs="Arial" w:eastAsia="Arial" w:hAnsi="Arial"/>
          <w:sz w:val="12"/>
          <w:szCs w:val="12"/>
          <w:color w:val="auto"/>
        </w:rPr>
        <w:t>Unrealized gain (loss) on available-for-sale securities Other comprehensive income (loss)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Comprehensive income</w:t>
      </w:r>
    </w:p>
    <w:p>
      <w:pPr>
        <w:spacing w:after="0" w:line="15" w:lineRule="exact"/>
        <w:rPr>
          <w:sz w:val="20"/>
          <w:szCs w:val="20"/>
          <w:color w:val="auto"/>
        </w:rPr>
      </w:pPr>
    </w:p>
    <w:p>
      <w:pPr>
        <w:ind w:left="100" w:right="300" w:hanging="107"/>
        <w:spacing w:after="0" w:line="266" w:lineRule="auto"/>
        <w:rPr>
          <w:sz w:val="20"/>
          <w:szCs w:val="20"/>
          <w:color w:val="auto"/>
        </w:rPr>
      </w:pPr>
      <w:r>
        <w:rPr>
          <w:rFonts w:ascii="Arial" w:cs="Arial" w:eastAsia="Arial" w:hAnsi="Arial"/>
          <w:sz w:val="12"/>
          <w:szCs w:val="12"/>
          <w:color w:val="auto"/>
        </w:rPr>
        <w:t>Less: Comprehensive (income) loss attributable to noncontrolling interest</w:t>
      </w:r>
    </w:p>
    <w:p>
      <w:pPr>
        <w:ind w:left="100" w:hanging="107"/>
        <w:spacing w:after="0" w:line="308" w:lineRule="auto"/>
        <w:rPr>
          <w:sz w:val="20"/>
          <w:szCs w:val="20"/>
          <w:color w:val="auto"/>
        </w:rPr>
      </w:pPr>
      <w:r>
        <w:rPr>
          <w:rFonts w:ascii="Arial" w:cs="Arial" w:eastAsia="Arial" w:hAnsi="Arial"/>
          <w:sz w:val="12"/>
          <w:szCs w:val="12"/>
          <w:color w:val="auto"/>
        </w:rPr>
        <w:t>Comprehensive income attributable to Quaker Chemical Corporation</w:t>
      </w:r>
    </w:p>
    <w:p>
      <w:pPr>
        <w:spacing w:after="0" w:line="20" w:lineRule="exact"/>
        <w:rPr>
          <w:sz w:val="20"/>
          <w:szCs w:val="20"/>
          <w:color w:val="auto"/>
        </w:rPr>
      </w:pPr>
      <w:r>
        <w:rPr>
          <w:sz w:val="20"/>
          <w:szCs w:val="20"/>
          <w:color w:val="auto"/>
        </w:rPr>
        <w:br w:type="column"/>
      </w:r>
    </w:p>
    <w:p>
      <w:pPr>
        <w:jc w:val="center"/>
        <w:ind w:right="3360"/>
        <w:spacing w:after="0"/>
        <w:rPr>
          <w:sz w:val="20"/>
          <w:szCs w:val="20"/>
          <w:color w:val="auto"/>
        </w:rPr>
      </w:pPr>
      <w:r>
        <w:rPr>
          <w:rFonts w:ascii="Arial" w:cs="Arial" w:eastAsia="Arial" w:hAnsi="Arial"/>
          <w:sz w:val="14"/>
          <w:szCs w:val="14"/>
          <w:b w:val="1"/>
          <w:bCs w:val="1"/>
          <w:color w:val="auto"/>
        </w:rPr>
        <w:t>Quaker Chemical Corporation</w:t>
      </w:r>
    </w:p>
    <w:p>
      <w:pPr>
        <w:spacing w:after="0" w:line="73" w:lineRule="exact"/>
        <w:rPr>
          <w:sz w:val="20"/>
          <w:szCs w:val="20"/>
          <w:color w:val="auto"/>
        </w:rPr>
      </w:pPr>
    </w:p>
    <w:p>
      <w:pPr>
        <w:jc w:val="center"/>
        <w:ind w:right="3360"/>
        <w:spacing w:after="0"/>
        <w:rPr>
          <w:sz w:val="20"/>
          <w:szCs w:val="20"/>
          <w:color w:val="auto"/>
        </w:rPr>
      </w:pPr>
      <w:r>
        <w:rPr>
          <w:rFonts w:ascii="Arial" w:cs="Arial" w:eastAsia="Arial" w:hAnsi="Arial"/>
          <w:sz w:val="14"/>
          <w:szCs w:val="14"/>
          <w:b w:val="1"/>
          <w:bCs w:val="1"/>
          <w:color w:val="auto"/>
        </w:rPr>
        <w:t>Condensed Consolidated Statements of Comprehensive Income</w:t>
      </w:r>
    </w:p>
    <w:p>
      <w:pPr>
        <w:spacing w:after="0" w:line="21" w:lineRule="exact"/>
        <w:rPr>
          <w:sz w:val="20"/>
          <w:szCs w:val="20"/>
          <w:color w:val="auto"/>
        </w:rPr>
      </w:pPr>
    </w:p>
    <w:p>
      <w:pPr>
        <w:ind w:left="1840"/>
        <w:spacing w:after="0"/>
        <w:rPr>
          <w:sz w:val="20"/>
          <w:szCs w:val="20"/>
          <w:color w:val="auto"/>
        </w:rPr>
      </w:pPr>
      <w:r>
        <w:rPr>
          <w:rFonts w:ascii="Arial" w:cs="Arial" w:eastAsia="Arial" w:hAnsi="Arial"/>
          <w:sz w:val="12"/>
          <w:szCs w:val="12"/>
          <w:b w:val="1"/>
          <w:bCs w:val="1"/>
          <w:i w:val="1"/>
          <w:iCs w:val="1"/>
          <w:color w:val="auto"/>
        </w:rPr>
        <w:t>(Dollars in thousands)</w:t>
      </w:r>
    </w:p>
    <w:p>
      <w:pPr>
        <w:spacing w:after="0" w:line="200" w:lineRule="exact"/>
        <w:rPr>
          <w:sz w:val="20"/>
          <w:szCs w:val="20"/>
          <w:color w:val="auto"/>
        </w:rPr>
      </w:pPr>
    </w:p>
    <w:p>
      <w:pPr>
        <w:spacing w:after="0" w:line="396" w:lineRule="exact"/>
        <w:rPr>
          <w:sz w:val="20"/>
          <w:szCs w:val="20"/>
          <w:color w:val="auto"/>
        </w:rPr>
      </w:pPr>
    </w:p>
    <w:p>
      <w:pPr>
        <w:ind w:left="5040"/>
        <w:spacing w:after="0"/>
        <w:rPr>
          <w:sz w:val="20"/>
          <w:szCs w:val="20"/>
          <w:color w:val="auto"/>
        </w:rPr>
      </w:pPr>
      <w:r>
        <w:rPr>
          <w:rFonts w:ascii="Arial" w:cs="Arial" w:eastAsia="Arial" w:hAnsi="Arial"/>
          <w:sz w:val="12"/>
          <w:szCs w:val="12"/>
          <w:b w:val="1"/>
          <w:bCs w:val="1"/>
          <w:color w:val="auto"/>
        </w:rPr>
        <w:t>Unaudited</w:t>
      </w:r>
    </w:p>
    <w:p>
      <w:pPr>
        <w:spacing w:after="0" w:line="19" w:lineRule="exact"/>
        <w:rPr>
          <w:sz w:val="20"/>
          <w:szCs w:val="20"/>
          <w:color w:val="auto"/>
        </w:rPr>
      </w:pPr>
    </w:p>
    <w:tbl>
      <w:tblPr>
        <w:tblLayout w:type="fixed"/>
        <w:tblInd w:w="2480" w:type="dxa"/>
        <w:tblCellMar>
          <w:top w:w="0" w:type="dxa"/>
          <w:left w:w="0" w:type="dxa"/>
          <w:bottom w:w="0" w:type="dxa"/>
          <w:right w:w="0" w:type="dxa"/>
        </w:tblCellMar>
      </w:tblPr>
      <w:tr>
        <w:trPr>
          <w:trHeight w:val="129"/>
        </w:trPr>
        <w:tc>
          <w:tcPr>
            <w:tcW w:w="8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3"/>
          </w:tcPr>
          <w:p>
            <w:pPr>
              <w:jc w:val="right"/>
              <w:ind w:right="280"/>
              <w:spacing w:after="0" w:line="129" w:lineRule="exact"/>
              <w:rPr>
                <w:sz w:val="20"/>
                <w:szCs w:val="20"/>
                <w:color w:val="auto"/>
              </w:rPr>
            </w:pPr>
            <w:r>
              <w:rPr>
                <w:rFonts w:ascii="Arial" w:cs="Arial" w:eastAsia="Arial" w:hAnsi="Arial"/>
                <w:sz w:val="12"/>
                <w:szCs w:val="12"/>
                <w:b w:val="1"/>
                <w:bCs w:val="1"/>
                <w:color w:val="auto"/>
                <w:w w:val="92"/>
              </w:rPr>
              <w:t>Three Months Ended</w:t>
            </w:r>
          </w:p>
        </w:tc>
        <w:tc>
          <w:tcPr>
            <w:tcW w:w="4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3"/>
          </w:tcPr>
          <w:p>
            <w:pPr>
              <w:jc w:val="right"/>
              <w:ind w:right="20"/>
              <w:spacing w:after="0" w:line="129" w:lineRule="exact"/>
              <w:rPr>
                <w:sz w:val="20"/>
                <w:szCs w:val="20"/>
                <w:color w:val="auto"/>
              </w:rPr>
            </w:pPr>
            <w:r>
              <w:rPr>
                <w:rFonts w:ascii="Arial" w:cs="Arial" w:eastAsia="Arial" w:hAnsi="Arial"/>
                <w:sz w:val="12"/>
                <w:szCs w:val="12"/>
                <w:b w:val="1"/>
                <w:bCs w:val="1"/>
                <w:color w:val="auto"/>
                <w:w w:val="94"/>
              </w:rPr>
              <w:t>Six Months Ended</w:t>
            </w:r>
          </w:p>
        </w:tc>
        <w:tc>
          <w:tcPr>
            <w:tcW w:w="860" w:type="dxa"/>
            <w:vAlign w:val="bottom"/>
            <w:tcBorders>
              <w:top w:val="single" w:sz="8" w:color="auto"/>
            </w:tcBorders>
          </w:tcPr>
          <w:p>
            <w:pPr>
              <w:spacing w:after="0"/>
              <w:rPr>
                <w:sz w:val="11"/>
                <w:szCs w:val="11"/>
                <w:color w:val="auto"/>
              </w:rPr>
            </w:pPr>
          </w:p>
        </w:tc>
      </w:tr>
      <w:tr>
        <w:trPr>
          <w:trHeight w:val="157"/>
        </w:trPr>
        <w:tc>
          <w:tcPr>
            <w:tcW w:w="8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2"/>
                <w:szCs w:val="12"/>
                <w:b w:val="1"/>
                <w:bCs w:val="1"/>
                <w:color w:val="auto"/>
              </w:rPr>
              <w:t>June 30,</w:t>
            </w:r>
          </w:p>
        </w:tc>
        <w:tc>
          <w:tcPr>
            <w:tcW w:w="4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2"/>
                <w:szCs w:val="12"/>
                <w:b w:val="1"/>
                <w:bCs w:val="1"/>
                <w:color w:val="auto"/>
              </w:rPr>
              <w:t>June 30,</w:t>
            </w:r>
          </w:p>
        </w:tc>
        <w:tc>
          <w:tcPr>
            <w:tcW w:w="860" w:type="dxa"/>
            <w:vAlign w:val="bottom"/>
            <w:tcBorders>
              <w:bottom w:val="single" w:sz="8" w:color="auto"/>
            </w:tcBorders>
          </w:tcPr>
          <w:p>
            <w:pPr>
              <w:spacing w:after="0"/>
              <w:rPr>
                <w:sz w:val="13"/>
                <w:szCs w:val="13"/>
                <w:color w:val="auto"/>
              </w:rPr>
            </w:pPr>
          </w:p>
        </w:tc>
      </w:tr>
      <w:tr>
        <w:trPr>
          <w:trHeight w:val="133"/>
        </w:trPr>
        <w:tc>
          <w:tcPr>
            <w:tcW w:w="8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2019</w:t>
            </w: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2018</w:t>
            </w:r>
          </w:p>
        </w:tc>
        <w:tc>
          <w:tcPr>
            <w:tcW w:w="4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Borders>
              <w:bottom w:val="single" w:sz="8" w:color="auto"/>
            </w:tcBorders>
          </w:tcPr>
          <w:p>
            <w:pPr>
              <w:jc w:val="right"/>
              <w:ind w:right="27"/>
              <w:spacing w:after="0" w:line="133" w:lineRule="exact"/>
              <w:rPr>
                <w:sz w:val="20"/>
                <w:szCs w:val="20"/>
                <w:color w:val="auto"/>
              </w:rPr>
            </w:pPr>
            <w:r>
              <w:rPr>
                <w:rFonts w:ascii="Arial" w:cs="Arial" w:eastAsia="Arial" w:hAnsi="Arial"/>
                <w:sz w:val="12"/>
                <w:szCs w:val="12"/>
                <w:b w:val="1"/>
                <w:bCs w:val="1"/>
                <w:color w:val="auto"/>
              </w:rPr>
              <w:t>2019</w:t>
            </w:r>
          </w:p>
        </w:tc>
        <w:tc>
          <w:tcPr>
            <w:tcW w:w="4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00"/>
              <w:spacing w:after="0" w:line="133" w:lineRule="exact"/>
              <w:rPr>
                <w:sz w:val="20"/>
                <w:szCs w:val="20"/>
                <w:color w:val="auto"/>
              </w:rPr>
            </w:pPr>
            <w:r>
              <w:rPr>
                <w:rFonts w:ascii="Arial" w:cs="Arial" w:eastAsia="Arial" w:hAnsi="Arial"/>
                <w:sz w:val="12"/>
                <w:szCs w:val="12"/>
                <w:b w:val="1"/>
                <w:bCs w:val="1"/>
                <w:color w:val="auto"/>
              </w:rPr>
              <w:t>2018</w:t>
            </w:r>
          </w:p>
        </w:tc>
      </w:tr>
      <w:tr>
        <w:trPr>
          <w:trHeight w:val="133"/>
        </w:trPr>
        <w:tc>
          <w:tcPr>
            <w:tcW w:w="800" w:type="dxa"/>
            <w:vAlign w:val="bottom"/>
            <w:tcBorders>
              <w:bottom w:val="single" w:sz="8" w:color="auto"/>
            </w:tcBorders>
          </w:tcPr>
          <w:p>
            <w:pPr>
              <w:jc w:val="right"/>
              <w:ind w:right="687"/>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15,649</w:t>
            </w:r>
          </w:p>
        </w:tc>
        <w:tc>
          <w:tcPr>
            <w:tcW w:w="100" w:type="dxa"/>
            <w:vAlign w:val="bottom"/>
          </w:tcPr>
          <w:p>
            <w:pPr>
              <w:spacing w:after="0"/>
              <w:rPr>
                <w:sz w:val="11"/>
                <w:szCs w:val="11"/>
                <w:color w:val="auto"/>
              </w:rPr>
            </w:pPr>
          </w:p>
        </w:tc>
        <w:tc>
          <w:tcPr>
            <w:tcW w:w="840" w:type="dxa"/>
            <w:vAlign w:val="bottom"/>
            <w:tcBorders>
              <w:bottom w:val="single" w:sz="8" w:color="auto"/>
            </w:tcBorders>
          </w:tcPr>
          <w:p>
            <w:pPr>
              <w:jc w:val="right"/>
              <w:ind w:right="700"/>
              <w:spacing w:after="0" w:line="133" w:lineRule="exact"/>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19,370</w:t>
            </w:r>
          </w:p>
        </w:tc>
        <w:tc>
          <w:tcPr>
            <w:tcW w:w="120" w:type="dxa"/>
            <w:vAlign w:val="bottom"/>
          </w:tcPr>
          <w:p>
            <w:pPr>
              <w:spacing w:after="0"/>
              <w:rPr>
                <w:sz w:val="11"/>
                <w:szCs w:val="11"/>
                <w:color w:val="auto"/>
              </w:rPr>
            </w:pPr>
          </w:p>
        </w:tc>
        <w:tc>
          <w:tcPr>
            <w:tcW w:w="860" w:type="dxa"/>
            <w:vAlign w:val="bottom"/>
            <w:tcBorders>
              <w:bottom w:val="single" w:sz="8" w:color="auto"/>
            </w:tcBorders>
          </w:tcPr>
          <w:p>
            <w:pPr>
              <w:jc w:val="right"/>
              <w:ind w:right="747"/>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29,549</w:t>
            </w:r>
          </w:p>
        </w:tc>
        <w:tc>
          <w:tcPr>
            <w:tcW w:w="120" w:type="dxa"/>
            <w:vAlign w:val="bottom"/>
          </w:tcPr>
          <w:p>
            <w:pPr>
              <w:spacing w:after="0"/>
              <w:rPr>
                <w:sz w:val="11"/>
                <w:szCs w:val="11"/>
                <w:color w:val="auto"/>
              </w:rPr>
            </w:pPr>
          </w:p>
        </w:tc>
        <w:tc>
          <w:tcPr>
            <w:tcW w:w="500" w:type="dxa"/>
            <w:vAlign w:val="bottom"/>
            <w:tcBorders>
              <w:bottom w:val="single" w:sz="8" w:color="auto"/>
            </w:tcBorders>
          </w:tcPr>
          <w:p>
            <w:pPr>
              <w:jc w:val="right"/>
              <w:ind w:right="360"/>
              <w:spacing w:after="0" w:line="133" w:lineRule="exact"/>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32,157</w:t>
            </w:r>
          </w:p>
        </w:tc>
      </w:tr>
      <w:tr>
        <w:trPr>
          <w:trHeight w:val="430"/>
        </w:trPr>
        <w:tc>
          <w:tcPr>
            <w:tcW w:w="8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(519)</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(17,111)</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(951)</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(10,252)</w:t>
            </w:r>
          </w:p>
        </w:tc>
      </w:tr>
      <w:tr>
        <w:trPr>
          <w:trHeight w:val="153"/>
        </w:trPr>
        <w:tc>
          <w:tcPr>
            <w:tcW w:w="8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522</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1,496</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1,228</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1,580</w:t>
            </w:r>
          </w:p>
        </w:tc>
      </w:tr>
      <w:tr>
        <w:trPr>
          <w:trHeight w:val="153"/>
        </w:trPr>
        <w:tc>
          <w:tcPr>
            <w:tcW w:w="8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307</w:t>
            </w:r>
          </w:p>
        </w:tc>
        <w:tc>
          <w:tcPr>
            <w:tcW w:w="1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(169)</w:t>
            </w:r>
          </w:p>
        </w:tc>
        <w:tc>
          <w:tcPr>
            <w:tcW w:w="1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1,580</w:t>
            </w:r>
          </w:p>
        </w:tc>
        <w:tc>
          <w:tcPr>
            <w:tcW w:w="1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(655)</w:t>
            </w:r>
          </w:p>
        </w:tc>
      </w:tr>
      <w:tr>
        <w:trPr>
          <w:trHeight w:val="133"/>
        </w:trPr>
        <w:tc>
          <w:tcPr>
            <w:tcW w:w="8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310</w:t>
            </w:r>
          </w:p>
        </w:tc>
        <w:tc>
          <w:tcPr>
            <w:tcW w:w="1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(15,784)</w:t>
            </w:r>
          </w:p>
        </w:tc>
        <w:tc>
          <w:tcPr>
            <w:tcW w:w="12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1,857</w:t>
            </w:r>
          </w:p>
        </w:tc>
        <w:tc>
          <w:tcPr>
            <w:tcW w:w="1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(9,327)</w:t>
            </w:r>
          </w:p>
        </w:tc>
      </w:tr>
      <w:tr>
        <w:trPr>
          <w:trHeight w:val="286"/>
        </w:trPr>
        <w:tc>
          <w:tcPr>
            <w:tcW w:w="8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15,959</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3,586</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31,406</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22,830</w:t>
            </w:r>
          </w:p>
        </w:tc>
      </w:tr>
      <w:tr>
        <w:trPr>
          <w:trHeight w:val="306"/>
        </w:trPr>
        <w:tc>
          <w:tcPr>
            <w:tcW w:w="8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w:t>
            </w:r>
          </w:p>
        </w:tc>
        <w:tc>
          <w:tcPr>
            <w:tcW w:w="1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w:t>
            </w:r>
          </w:p>
        </w:tc>
        <w:tc>
          <w:tcPr>
            <w:tcW w:w="1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(137)</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(103)</w:t>
            </w:r>
          </w:p>
        </w:tc>
      </w:tr>
      <w:tr>
        <w:trPr>
          <w:trHeight w:val="293"/>
        </w:trPr>
        <w:tc>
          <w:tcPr>
            <w:tcW w:w="800" w:type="dxa"/>
            <w:vAlign w:val="bottom"/>
            <w:tcBorders>
              <w:bottom w:val="single" w:sz="8" w:color="auto"/>
            </w:tcBorders>
          </w:tcPr>
          <w:p>
            <w:pPr>
              <w:jc w:val="right"/>
              <w:ind w:right="687"/>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15,877</w:t>
            </w:r>
          </w:p>
        </w:tc>
        <w:tc>
          <w:tcPr>
            <w:tcW w:w="100" w:type="dxa"/>
            <w:vAlign w:val="bottom"/>
          </w:tcPr>
          <w:p>
            <w:pPr>
              <w:spacing w:after="0"/>
              <w:rPr>
                <w:sz w:val="24"/>
                <w:szCs w:val="24"/>
                <w:color w:val="auto"/>
              </w:rPr>
            </w:pPr>
          </w:p>
        </w:tc>
        <w:tc>
          <w:tcPr>
            <w:tcW w:w="840" w:type="dxa"/>
            <w:vAlign w:val="bottom"/>
            <w:tcBorders>
              <w:bottom w:val="single" w:sz="8" w:color="auto"/>
            </w:tcBorders>
          </w:tcPr>
          <w:p>
            <w:pPr>
              <w:jc w:val="right"/>
              <w:ind w:right="700"/>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3,633</w:t>
            </w:r>
          </w:p>
        </w:tc>
        <w:tc>
          <w:tcPr>
            <w:tcW w:w="120" w:type="dxa"/>
            <w:vAlign w:val="bottom"/>
          </w:tcPr>
          <w:p>
            <w:pPr>
              <w:spacing w:after="0"/>
              <w:rPr>
                <w:sz w:val="24"/>
                <w:szCs w:val="24"/>
                <w:color w:val="auto"/>
              </w:rPr>
            </w:pPr>
          </w:p>
        </w:tc>
        <w:tc>
          <w:tcPr>
            <w:tcW w:w="860" w:type="dxa"/>
            <w:vAlign w:val="bottom"/>
            <w:tcBorders>
              <w:bottom w:val="single" w:sz="8" w:color="auto"/>
            </w:tcBorders>
          </w:tcPr>
          <w:p>
            <w:pPr>
              <w:jc w:val="right"/>
              <w:ind w:right="747"/>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31,269</w:t>
            </w:r>
          </w:p>
        </w:tc>
        <w:tc>
          <w:tcPr>
            <w:tcW w:w="120" w:type="dxa"/>
            <w:vAlign w:val="bottom"/>
          </w:tcPr>
          <w:p>
            <w:pPr>
              <w:spacing w:after="0"/>
              <w:rPr>
                <w:sz w:val="24"/>
                <w:szCs w:val="24"/>
                <w:color w:val="auto"/>
              </w:rPr>
            </w:pPr>
          </w:p>
        </w:tc>
        <w:tc>
          <w:tcPr>
            <w:tcW w:w="5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22,727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-2125345</wp:posOffset>
            </wp:positionH>
            <wp:positionV relativeFrom="paragraph">
              <wp:posOffset>-1275080</wp:posOffset>
            </wp:positionV>
            <wp:extent cx="7292340" cy="97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2340" cy="97155"/>
                    </a:xfrm>
                    <a:prstGeom prst="rect">
                      <a:avLst/>
                    </a:prstGeom>
                    <a:noFill/>
                  </pic:spPr>
                </pic:pic>
              </a:graphicData>
            </a:graphic>
          </wp:anchor>
        </w:drawing>
        <w:drawing>
          <wp:anchor simplePos="0" relativeHeight="251657728" behindDoc="1" locked="0" layoutInCell="0" allowOverlap="1">
            <wp:simplePos x="0" y="0"/>
            <wp:positionH relativeFrom="column">
              <wp:posOffset>-2125345</wp:posOffset>
            </wp:positionH>
            <wp:positionV relativeFrom="paragraph">
              <wp:posOffset>-1080135</wp:posOffset>
            </wp:positionV>
            <wp:extent cx="7292340" cy="97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2340" cy="97155"/>
                    </a:xfrm>
                    <a:prstGeom prst="rect">
                      <a:avLst/>
                    </a:prstGeom>
                    <a:noFill/>
                  </pic:spPr>
                </pic:pic>
              </a:graphicData>
            </a:graphic>
          </wp:anchor>
        </w:drawing>
        <w:drawing>
          <wp:anchor simplePos="0" relativeHeight="251657728" behindDoc="1" locked="0" layoutInCell="0" allowOverlap="1">
            <wp:simplePos x="0" y="0"/>
            <wp:positionH relativeFrom="column">
              <wp:posOffset>-2125345</wp:posOffset>
            </wp:positionH>
            <wp:positionV relativeFrom="paragraph">
              <wp:posOffset>-885825</wp:posOffset>
            </wp:positionV>
            <wp:extent cx="7292340" cy="914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2340" cy="91440"/>
                    </a:xfrm>
                    <a:prstGeom prst="rect">
                      <a:avLst/>
                    </a:prstGeom>
                    <a:noFill/>
                  </pic:spPr>
                </pic:pic>
              </a:graphicData>
            </a:graphic>
          </wp:anchor>
        </w:drawing>
        <w:drawing>
          <wp:anchor simplePos="0" relativeHeight="251657728" behindDoc="1" locked="0" layoutInCell="0" allowOverlap="1">
            <wp:simplePos x="0" y="0"/>
            <wp:positionH relativeFrom="column">
              <wp:posOffset>-2125345</wp:posOffset>
            </wp:positionH>
            <wp:positionV relativeFrom="paragraph">
              <wp:posOffset>-697230</wp:posOffset>
            </wp:positionV>
            <wp:extent cx="7292340" cy="97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2340" cy="97155"/>
                    </a:xfrm>
                    <a:prstGeom prst="rect">
                      <a:avLst/>
                    </a:prstGeom>
                    <a:noFill/>
                  </pic:spPr>
                </pic:pic>
              </a:graphicData>
            </a:graphic>
          </wp:anchor>
        </w:drawing>
        <w:drawing>
          <wp:anchor simplePos="0" relativeHeight="251657728" behindDoc="1" locked="0" layoutInCell="0" allowOverlap="1">
            <wp:simplePos x="0" y="0"/>
            <wp:positionH relativeFrom="column">
              <wp:posOffset>-2125345</wp:posOffset>
            </wp:positionH>
            <wp:positionV relativeFrom="paragraph">
              <wp:posOffset>-502920</wp:posOffset>
            </wp:positionV>
            <wp:extent cx="7292340" cy="971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2340" cy="97155"/>
                    </a:xfrm>
                    <a:prstGeom prst="rect">
                      <a:avLst/>
                    </a:prstGeom>
                    <a:noFill/>
                  </pic:spPr>
                </pic:pic>
              </a:graphicData>
            </a:graphic>
          </wp:anchor>
        </w:drawing>
        <w:drawing>
          <wp:anchor simplePos="0" relativeHeight="251657728" behindDoc="1" locked="0" layoutInCell="0" allowOverlap="1">
            <wp:simplePos x="0" y="0"/>
            <wp:positionH relativeFrom="column">
              <wp:posOffset>-2125345</wp:posOffset>
            </wp:positionH>
            <wp:positionV relativeFrom="paragraph">
              <wp:posOffset>-307975</wp:posOffset>
            </wp:positionV>
            <wp:extent cx="7292340" cy="971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2340" cy="97155"/>
                    </a:xfrm>
                    <a:prstGeom prst="rect">
                      <a:avLst/>
                    </a:prstGeom>
                    <a:noFill/>
                  </pic:spPr>
                </pic:pic>
              </a:graphicData>
            </a:graphic>
          </wp:anchor>
        </w:drawing>
        <w:drawing>
          <wp:anchor simplePos="0" relativeHeight="251657728" behindDoc="1" locked="0" layoutInCell="0" allowOverlap="1">
            <wp:simplePos x="0" y="0"/>
            <wp:positionH relativeFrom="column">
              <wp:posOffset>-2125345</wp:posOffset>
            </wp:positionH>
            <wp:positionV relativeFrom="paragraph">
              <wp:posOffset>-113665</wp:posOffset>
            </wp:positionV>
            <wp:extent cx="7292340" cy="1028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340" cy="102870"/>
                    </a:xfrm>
                    <a:prstGeom prst="rect">
                      <a:avLst/>
                    </a:prstGeom>
                    <a:noFill/>
                  </pic:spPr>
                </pic:pic>
              </a:graphicData>
            </a:graphic>
          </wp:anchor>
        </w:drawing>
      </w:r>
    </w:p>
    <w:p>
      <w:pPr>
        <w:spacing w:after="0" w:line="133" w:lineRule="exact"/>
        <w:rPr>
          <w:sz w:val="20"/>
          <w:szCs w:val="20"/>
          <w:color w:val="auto"/>
        </w:rPr>
      </w:pPr>
    </w:p>
    <w:p>
      <w:pPr>
        <w:jc w:val="center"/>
        <w:ind w:right="3360"/>
        <w:spacing w:after="0"/>
        <w:rPr>
          <w:sz w:val="20"/>
          <w:szCs w:val="20"/>
          <w:color w:val="auto"/>
        </w:rPr>
      </w:pPr>
      <w:r>
        <w:rPr>
          <w:rFonts w:ascii="Arial" w:cs="Arial" w:eastAsia="Arial" w:hAnsi="Arial"/>
          <w:sz w:val="10"/>
          <w:szCs w:val="10"/>
          <w:i w:val="1"/>
          <w:iCs w:val="1"/>
          <w:color w:val="auto"/>
        </w:rPr>
        <w:t>The accompanying notes are an integral part of these condensed consolidated financial statements.</w:t>
      </w:r>
    </w:p>
    <w:p>
      <w:pPr>
        <w:spacing w:after="0" w:line="38" w:lineRule="exact"/>
        <w:rPr>
          <w:sz w:val="20"/>
          <w:szCs w:val="20"/>
          <w:color w:val="auto"/>
        </w:rPr>
      </w:pPr>
    </w:p>
    <w:p>
      <w:pPr>
        <w:jc w:val="center"/>
        <w:ind w:right="336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-2138045</wp:posOffset>
            </wp:positionH>
            <wp:positionV relativeFrom="paragraph">
              <wp:posOffset>36830</wp:posOffset>
            </wp:positionV>
            <wp:extent cx="73177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2">
            <w:col w:w="2720" w:space="620"/>
            <w:col w:w="8140"/>
          </w:cols>
          <w:pgMar w:left="220" w:top="122" w:right="19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4"/>
          <w:szCs w:val="14"/>
          <w:b w:val="1"/>
          <w:bCs w:val="1"/>
          <w:color w:val="auto"/>
        </w:rPr>
        <w:t>Quaker Chemical Corporation</w:t>
      </w:r>
    </w:p>
    <w:p>
      <w:pPr>
        <w:spacing w:after="0" w:line="7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i w:val="1"/>
          <w:iCs w:val="1"/>
          <w:color w:val="auto"/>
        </w:rPr>
        <w:t>(Dollars in thousands, except par value and share amounts)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4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2"/>
                <w:szCs w:val="12"/>
                <w:b w:val="1"/>
                <w:bCs w:val="1"/>
                <w:color w:val="auto"/>
              </w:rPr>
              <w:t>Unaudited</w:t>
            </w: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846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Arial" w:cs="Arial" w:eastAsia="Arial" w:hAnsi="Arial"/>
                <w:sz w:val="12"/>
                <w:szCs w:val="12"/>
                <w:b w:val="1"/>
                <w:bCs w:val="1"/>
                <w:color w:val="auto"/>
              </w:rPr>
              <w:t>June 30,</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jc w:val="right"/>
              <w:ind w:right="300"/>
              <w:spacing w:after="0" w:line="129" w:lineRule="exact"/>
              <w:rPr>
                <w:sz w:val="20"/>
                <w:szCs w:val="20"/>
                <w:color w:val="auto"/>
              </w:rPr>
            </w:pPr>
            <w:r>
              <w:rPr>
                <w:rFonts w:ascii="Arial" w:cs="Arial" w:eastAsia="Arial" w:hAnsi="Arial"/>
                <w:sz w:val="12"/>
                <w:szCs w:val="12"/>
                <w:b w:val="1"/>
                <w:bCs w:val="1"/>
                <w:color w:val="auto"/>
                <w:w w:val="97"/>
              </w:rPr>
              <w:t>December 31,</w:t>
            </w:r>
          </w:p>
        </w:tc>
        <w:tc>
          <w:tcPr>
            <w:tcW w:w="0" w:type="dxa"/>
            <w:vAlign w:val="bottom"/>
          </w:tcPr>
          <w:p>
            <w:pPr>
              <w:spacing w:after="0"/>
              <w:rPr>
                <w:sz w:val="1"/>
                <w:szCs w:val="1"/>
                <w:color w:val="auto"/>
              </w:rPr>
            </w:pPr>
          </w:p>
        </w:tc>
      </w:tr>
      <w:tr>
        <w:trPr>
          <w:trHeight w:val="157"/>
        </w:trPr>
        <w:tc>
          <w:tcPr>
            <w:tcW w:w="8460" w:type="dxa"/>
            <w:vAlign w:val="bottom"/>
            <w:vMerge w:val="restart"/>
          </w:tcPr>
          <w:p>
            <w:pPr>
              <w:spacing w:after="0"/>
              <w:rPr>
                <w:sz w:val="20"/>
                <w:szCs w:val="20"/>
                <w:color w:val="auto"/>
              </w:rPr>
            </w:pPr>
            <w:r>
              <w:rPr>
                <w:rFonts w:ascii="Arial" w:cs="Arial" w:eastAsia="Arial" w:hAnsi="Arial"/>
                <w:sz w:val="12"/>
                <w:szCs w:val="12"/>
                <w:b w:val="1"/>
                <w:bCs w:val="1"/>
                <w:color w:val="auto"/>
              </w:rPr>
              <w:t>ASSETS</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2019</w:t>
            </w:r>
          </w:p>
        </w:tc>
        <w:tc>
          <w:tcPr>
            <w:tcW w:w="4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2018</w:t>
            </w:r>
          </w:p>
        </w:tc>
        <w:tc>
          <w:tcPr>
            <w:tcW w:w="0" w:type="dxa"/>
            <w:vAlign w:val="bottom"/>
          </w:tcPr>
          <w:p>
            <w:pPr>
              <w:spacing w:after="0"/>
              <w:rPr>
                <w:sz w:val="1"/>
                <w:szCs w:val="1"/>
                <w:color w:val="auto"/>
              </w:rPr>
            </w:pPr>
          </w:p>
        </w:tc>
      </w:tr>
      <w:tr>
        <w:trPr>
          <w:trHeight w:val="124"/>
        </w:trPr>
        <w:tc>
          <w:tcPr>
            <w:tcW w:w="846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8460" w:type="dxa"/>
            <w:vAlign w:val="bottom"/>
          </w:tcPr>
          <w:p>
            <w:pPr>
              <w:spacing w:after="0"/>
              <w:rPr>
                <w:sz w:val="20"/>
                <w:szCs w:val="20"/>
                <w:color w:val="auto"/>
              </w:rPr>
            </w:pPr>
            <w:r>
              <w:rPr>
                <w:rFonts w:ascii="Arial" w:cs="Arial" w:eastAsia="Arial" w:hAnsi="Arial"/>
                <w:sz w:val="12"/>
                <w:szCs w:val="12"/>
                <w:color w:val="auto"/>
              </w:rPr>
              <w:t>Current assets</w:t>
            </w: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460" w:type="dxa"/>
            <w:vAlign w:val="bottom"/>
            <w:shd w:val="clear" w:color="auto" w:fill="B7E5FF"/>
          </w:tcPr>
          <w:p>
            <w:pPr>
              <w:ind w:left="100"/>
              <w:spacing w:after="0"/>
              <w:rPr>
                <w:sz w:val="20"/>
                <w:szCs w:val="20"/>
                <w:color w:val="auto"/>
              </w:rPr>
            </w:pPr>
            <w:r>
              <w:rPr>
                <w:rFonts w:ascii="Arial" w:cs="Arial" w:eastAsia="Arial" w:hAnsi="Arial"/>
                <w:sz w:val="12"/>
                <w:szCs w:val="12"/>
                <w:color w:val="auto"/>
              </w:rPr>
              <w:t>Cash and cash equivalents</w:t>
            </w:r>
          </w:p>
        </w:tc>
        <w:tc>
          <w:tcPr>
            <w:tcW w:w="920" w:type="dxa"/>
            <w:vAlign w:val="bottom"/>
            <w:shd w:val="clear" w:color="auto" w:fill="B7E5FF"/>
          </w:tcPr>
          <w:p>
            <w:pPr>
              <w:jc w:val="right"/>
              <w:ind w:right="780"/>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86,355</w:t>
            </w:r>
          </w:p>
        </w:tc>
        <w:tc>
          <w:tcPr>
            <w:tcW w:w="220" w:type="dxa"/>
            <w:vAlign w:val="bottom"/>
            <w:shd w:val="clear" w:color="auto" w:fill="B7E5FF"/>
          </w:tcPr>
          <w:p>
            <w:pPr>
              <w:spacing w:after="0"/>
              <w:rPr>
                <w:sz w:val="13"/>
                <w:szCs w:val="13"/>
                <w:color w:val="auto"/>
              </w:rPr>
            </w:pPr>
          </w:p>
        </w:tc>
        <w:tc>
          <w:tcPr>
            <w:tcW w:w="260" w:type="dxa"/>
            <w:vAlign w:val="bottom"/>
            <w:shd w:val="clear" w:color="auto" w:fill="B7E5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104,147</w:t>
            </w:r>
          </w:p>
        </w:tc>
        <w:tc>
          <w:tcPr>
            <w:tcW w:w="0" w:type="dxa"/>
            <w:vAlign w:val="bottom"/>
          </w:tcPr>
          <w:p>
            <w:pPr>
              <w:spacing w:after="0"/>
              <w:rPr>
                <w:sz w:val="1"/>
                <w:szCs w:val="1"/>
                <w:color w:val="auto"/>
              </w:rPr>
            </w:pPr>
          </w:p>
        </w:tc>
      </w:tr>
      <w:tr>
        <w:trPr>
          <w:trHeight w:val="153"/>
        </w:trPr>
        <w:tc>
          <w:tcPr>
            <w:tcW w:w="8460" w:type="dxa"/>
            <w:vAlign w:val="bottom"/>
          </w:tcPr>
          <w:p>
            <w:pPr>
              <w:ind w:left="100"/>
              <w:spacing w:after="0"/>
              <w:rPr>
                <w:sz w:val="20"/>
                <w:szCs w:val="20"/>
                <w:color w:val="auto"/>
              </w:rPr>
            </w:pPr>
            <w:r>
              <w:rPr>
                <w:rFonts w:ascii="Arial" w:cs="Arial" w:eastAsia="Arial" w:hAnsi="Arial"/>
                <w:sz w:val="12"/>
                <w:szCs w:val="12"/>
                <w:color w:val="auto"/>
              </w:rPr>
              <w:t>Accounts receivable, net</w:t>
            </w:r>
          </w:p>
        </w:tc>
        <w:tc>
          <w:tcPr>
            <w:tcW w:w="9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w w:val="96"/>
              </w:rPr>
              <w:t>210,347</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202,139</w:t>
            </w:r>
          </w:p>
        </w:tc>
        <w:tc>
          <w:tcPr>
            <w:tcW w:w="0" w:type="dxa"/>
            <w:vAlign w:val="bottom"/>
          </w:tcPr>
          <w:p>
            <w:pPr>
              <w:spacing w:after="0"/>
              <w:rPr>
                <w:sz w:val="1"/>
                <w:szCs w:val="1"/>
                <w:color w:val="auto"/>
              </w:rPr>
            </w:pPr>
          </w:p>
        </w:tc>
      </w:tr>
      <w:tr>
        <w:trPr>
          <w:trHeight w:val="153"/>
        </w:trPr>
        <w:tc>
          <w:tcPr>
            <w:tcW w:w="8460" w:type="dxa"/>
            <w:vAlign w:val="bottom"/>
            <w:shd w:val="clear" w:color="auto" w:fill="B7E5FF"/>
          </w:tcPr>
          <w:p>
            <w:pPr>
              <w:ind w:left="100"/>
              <w:spacing w:after="0"/>
              <w:rPr>
                <w:sz w:val="20"/>
                <w:szCs w:val="20"/>
                <w:color w:val="auto"/>
              </w:rPr>
            </w:pPr>
            <w:r>
              <w:rPr>
                <w:rFonts w:ascii="Arial" w:cs="Arial" w:eastAsia="Arial" w:hAnsi="Arial"/>
                <w:sz w:val="12"/>
                <w:szCs w:val="12"/>
                <w:color w:val="auto"/>
              </w:rPr>
              <w:t>Inventories</w:t>
            </w:r>
          </w:p>
        </w:tc>
        <w:tc>
          <w:tcPr>
            <w:tcW w:w="920" w:type="dxa"/>
            <w:vAlign w:val="bottom"/>
            <w:shd w:val="clear" w:color="auto" w:fill="B7E5FF"/>
          </w:tcPr>
          <w:p>
            <w:pPr>
              <w:spacing w:after="0"/>
              <w:rPr>
                <w:sz w:val="13"/>
                <w:szCs w:val="13"/>
                <w:color w:val="auto"/>
              </w:rPr>
            </w:pPr>
          </w:p>
        </w:tc>
        <w:tc>
          <w:tcPr>
            <w:tcW w:w="480" w:type="dxa"/>
            <w:vAlign w:val="bottom"/>
            <w:shd w:val="clear" w:color="auto" w:fill="B7E5FF"/>
          </w:tcPr>
          <w:p>
            <w:pPr>
              <w:spacing w:after="0"/>
              <w:rPr>
                <w:sz w:val="13"/>
                <w:szCs w:val="13"/>
                <w:color w:val="auto"/>
              </w:rPr>
            </w:pPr>
          </w:p>
        </w:tc>
        <w:tc>
          <w:tcPr>
            <w:tcW w:w="220" w:type="dxa"/>
            <w:vAlign w:val="bottom"/>
            <w:shd w:val="clear" w:color="auto" w:fill="B7E5FF"/>
          </w:tcPr>
          <w:p>
            <w:pPr>
              <w:spacing w:after="0"/>
              <w:rPr>
                <w:sz w:val="13"/>
                <w:szCs w:val="13"/>
                <w:color w:val="auto"/>
              </w:rPr>
            </w:pPr>
          </w:p>
        </w:tc>
        <w:tc>
          <w:tcPr>
            <w:tcW w:w="260" w:type="dxa"/>
            <w:vAlign w:val="bottom"/>
            <w:shd w:val="clear" w:color="auto" w:fill="B7E5FF"/>
          </w:tcPr>
          <w:p>
            <w:pPr>
              <w:spacing w:after="0"/>
              <w:rPr>
                <w:sz w:val="13"/>
                <w:szCs w:val="13"/>
                <w:color w:val="auto"/>
              </w:rPr>
            </w:pPr>
          </w:p>
        </w:tc>
        <w:tc>
          <w:tcPr>
            <w:tcW w:w="1140" w:type="dxa"/>
            <w:vAlign w:val="bottom"/>
            <w:shd w:val="clear" w:color="auto" w:fill="B7E5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60" w:type="dxa"/>
            <w:vAlign w:val="bottom"/>
          </w:tcPr>
          <w:p>
            <w:pPr>
              <w:ind w:left="220"/>
              <w:spacing w:after="0"/>
              <w:rPr>
                <w:sz w:val="20"/>
                <w:szCs w:val="20"/>
                <w:color w:val="auto"/>
              </w:rPr>
            </w:pPr>
            <w:r>
              <w:rPr>
                <w:rFonts w:ascii="Arial" w:cs="Arial" w:eastAsia="Arial" w:hAnsi="Arial"/>
                <w:sz w:val="12"/>
                <w:szCs w:val="12"/>
                <w:color w:val="auto"/>
              </w:rPr>
              <w:t>Raw materials and supplies</w:t>
            </w:r>
          </w:p>
        </w:tc>
        <w:tc>
          <w:tcPr>
            <w:tcW w:w="9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48,170</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48,134</w:t>
            </w:r>
          </w:p>
        </w:tc>
        <w:tc>
          <w:tcPr>
            <w:tcW w:w="0" w:type="dxa"/>
            <w:vAlign w:val="bottom"/>
          </w:tcPr>
          <w:p>
            <w:pPr>
              <w:spacing w:after="0"/>
              <w:rPr>
                <w:sz w:val="1"/>
                <w:szCs w:val="1"/>
                <w:color w:val="auto"/>
              </w:rPr>
            </w:pPr>
          </w:p>
        </w:tc>
      </w:tr>
      <w:tr>
        <w:trPr>
          <w:trHeight w:val="153"/>
        </w:trPr>
        <w:tc>
          <w:tcPr>
            <w:tcW w:w="8460" w:type="dxa"/>
            <w:vAlign w:val="bottom"/>
            <w:shd w:val="clear" w:color="auto" w:fill="B7E5FF"/>
          </w:tcPr>
          <w:p>
            <w:pPr>
              <w:ind w:left="220"/>
              <w:spacing w:after="0"/>
              <w:rPr>
                <w:sz w:val="20"/>
                <w:szCs w:val="20"/>
                <w:color w:val="auto"/>
              </w:rPr>
            </w:pPr>
            <w:r>
              <w:rPr>
                <w:rFonts w:ascii="Arial" w:cs="Arial" w:eastAsia="Arial" w:hAnsi="Arial"/>
                <w:sz w:val="12"/>
                <w:szCs w:val="12"/>
                <w:color w:val="auto"/>
              </w:rPr>
              <w:t>Work-in-process and finished goods</w:t>
            </w:r>
          </w:p>
        </w:tc>
        <w:tc>
          <w:tcPr>
            <w:tcW w:w="920" w:type="dxa"/>
            <w:vAlign w:val="bottom"/>
            <w:shd w:val="clear" w:color="auto" w:fill="B7E5FF"/>
          </w:tcPr>
          <w:p>
            <w:pPr>
              <w:spacing w:after="0"/>
              <w:rPr>
                <w:sz w:val="13"/>
                <w:szCs w:val="13"/>
                <w:color w:val="auto"/>
              </w:rPr>
            </w:pPr>
          </w:p>
        </w:tc>
        <w:tc>
          <w:tcPr>
            <w:tcW w:w="4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46,315</w:t>
            </w:r>
          </w:p>
        </w:tc>
        <w:tc>
          <w:tcPr>
            <w:tcW w:w="220" w:type="dxa"/>
            <w:vAlign w:val="bottom"/>
            <w:shd w:val="clear" w:color="auto" w:fill="B7E5FF"/>
          </w:tcPr>
          <w:p>
            <w:pPr>
              <w:spacing w:after="0"/>
              <w:rPr>
                <w:sz w:val="13"/>
                <w:szCs w:val="13"/>
                <w:color w:val="auto"/>
              </w:rPr>
            </w:pPr>
          </w:p>
        </w:tc>
        <w:tc>
          <w:tcPr>
            <w:tcW w:w="260" w:type="dxa"/>
            <w:vAlign w:val="bottom"/>
            <w:shd w:val="clear" w:color="auto" w:fill="B7E5FF"/>
          </w:tcPr>
          <w:p>
            <w:pPr>
              <w:spacing w:after="0"/>
              <w:rPr>
                <w:sz w:val="13"/>
                <w:szCs w:val="13"/>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45,956</w:t>
            </w:r>
          </w:p>
        </w:tc>
        <w:tc>
          <w:tcPr>
            <w:tcW w:w="0" w:type="dxa"/>
            <w:vAlign w:val="bottom"/>
          </w:tcPr>
          <w:p>
            <w:pPr>
              <w:spacing w:after="0"/>
              <w:rPr>
                <w:sz w:val="1"/>
                <w:szCs w:val="1"/>
                <w:color w:val="auto"/>
              </w:rPr>
            </w:pPr>
          </w:p>
        </w:tc>
      </w:tr>
      <w:tr>
        <w:trPr>
          <w:trHeight w:val="153"/>
        </w:trPr>
        <w:tc>
          <w:tcPr>
            <w:tcW w:w="8460" w:type="dxa"/>
            <w:vAlign w:val="bottom"/>
            <w:tcBorders>
              <w:bottom w:val="single" w:sz="8" w:color="B7E5FF"/>
            </w:tcBorders>
          </w:tcPr>
          <w:p>
            <w:pPr>
              <w:ind w:left="100"/>
              <w:spacing w:after="0"/>
              <w:rPr>
                <w:sz w:val="20"/>
                <w:szCs w:val="20"/>
                <w:color w:val="auto"/>
              </w:rPr>
            </w:pPr>
            <w:r>
              <w:rPr>
                <w:rFonts w:ascii="Arial" w:cs="Arial" w:eastAsia="Arial" w:hAnsi="Arial"/>
                <w:sz w:val="12"/>
                <w:szCs w:val="12"/>
                <w:color w:val="auto"/>
              </w:rPr>
              <w:t>Prepaid expenses and other current assets</w:t>
            </w:r>
          </w:p>
        </w:tc>
        <w:tc>
          <w:tcPr>
            <w:tcW w:w="9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20,992</w:t>
            </w:r>
          </w:p>
        </w:tc>
        <w:tc>
          <w:tcPr>
            <w:tcW w:w="220" w:type="dxa"/>
            <w:vAlign w:val="bottom"/>
            <w:tcBorders>
              <w:bottom w:val="single" w:sz="8" w:color="B7E5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18,134</w:t>
            </w:r>
          </w:p>
        </w:tc>
        <w:tc>
          <w:tcPr>
            <w:tcW w:w="0" w:type="dxa"/>
            <w:vAlign w:val="bottom"/>
          </w:tcPr>
          <w:p>
            <w:pPr>
              <w:spacing w:after="0"/>
              <w:rPr>
                <w:sz w:val="1"/>
                <w:szCs w:val="1"/>
                <w:color w:val="auto"/>
              </w:rPr>
            </w:pPr>
          </w:p>
        </w:tc>
      </w:tr>
      <w:tr>
        <w:trPr>
          <w:trHeight w:val="133"/>
        </w:trPr>
        <w:tc>
          <w:tcPr>
            <w:tcW w:w="8460" w:type="dxa"/>
            <w:vAlign w:val="bottom"/>
            <w:shd w:val="clear" w:color="auto" w:fill="B7E5FF"/>
          </w:tcPr>
          <w:p>
            <w:pPr>
              <w:ind w:left="220"/>
              <w:spacing w:after="0" w:line="133" w:lineRule="exact"/>
              <w:rPr>
                <w:sz w:val="20"/>
                <w:szCs w:val="20"/>
                <w:color w:val="auto"/>
              </w:rPr>
            </w:pPr>
            <w:r>
              <w:rPr>
                <w:rFonts w:ascii="Arial" w:cs="Arial" w:eastAsia="Arial" w:hAnsi="Arial"/>
                <w:sz w:val="12"/>
                <w:szCs w:val="12"/>
                <w:color w:val="auto"/>
              </w:rPr>
              <w:t>Total current assets</w:t>
            </w:r>
          </w:p>
        </w:tc>
        <w:tc>
          <w:tcPr>
            <w:tcW w:w="920" w:type="dxa"/>
            <w:vAlign w:val="bottom"/>
            <w:tcBorders>
              <w:bottom w:val="single" w:sz="8" w:color="auto"/>
            </w:tcBorders>
            <w:shd w:val="clear" w:color="auto" w:fill="B7E5FF"/>
          </w:tcPr>
          <w:p>
            <w:pPr>
              <w:spacing w:after="0"/>
              <w:rPr>
                <w:sz w:val="11"/>
                <w:szCs w:val="11"/>
                <w:color w:val="auto"/>
              </w:rPr>
            </w:pPr>
          </w:p>
        </w:tc>
        <w:tc>
          <w:tcPr>
            <w:tcW w:w="48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w w:val="96"/>
              </w:rPr>
              <w:t>412,179</w:t>
            </w:r>
          </w:p>
        </w:tc>
        <w:tc>
          <w:tcPr>
            <w:tcW w:w="220" w:type="dxa"/>
            <w:vAlign w:val="bottom"/>
            <w:shd w:val="clear" w:color="auto" w:fill="B7E5FF"/>
          </w:tcPr>
          <w:p>
            <w:pPr>
              <w:spacing w:after="0"/>
              <w:rPr>
                <w:sz w:val="11"/>
                <w:szCs w:val="11"/>
                <w:color w:val="auto"/>
              </w:rPr>
            </w:pPr>
          </w:p>
        </w:tc>
        <w:tc>
          <w:tcPr>
            <w:tcW w:w="260" w:type="dxa"/>
            <w:vAlign w:val="bottom"/>
            <w:tcBorders>
              <w:bottom w:val="single" w:sz="8" w:color="auto"/>
            </w:tcBorders>
            <w:shd w:val="clear" w:color="auto" w:fill="B7E5FF"/>
          </w:tcPr>
          <w:p>
            <w:pPr>
              <w:spacing w:after="0"/>
              <w:rPr>
                <w:sz w:val="11"/>
                <w:szCs w:val="11"/>
                <w:color w:val="auto"/>
              </w:rPr>
            </w:pPr>
          </w:p>
        </w:tc>
        <w:tc>
          <w:tcPr>
            <w:tcW w:w="11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418,510</w:t>
            </w:r>
          </w:p>
        </w:tc>
        <w:tc>
          <w:tcPr>
            <w:tcW w:w="0" w:type="dxa"/>
            <w:vAlign w:val="bottom"/>
          </w:tcPr>
          <w:p>
            <w:pPr>
              <w:spacing w:after="0"/>
              <w:rPr>
                <w:sz w:val="1"/>
                <w:szCs w:val="1"/>
                <w:color w:val="auto"/>
              </w:rPr>
            </w:pPr>
          </w:p>
        </w:tc>
      </w:tr>
      <w:tr>
        <w:trPr>
          <w:trHeight w:val="133"/>
        </w:trPr>
        <w:tc>
          <w:tcPr>
            <w:tcW w:w="8460" w:type="dxa"/>
            <w:vAlign w:val="bottom"/>
          </w:tcPr>
          <w:p>
            <w:pPr>
              <w:spacing w:after="0" w:line="133" w:lineRule="exact"/>
              <w:rPr>
                <w:sz w:val="20"/>
                <w:szCs w:val="20"/>
                <w:color w:val="auto"/>
              </w:rPr>
            </w:pPr>
            <w:r>
              <w:rPr>
                <w:rFonts w:ascii="Arial" w:cs="Arial" w:eastAsia="Arial" w:hAnsi="Arial"/>
                <w:sz w:val="12"/>
                <w:szCs w:val="12"/>
                <w:color w:val="auto"/>
              </w:rPr>
              <w:t>Property, plant and equipment, at cost</w:t>
            </w:r>
          </w:p>
        </w:tc>
        <w:tc>
          <w:tcPr>
            <w:tcW w:w="920" w:type="dxa"/>
            <w:vAlign w:val="bottom"/>
          </w:tcPr>
          <w:p>
            <w:pPr>
              <w:spacing w:after="0"/>
              <w:rPr>
                <w:sz w:val="11"/>
                <w:szCs w:val="11"/>
                <w:color w:val="auto"/>
              </w:rPr>
            </w:pPr>
          </w:p>
        </w:tc>
        <w:tc>
          <w:tcPr>
            <w:tcW w:w="480" w:type="dxa"/>
            <w:vAlign w:val="bottom"/>
          </w:tcPr>
          <w:p>
            <w:pPr>
              <w:jc w:val="right"/>
              <w:spacing w:after="0" w:line="133" w:lineRule="exact"/>
              <w:rPr>
                <w:sz w:val="20"/>
                <w:szCs w:val="20"/>
                <w:color w:val="auto"/>
              </w:rPr>
            </w:pPr>
            <w:r>
              <w:rPr>
                <w:rFonts w:ascii="Arial" w:cs="Arial" w:eastAsia="Arial" w:hAnsi="Arial"/>
                <w:sz w:val="12"/>
                <w:szCs w:val="12"/>
                <w:color w:val="auto"/>
                <w:w w:val="96"/>
              </w:rPr>
              <w:t>258,054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jc w:val="right"/>
              <w:spacing w:after="0" w:line="133" w:lineRule="exact"/>
              <w:rPr>
                <w:sz w:val="20"/>
                <w:szCs w:val="20"/>
                <w:color w:val="auto"/>
              </w:rPr>
            </w:pPr>
            <w:r>
              <w:rPr>
                <w:rFonts w:ascii="Arial" w:cs="Arial" w:eastAsia="Arial" w:hAnsi="Arial"/>
                <w:sz w:val="12"/>
                <w:szCs w:val="12"/>
                <w:color w:val="auto"/>
              </w:rPr>
              <w:t>254,237</w:t>
            </w:r>
          </w:p>
        </w:tc>
        <w:tc>
          <w:tcPr>
            <w:tcW w:w="0" w:type="dxa"/>
            <w:vAlign w:val="bottom"/>
          </w:tcPr>
          <w:p>
            <w:pPr>
              <w:spacing w:after="0"/>
              <w:rPr>
                <w:sz w:val="1"/>
                <w:szCs w:val="1"/>
                <w:color w:val="auto"/>
              </w:rPr>
            </w:pPr>
          </w:p>
        </w:tc>
      </w:tr>
      <w:tr>
        <w:trPr>
          <w:trHeight w:val="153"/>
        </w:trPr>
        <w:tc>
          <w:tcPr>
            <w:tcW w:w="8460" w:type="dxa"/>
            <w:vAlign w:val="bottom"/>
            <w:shd w:val="clear" w:color="auto" w:fill="B7E5FF"/>
          </w:tcPr>
          <w:p>
            <w:pPr>
              <w:ind w:left="100"/>
              <w:spacing w:after="0"/>
              <w:rPr>
                <w:sz w:val="20"/>
                <w:szCs w:val="20"/>
                <w:color w:val="auto"/>
              </w:rPr>
            </w:pPr>
            <w:r>
              <w:rPr>
                <w:rFonts w:ascii="Arial" w:cs="Arial" w:eastAsia="Arial" w:hAnsi="Arial"/>
                <w:sz w:val="12"/>
                <w:szCs w:val="12"/>
                <w:color w:val="auto"/>
              </w:rPr>
              <w:t>Less accumulated depreciation</w:t>
            </w:r>
          </w:p>
        </w:tc>
        <w:tc>
          <w:tcPr>
            <w:tcW w:w="920" w:type="dxa"/>
            <w:vAlign w:val="bottom"/>
            <w:tcBorders>
              <w:bottom w:val="single" w:sz="8" w:color="auto"/>
            </w:tcBorders>
            <w:shd w:val="clear" w:color="auto" w:fill="B7E5FF"/>
          </w:tcPr>
          <w:p>
            <w:pPr>
              <w:spacing w:after="0"/>
              <w:rPr>
                <w:sz w:val="13"/>
                <w:szCs w:val="13"/>
                <w:color w:val="auto"/>
              </w:rPr>
            </w:pPr>
          </w:p>
        </w:tc>
        <w:tc>
          <w:tcPr>
            <w:tcW w:w="4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w w:val="85"/>
              </w:rPr>
              <w:t>(175,431)</w:t>
            </w:r>
          </w:p>
        </w:tc>
        <w:tc>
          <w:tcPr>
            <w:tcW w:w="220" w:type="dxa"/>
            <w:vAlign w:val="bottom"/>
            <w:shd w:val="clear" w:color="auto" w:fill="B7E5FF"/>
          </w:tcPr>
          <w:p>
            <w:pPr>
              <w:spacing w:after="0"/>
              <w:rPr>
                <w:sz w:val="13"/>
                <w:szCs w:val="13"/>
                <w:color w:val="auto"/>
              </w:rPr>
            </w:pPr>
          </w:p>
        </w:tc>
        <w:tc>
          <w:tcPr>
            <w:tcW w:w="260" w:type="dxa"/>
            <w:vAlign w:val="bottom"/>
            <w:tcBorders>
              <w:bottom w:val="single" w:sz="8" w:color="auto"/>
            </w:tcBorders>
            <w:shd w:val="clear" w:color="auto" w:fill="B7E5FF"/>
          </w:tcPr>
          <w:p>
            <w:pPr>
              <w:spacing w:after="0"/>
              <w:rPr>
                <w:sz w:val="13"/>
                <w:szCs w:val="13"/>
                <w:color w:val="auto"/>
              </w:rPr>
            </w:pP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(170,314)</w:t>
            </w:r>
          </w:p>
        </w:tc>
        <w:tc>
          <w:tcPr>
            <w:tcW w:w="0" w:type="dxa"/>
            <w:vAlign w:val="bottom"/>
          </w:tcPr>
          <w:p>
            <w:pPr>
              <w:spacing w:after="0"/>
              <w:rPr>
                <w:sz w:val="1"/>
                <w:szCs w:val="1"/>
                <w:color w:val="auto"/>
              </w:rPr>
            </w:pPr>
          </w:p>
        </w:tc>
      </w:tr>
      <w:tr>
        <w:trPr>
          <w:trHeight w:val="133"/>
        </w:trPr>
        <w:tc>
          <w:tcPr>
            <w:tcW w:w="8460" w:type="dxa"/>
            <w:vAlign w:val="bottom"/>
          </w:tcPr>
          <w:p>
            <w:pPr>
              <w:ind w:left="220"/>
              <w:spacing w:after="0" w:line="133" w:lineRule="exact"/>
              <w:rPr>
                <w:sz w:val="20"/>
                <w:szCs w:val="20"/>
                <w:color w:val="auto"/>
              </w:rPr>
            </w:pPr>
            <w:r>
              <w:rPr>
                <w:rFonts w:ascii="Arial" w:cs="Arial" w:eastAsia="Arial" w:hAnsi="Arial"/>
                <w:sz w:val="12"/>
                <w:szCs w:val="12"/>
                <w:color w:val="auto"/>
              </w:rPr>
              <w:t>Property, plant and equipment, net</w:t>
            </w:r>
          </w:p>
        </w:tc>
        <w:tc>
          <w:tcPr>
            <w:tcW w:w="920" w:type="dxa"/>
            <w:vAlign w:val="bottom"/>
          </w:tcPr>
          <w:p>
            <w:pPr>
              <w:spacing w:after="0"/>
              <w:rPr>
                <w:sz w:val="11"/>
                <w:szCs w:val="11"/>
                <w:color w:val="auto"/>
              </w:rPr>
            </w:pPr>
          </w:p>
        </w:tc>
        <w:tc>
          <w:tcPr>
            <w:tcW w:w="480" w:type="dxa"/>
            <w:vAlign w:val="bottom"/>
          </w:tcPr>
          <w:p>
            <w:pPr>
              <w:jc w:val="right"/>
              <w:spacing w:after="0" w:line="133" w:lineRule="exact"/>
              <w:rPr>
                <w:sz w:val="20"/>
                <w:szCs w:val="20"/>
                <w:color w:val="auto"/>
              </w:rPr>
            </w:pPr>
            <w:r>
              <w:rPr>
                <w:rFonts w:ascii="Arial" w:cs="Arial" w:eastAsia="Arial" w:hAnsi="Arial"/>
                <w:sz w:val="12"/>
                <w:szCs w:val="12"/>
                <w:color w:val="auto"/>
              </w:rPr>
              <w:t>82,623</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jc w:val="right"/>
              <w:spacing w:after="0" w:line="133" w:lineRule="exact"/>
              <w:rPr>
                <w:sz w:val="20"/>
                <w:szCs w:val="20"/>
                <w:color w:val="auto"/>
              </w:rPr>
            </w:pPr>
            <w:r>
              <w:rPr>
                <w:rFonts w:ascii="Arial" w:cs="Arial" w:eastAsia="Arial" w:hAnsi="Arial"/>
                <w:sz w:val="12"/>
                <w:szCs w:val="12"/>
                <w:color w:val="auto"/>
              </w:rPr>
              <w:t>83,923</w:t>
            </w:r>
          </w:p>
        </w:tc>
        <w:tc>
          <w:tcPr>
            <w:tcW w:w="0" w:type="dxa"/>
            <w:vAlign w:val="bottom"/>
          </w:tcPr>
          <w:p>
            <w:pPr>
              <w:spacing w:after="0"/>
              <w:rPr>
                <w:sz w:val="1"/>
                <w:szCs w:val="1"/>
                <w:color w:val="auto"/>
              </w:rPr>
            </w:pPr>
          </w:p>
        </w:tc>
      </w:tr>
      <w:tr>
        <w:trPr>
          <w:trHeight w:val="153"/>
        </w:trPr>
        <w:tc>
          <w:tcPr>
            <w:tcW w:w="8460" w:type="dxa"/>
            <w:vAlign w:val="bottom"/>
            <w:shd w:val="clear" w:color="auto" w:fill="B7E5FF"/>
          </w:tcPr>
          <w:p>
            <w:pPr>
              <w:spacing w:after="0"/>
              <w:rPr>
                <w:sz w:val="20"/>
                <w:szCs w:val="20"/>
                <w:color w:val="auto"/>
              </w:rPr>
            </w:pPr>
            <w:r>
              <w:rPr>
                <w:rFonts w:ascii="Arial" w:cs="Arial" w:eastAsia="Arial" w:hAnsi="Arial"/>
                <w:sz w:val="12"/>
                <w:szCs w:val="12"/>
                <w:color w:val="auto"/>
              </w:rPr>
              <w:t>Right of use lease assets</w:t>
            </w:r>
          </w:p>
        </w:tc>
        <w:tc>
          <w:tcPr>
            <w:tcW w:w="920" w:type="dxa"/>
            <w:vAlign w:val="bottom"/>
            <w:shd w:val="clear" w:color="auto" w:fill="B7E5FF"/>
          </w:tcPr>
          <w:p>
            <w:pPr>
              <w:spacing w:after="0"/>
              <w:rPr>
                <w:sz w:val="13"/>
                <w:szCs w:val="13"/>
                <w:color w:val="auto"/>
              </w:rPr>
            </w:pPr>
          </w:p>
        </w:tc>
        <w:tc>
          <w:tcPr>
            <w:tcW w:w="4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24,828</w:t>
            </w:r>
          </w:p>
        </w:tc>
        <w:tc>
          <w:tcPr>
            <w:tcW w:w="220" w:type="dxa"/>
            <w:vAlign w:val="bottom"/>
            <w:shd w:val="clear" w:color="auto" w:fill="B7E5FF"/>
          </w:tcPr>
          <w:p>
            <w:pPr>
              <w:spacing w:after="0"/>
              <w:rPr>
                <w:sz w:val="13"/>
                <w:szCs w:val="13"/>
                <w:color w:val="auto"/>
              </w:rPr>
            </w:pPr>
          </w:p>
        </w:tc>
        <w:tc>
          <w:tcPr>
            <w:tcW w:w="260" w:type="dxa"/>
            <w:vAlign w:val="bottom"/>
            <w:shd w:val="clear" w:color="auto" w:fill="B7E5FF"/>
          </w:tcPr>
          <w:p>
            <w:pPr>
              <w:spacing w:after="0"/>
              <w:rPr>
                <w:sz w:val="13"/>
                <w:szCs w:val="13"/>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8460" w:type="dxa"/>
            <w:vAlign w:val="bottom"/>
          </w:tcPr>
          <w:p>
            <w:pPr>
              <w:spacing w:after="0"/>
              <w:rPr>
                <w:sz w:val="20"/>
                <w:szCs w:val="20"/>
                <w:color w:val="auto"/>
              </w:rPr>
            </w:pPr>
            <w:r>
              <w:rPr>
                <w:rFonts w:ascii="Arial" w:cs="Arial" w:eastAsia="Arial" w:hAnsi="Arial"/>
                <w:sz w:val="12"/>
                <w:szCs w:val="12"/>
                <w:color w:val="auto"/>
              </w:rPr>
              <w:t>Goodwill</w:t>
            </w:r>
          </w:p>
        </w:tc>
        <w:tc>
          <w:tcPr>
            <w:tcW w:w="9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83,296</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83,333</w:t>
            </w:r>
          </w:p>
        </w:tc>
        <w:tc>
          <w:tcPr>
            <w:tcW w:w="0" w:type="dxa"/>
            <w:vAlign w:val="bottom"/>
          </w:tcPr>
          <w:p>
            <w:pPr>
              <w:spacing w:after="0"/>
              <w:rPr>
                <w:sz w:val="1"/>
                <w:szCs w:val="1"/>
                <w:color w:val="auto"/>
              </w:rPr>
            </w:pPr>
          </w:p>
        </w:tc>
      </w:tr>
      <w:tr>
        <w:trPr>
          <w:trHeight w:val="153"/>
        </w:trPr>
        <w:tc>
          <w:tcPr>
            <w:tcW w:w="8460" w:type="dxa"/>
            <w:vAlign w:val="bottom"/>
            <w:shd w:val="clear" w:color="auto" w:fill="B7E5FF"/>
          </w:tcPr>
          <w:p>
            <w:pPr>
              <w:spacing w:after="0"/>
              <w:rPr>
                <w:sz w:val="20"/>
                <w:szCs w:val="20"/>
                <w:color w:val="auto"/>
              </w:rPr>
            </w:pPr>
            <w:r>
              <w:rPr>
                <w:rFonts w:ascii="Arial" w:cs="Arial" w:eastAsia="Arial" w:hAnsi="Arial"/>
                <w:sz w:val="12"/>
                <w:szCs w:val="12"/>
                <w:color w:val="auto"/>
              </w:rPr>
              <w:t>Other intangible assets, net</w:t>
            </w:r>
          </w:p>
        </w:tc>
        <w:tc>
          <w:tcPr>
            <w:tcW w:w="920" w:type="dxa"/>
            <w:vAlign w:val="bottom"/>
            <w:shd w:val="clear" w:color="auto" w:fill="B7E5FF"/>
          </w:tcPr>
          <w:p>
            <w:pPr>
              <w:spacing w:after="0"/>
              <w:rPr>
                <w:sz w:val="13"/>
                <w:szCs w:val="13"/>
                <w:color w:val="auto"/>
              </w:rPr>
            </w:pPr>
          </w:p>
        </w:tc>
        <w:tc>
          <w:tcPr>
            <w:tcW w:w="4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59,855</w:t>
            </w:r>
          </w:p>
        </w:tc>
        <w:tc>
          <w:tcPr>
            <w:tcW w:w="220" w:type="dxa"/>
            <w:vAlign w:val="bottom"/>
            <w:shd w:val="clear" w:color="auto" w:fill="B7E5FF"/>
          </w:tcPr>
          <w:p>
            <w:pPr>
              <w:spacing w:after="0"/>
              <w:rPr>
                <w:sz w:val="13"/>
                <w:szCs w:val="13"/>
                <w:color w:val="auto"/>
              </w:rPr>
            </w:pPr>
          </w:p>
        </w:tc>
        <w:tc>
          <w:tcPr>
            <w:tcW w:w="260" w:type="dxa"/>
            <w:vAlign w:val="bottom"/>
            <w:shd w:val="clear" w:color="auto" w:fill="B7E5FF"/>
          </w:tcPr>
          <w:p>
            <w:pPr>
              <w:spacing w:after="0"/>
              <w:rPr>
                <w:sz w:val="13"/>
                <w:szCs w:val="13"/>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63,582</w:t>
            </w:r>
          </w:p>
        </w:tc>
        <w:tc>
          <w:tcPr>
            <w:tcW w:w="0" w:type="dxa"/>
            <w:vAlign w:val="bottom"/>
          </w:tcPr>
          <w:p>
            <w:pPr>
              <w:spacing w:after="0"/>
              <w:rPr>
                <w:sz w:val="1"/>
                <w:szCs w:val="1"/>
                <w:color w:val="auto"/>
              </w:rPr>
            </w:pPr>
          </w:p>
        </w:tc>
      </w:tr>
      <w:tr>
        <w:trPr>
          <w:trHeight w:val="153"/>
        </w:trPr>
        <w:tc>
          <w:tcPr>
            <w:tcW w:w="8460" w:type="dxa"/>
            <w:vAlign w:val="bottom"/>
          </w:tcPr>
          <w:p>
            <w:pPr>
              <w:spacing w:after="0"/>
              <w:rPr>
                <w:sz w:val="20"/>
                <w:szCs w:val="20"/>
                <w:color w:val="auto"/>
              </w:rPr>
            </w:pPr>
            <w:r>
              <w:rPr>
                <w:rFonts w:ascii="Arial" w:cs="Arial" w:eastAsia="Arial" w:hAnsi="Arial"/>
                <w:sz w:val="12"/>
                <w:szCs w:val="12"/>
                <w:color w:val="auto"/>
              </w:rPr>
              <w:t>Investments in associated companies</w:t>
            </w:r>
          </w:p>
        </w:tc>
        <w:tc>
          <w:tcPr>
            <w:tcW w:w="9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21,362</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21,316</w:t>
            </w:r>
          </w:p>
        </w:tc>
        <w:tc>
          <w:tcPr>
            <w:tcW w:w="0" w:type="dxa"/>
            <w:vAlign w:val="bottom"/>
          </w:tcPr>
          <w:p>
            <w:pPr>
              <w:spacing w:after="0"/>
              <w:rPr>
                <w:sz w:val="1"/>
                <w:szCs w:val="1"/>
                <w:color w:val="auto"/>
              </w:rPr>
            </w:pPr>
          </w:p>
        </w:tc>
      </w:tr>
      <w:tr>
        <w:trPr>
          <w:trHeight w:val="153"/>
        </w:trPr>
        <w:tc>
          <w:tcPr>
            <w:tcW w:w="8460" w:type="dxa"/>
            <w:vAlign w:val="bottom"/>
            <w:shd w:val="clear" w:color="auto" w:fill="B7E5FF"/>
          </w:tcPr>
          <w:p>
            <w:pPr>
              <w:spacing w:after="0"/>
              <w:rPr>
                <w:sz w:val="20"/>
                <w:szCs w:val="20"/>
                <w:color w:val="auto"/>
              </w:rPr>
            </w:pPr>
            <w:r>
              <w:rPr>
                <w:rFonts w:ascii="Arial" w:cs="Arial" w:eastAsia="Arial" w:hAnsi="Arial"/>
                <w:sz w:val="12"/>
                <w:szCs w:val="12"/>
                <w:color w:val="auto"/>
              </w:rPr>
              <w:t>Non-current deferred tax assets</w:t>
            </w:r>
          </w:p>
        </w:tc>
        <w:tc>
          <w:tcPr>
            <w:tcW w:w="920" w:type="dxa"/>
            <w:vAlign w:val="bottom"/>
            <w:shd w:val="clear" w:color="auto" w:fill="B7E5FF"/>
          </w:tcPr>
          <w:p>
            <w:pPr>
              <w:spacing w:after="0"/>
              <w:rPr>
                <w:sz w:val="13"/>
                <w:szCs w:val="13"/>
                <w:color w:val="auto"/>
              </w:rPr>
            </w:pPr>
          </w:p>
        </w:tc>
        <w:tc>
          <w:tcPr>
            <w:tcW w:w="4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7,948</w:t>
            </w:r>
          </w:p>
        </w:tc>
        <w:tc>
          <w:tcPr>
            <w:tcW w:w="220" w:type="dxa"/>
            <w:vAlign w:val="bottom"/>
            <w:shd w:val="clear" w:color="auto" w:fill="B7E5FF"/>
          </w:tcPr>
          <w:p>
            <w:pPr>
              <w:spacing w:after="0"/>
              <w:rPr>
                <w:sz w:val="13"/>
                <w:szCs w:val="13"/>
                <w:color w:val="auto"/>
              </w:rPr>
            </w:pPr>
          </w:p>
        </w:tc>
        <w:tc>
          <w:tcPr>
            <w:tcW w:w="260" w:type="dxa"/>
            <w:vAlign w:val="bottom"/>
            <w:shd w:val="clear" w:color="auto" w:fill="B7E5FF"/>
          </w:tcPr>
          <w:p>
            <w:pPr>
              <w:spacing w:after="0"/>
              <w:rPr>
                <w:sz w:val="13"/>
                <w:szCs w:val="13"/>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6,946</w:t>
            </w:r>
          </w:p>
        </w:tc>
        <w:tc>
          <w:tcPr>
            <w:tcW w:w="0" w:type="dxa"/>
            <w:vAlign w:val="bottom"/>
          </w:tcPr>
          <w:p>
            <w:pPr>
              <w:spacing w:after="0"/>
              <w:rPr>
                <w:sz w:val="1"/>
                <w:szCs w:val="1"/>
                <w:color w:val="auto"/>
              </w:rPr>
            </w:pPr>
          </w:p>
        </w:tc>
      </w:tr>
      <w:tr>
        <w:trPr>
          <w:trHeight w:val="153"/>
        </w:trPr>
        <w:tc>
          <w:tcPr>
            <w:tcW w:w="8460" w:type="dxa"/>
            <w:vAlign w:val="bottom"/>
            <w:tcBorders>
              <w:bottom w:val="single" w:sz="8" w:color="B7E5FF"/>
            </w:tcBorders>
          </w:tcPr>
          <w:p>
            <w:pPr>
              <w:spacing w:after="0"/>
              <w:rPr>
                <w:sz w:val="20"/>
                <w:szCs w:val="20"/>
                <w:color w:val="auto"/>
              </w:rPr>
            </w:pPr>
            <w:r>
              <w:rPr>
                <w:rFonts w:ascii="Arial" w:cs="Arial" w:eastAsia="Arial" w:hAnsi="Arial"/>
                <w:sz w:val="12"/>
                <w:szCs w:val="12"/>
                <w:color w:val="auto"/>
              </w:rPr>
              <w:t>Other assets</w:t>
            </w:r>
          </w:p>
        </w:tc>
        <w:tc>
          <w:tcPr>
            <w:tcW w:w="9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32,439</w:t>
            </w:r>
          </w:p>
        </w:tc>
        <w:tc>
          <w:tcPr>
            <w:tcW w:w="220" w:type="dxa"/>
            <w:vAlign w:val="bottom"/>
            <w:tcBorders>
              <w:bottom w:val="single" w:sz="8" w:color="B7E5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32,055</w:t>
            </w:r>
          </w:p>
        </w:tc>
        <w:tc>
          <w:tcPr>
            <w:tcW w:w="0" w:type="dxa"/>
            <w:vAlign w:val="bottom"/>
          </w:tcPr>
          <w:p>
            <w:pPr>
              <w:spacing w:after="0"/>
              <w:rPr>
                <w:sz w:val="1"/>
                <w:szCs w:val="1"/>
                <w:color w:val="auto"/>
              </w:rPr>
            </w:pPr>
          </w:p>
        </w:tc>
      </w:tr>
      <w:tr>
        <w:trPr>
          <w:trHeight w:val="140"/>
        </w:trPr>
        <w:tc>
          <w:tcPr>
            <w:tcW w:w="8460" w:type="dxa"/>
            <w:vAlign w:val="bottom"/>
            <w:tcBorders>
              <w:bottom w:val="single" w:sz="8" w:color="B7E5FF"/>
            </w:tcBorders>
            <w:shd w:val="clear" w:color="auto" w:fill="B7E5FF"/>
          </w:tcPr>
          <w:p>
            <w:pPr>
              <w:ind w:left="220"/>
              <w:spacing w:after="0" w:line="133" w:lineRule="exact"/>
              <w:rPr>
                <w:sz w:val="20"/>
                <w:szCs w:val="20"/>
                <w:color w:val="auto"/>
              </w:rPr>
            </w:pPr>
            <w:r>
              <w:rPr>
                <w:rFonts w:ascii="Arial" w:cs="Arial" w:eastAsia="Arial" w:hAnsi="Arial"/>
                <w:sz w:val="12"/>
                <w:szCs w:val="12"/>
                <w:color w:val="auto"/>
              </w:rPr>
              <w:t>Total assets</w:t>
            </w:r>
          </w:p>
        </w:tc>
        <w:tc>
          <w:tcPr>
            <w:tcW w:w="920" w:type="dxa"/>
            <w:vAlign w:val="bottom"/>
            <w:tcBorders>
              <w:bottom w:val="single" w:sz="8" w:color="auto"/>
            </w:tcBorders>
            <w:shd w:val="clear" w:color="auto" w:fill="B7E5FF"/>
          </w:tcPr>
          <w:p>
            <w:pPr>
              <w:jc w:val="right"/>
              <w:ind w:right="780"/>
              <w:spacing w:after="0" w:line="133" w:lineRule="exact"/>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w w:val="96"/>
              </w:rPr>
              <w:t>724,530</w:t>
            </w:r>
          </w:p>
        </w:tc>
        <w:tc>
          <w:tcPr>
            <w:tcW w:w="220" w:type="dxa"/>
            <w:vAlign w:val="bottom"/>
            <w:tcBorders>
              <w:bottom w:val="single" w:sz="8" w:color="B7E5FF"/>
            </w:tcBorders>
            <w:shd w:val="clear" w:color="auto" w:fill="B7E5FF"/>
          </w:tcPr>
          <w:p>
            <w:pPr>
              <w:spacing w:after="0"/>
              <w:rPr>
                <w:sz w:val="12"/>
                <w:szCs w:val="12"/>
                <w:color w:val="auto"/>
              </w:rPr>
            </w:pPr>
          </w:p>
        </w:tc>
        <w:tc>
          <w:tcPr>
            <w:tcW w:w="260" w:type="dxa"/>
            <w:vAlign w:val="bottom"/>
            <w:tcBorders>
              <w:bottom w:val="single" w:sz="8" w:color="auto"/>
            </w:tcBorders>
            <w:shd w:val="clear" w:color="auto" w:fill="B7E5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709,665</w:t>
            </w:r>
          </w:p>
        </w:tc>
        <w:tc>
          <w:tcPr>
            <w:tcW w:w="0" w:type="dxa"/>
            <w:vAlign w:val="bottom"/>
          </w:tcPr>
          <w:p>
            <w:pPr>
              <w:spacing w:after="0"/>
              <w:rPr>
                <w:sz w:val="1"/>
                <w:szCs w:val="1"/>
                <w:color w:val="auto"/>
              </w:rPr>
            </w:pPr>
          </w:p>
        </w:tc>
      </w:tr>
      <w:tr>
        <w:trPr>
          <w:trHeight w:val="144"/>
        </w:trPr>
        <w:tc>
          <w:tcPr>
            <w:tcW w:w="8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460" w:type="dxa"/>
            <w:vAlign w:val="bottom"/>
            <w:shd w:val="clear" w:color="auto" w:fill="B7E5FF"/>
          </w:tcPr>
          <w:p>
            <w:pPr>
              <w:spacing w:after="0"/>
              <w:rPr>
                <w:sz w:val="20"/>
                <w:szCs w:val="20"/>
                <w:color w:val="auto"/>
              </w:rPr>
            </w:pPr>
            <w:r>
              <w:rPr>
                <w:rFonts w:ascii="Arial" w:cs="Arial" w:eastAsia="Arial" w:hAnsi="Arial"/>
                <w:sz w:val="12"/>
                <w:szCs w:val="12"/>
                <w:b w:val="1"/>
                <w:bCs w:val="1"/>
                <w:color w:val="auto"/>
              </w:rPr>
              <w:t>LIABILITIES AND EQUITY</w:t>
            </w:r>
          </w:p>
        </w:tc>
        <w:tc>
          <w:tcPr>
            <w:tcW w:w="920" w:type="dxa"/>
            <w:vAlign w:val="bottom"/>
            <w:shd w:val="clear" w:color="auto" w:fill="B7E5FF"/>
          </w:tcPr>
          <w:p>
            <w:pPr>
              <w:spacing w:after="0"/>
              <w:rPr>
                <w:sz w:val="13"/>
                <w:szCs w:val="13"/>
                <w:color w:val="auto"/>
              </w:rPr>
            </w:pPr>
          </w:p>
        </w:tc>
        <w:tc>
          <w:tcPr>
            <w:tcW w:w="480" w:type="dxa"/>
            <w:vAlign w:val="bottom"/>
            <w:shd w:val="clear" w:color="auto" w:fill="B7E5FF"/>
          </w:tcPr>
          <w:p>
            <w:pPr>
              <w:spacing w:after="0"/>
              <w:rPr>
                <w:sz w:val="13"/>
                <w:szCs w:val="13"/>
                <w:color w:val="auto"/>
              </w:rPr>
            </w:pPr>
          </w:p>
        </w:tc>
        <w:tc>
          <w:tcPr>
            <w:tcW w:w="220" w:type="dxa"/>
            <w:vAlign w:val="bottom"/>
            <w:shd w:val="clear" w:color="auto" w:fill="B7E5FF"/>
          </w:tcPr>
          <w:p>
            <w:pPr>
              <w:spacing w:after="0"/>
              <w:rPr>
                <w:sz w:val="13"/>
                <w:szCs w:val="13"/>
                <w:color w:val="auto"/>
              </w:rPr>
            </w:pPr>
          </w:p>
        </w:tc>
        <w:tc>
          <w:tcPr>
            <w:tcW w:w="260" w:type="dxa"/>
            <w:vAlign w:val="bottom"/>
            <w:shd w:val="clear" w:color="auto" w:fill="B7E5FF"/>
          </w:tcPr>
          <w:p>
            <w:pPr>
              <w:spacing w:after="0"/>
              <w:rPr>
                <w:sz w:val="13"/>
                <w:szCs w:val="13"/>
                <w:color w:val="auto"/>
              </w:rPr>
            </w:pPr>
          </w:p>
        </w:tc>
        <w:tc>
          <w:tcPr>
            <w:tcW w:w="1140" w:type="dxa"/>
            <w:vAlign w:val="bottom"/>
            <w:shd w:val="clear" w:color="auto" w:fill="B7E5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60" w:type="dxa"/>
            <w:vAlign w:val="bottom"/>
          </w:tcPr>
          <w:p>
            <w:pPr>
              <w:spacing w:after="0"/>
              <w:rPr>
                <w:sz w:val="20"/>
                <w:szCs w:val="20"/>
                <w:color w:val="auto"/>
              </w:rPr>
            </w:pPr>
            <w:r>
              <w:rPr>
                <w:rFonts w:ascii="Arial" w:cs="Arial" w:eastAsia="Arial" w:hAnsi="Arial"/>
                <w:sz w:val="12"/>
                <w:szCs w:val="12"/>
                <w:color w:val="auto"/>
              </w:rPr>
              <w:t>Current liabilities</w:t>
            </w: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60" w:type="dxa"/>
            <w:vAlign w:val="bottom"/>
            <w:shd w:val="clear" w:color="auto" w:fill="B7E5FF"/>
          </w:tcPr>
          <w:p>
            <w:pPr>
              <w:ind w:left="100"/>
              <w:spacing w:after="0"/>
              <w:rPr>
                <w:sz w:val="20"/>
                <w:szCs w:val="20"/>
                <w:color w:val="auto"/>
              </w:rPr>
            </w:pPr>
            <w:r>
              <w:rPr>
                <w:rFonts w:ascii="Arial" w:cs="Arial" w:eastAsia="Arial" w:hAnsi="Arial"/>
                <w:sz w:val="12"/>
                <w:szCs w:val="12"/>
                <w:color w:val="auto"/>
              </w:rPr>
              <w:t>Short-term borrowings and current portion of long-term debt</w:t>
            </w:r>
          </w:p>
        </w:tc>
        <w:tc>
          <w:tcPr>
            <w:tcW w:w="920" w:type="dxa"/>
            <w:vAlign w:val="bottom"/>
            <w:shd w:val="clear" w:color="auto" w:fill="B7E5FF"/>
          </w:tcPr>
          <w:p>
            <w:pPr>
              <w:jc w:val="right"/>
              <w:ind w:right="780"/>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676</w:t>
            </w:r>
          </w:p>
        </w:tc>
        <w:tc>
          <w:tcPr>
            <w:tcW w:w="220" w:type="dxa"/>
            <w:vAlign w:val="bottom"/>
            <w:shd w:val="clear" w:color="auto" w:fill="B7E5FF"/>
          </w:tcPr>
          <w:p>
            <w:pPr>
              <w:spacing w:after="0"/>
              <w:rPr>
                <w:sz w:val="13"/>
                <w:szCs w:val="13"/>
                <w:color w:val="auto"/>
              </w:rPr>
            </w:pPr>
          </w:p>
        </w:tc>
        <w:tc>
          <w:tcPr>
            <w:tcW w:w="260" w:type="dxa"/>
            <w:vAlign w:val="bottom"/>
            <w:shd w:val="clear" w:color="auto" w:fill="B7E5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670</w:t>
            </w:r>
          </w:p>
        </w:tc>
        <w:tc>
          <w:tcPr>
            <w:tcW w:w="0" w:type="dxa"/>
            <w:vAlign w:val="bottom"/>
          </w:tcPr>
          <w:p>
            <w:pPr>
              <w:spacing w:after="0"/>
              <w:rPr>
                <w:sz w:val="1"/>
                <w:szCs w:val="1"/>
                <w:color w:val="auto"/>
              </w:rPr>
            </w:pPr>
          </w:p>
        </w:tc>
      </w:tr>
      <w:tr>
        <w:trPr>
          <w:trHeight w:val="153"/>
        </w:trPr>
        <w:tc>
          <w:tcPr>
            <w:tcW w:w="8460" w:type="dxa"/>
            <w:vAlign w:val="bottom"/>
          </w:tcPr>
          <w:p>
            <w:pPr>
              <w:ind w:left="100"/>
              <w:spacing w:after="0"/>
              <w:rPr>
                <w:sz w:val="20"/>
                <w:szCs w:val="20"/>
                <w:color w:val="auto"/>
              </w:rPr>
            </w:pPr>
            <w:r>
              <w:rPr>
                <w:rFonts w:ascii="Arial" w:cs="Arial" w:eastAsia="Arial" w:hAnsi="Arial"/>
                <w:sz w:val="12"/>
                <w:szCs w:val="12"/>
                <w:color w:val="auto"/>
              </w:rPr>
              <w:t>Accounts and other payables</w:t>
            </w:r>
          </w:p>
        </w:tc>
        <w:tc>
          <w:tcPr>
            <w:tcW w:w="9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93,886</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92,754</w:t>
            </w:r>
          </w:p>
        </w:tc>
        <w:tc>
          <w:tcPr>
            <w:tcW w:w="0" w:type="dxa"/>
            <w:vAlign w:val="bottom"/>
          </w:tcPr>
          <w:p>
            <w:pPr>
              <w:spacing w:after="0"/>
              <w:rPr>
                <w:sz w:val="1"/>
                <w:szCs w:val="1"/>
                <w:color w:val="auto"/>
              </w:rPr>
            </w:pPr>
          </w:p>
        </w:tc>
      </w:tr>
      <w:tr>
        <w:trPr>
          <w:trHeight w:val="153"/>
        </w:trPr>
        <w:tc>
          <w:tcPr>
            <w:tcW w:w="8460" w:type="dxa"/>
            <w:vAlign w:val="bottom"/>
            <w:shd w:val="clear" w:color="auto" w:fill="B7E5FF"/>
          </w:tcPr>
          <w:p>
            <w:pPr>
              <w:ind w:left="100"/>
              <w:spacing w:after="0"/>
              <w:rPr>
                <w:sz w:val="20"/>
                <w:szCs w:val="20"/>
                <w:color w:val="auto"/>
              </w:rPr>
            </w:pPr>
            <w:r>
              <w:rPr>
                <w:rFonts w:ascii="Arial" w:cs="Arial" w:eastAsia="Arial" w:hAnsi="Arial"/>
                <w:sz w:val="12"/>
                <w:szCs w:val="12"/>
                <w:color w:val="auto"/>
              </w:rPr>
              <w:t>Accrued compensation</w:t>
            </w:r>
          </w:p>
        </w:tc>
        <w:tc>
          <w:tcPr>
            <w:tcW w:w="920" w:type="dxa"/>
            <w:vAlign w:val="bottom"/>
            <w:shd w:val="clear" w:color="auto" w:fill="B7E5FF"/>
          </w:tcPr>
          <w:p>
            <w:pPr>
              <w:spacing w:after="0"/>
              <w:rPr>
                <w:sz w:val="13"/>
                <w:szCs w:val="13"/>
                <w:color w:val="auto"/>
              </w:rPr>
            </w:pPr>
          </w:p>
        </w:tc>
        <w:tc>
          <w:tcPr>
            <w:tcW w:w="4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16,396</w:t>
            </w:r>
          </w:p>
        </w:tc>
        <w:tc>
          <w:tcPr>
            <w:tcW w:w="220" w:type="dxa"/>
            <w:vAlign w:val="bottom"/>
            <w:shd w:val="clear" w:color="auto" w:fill="B7E5FF"/>
          </w:tcPr>
          <w:p>
            <w:pPr>
              <w:spacing w:after="0"/>
              <w:rPr>
                <w:sz w:val="13"/>
                <w:szCs w:val="13"/>
                <w:color w:val="auto"/>
              </w:rPr>
            </w:pPr>
          </w:p>
        </w:tc>
        <w:tc>
          <w:tcPr>
            <w:tcW w:w="260" w:type="dxa"/>
            <w:vAlign w:val="bottom"/>
            <w:shd w:val="clear" w:color="auto" w:fill="B7E5FF"/>
          </w:tcPr>
          <w:p>
            <w:pPr>
              <w:spacing w:after="0"/>
              <w:rPr>
                <w:sz w:val="13"/>
                <w:szCs w:val="13"/>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25,727</w:t>
            </w:r>
          </w:p>
        </w:tc>
        <w:tc>
          <w:tcPr>
            <w:tcW w:w="0" w:type="dxa"/>
            <w:vAlign w:val="bottom"/>
          </w:tcPr>
          <w:p>
            <w:pPr>
              <w:spacing w:after="0"/>
              <w:rPr>
                <w:sz w:val="1"/>
                <w:szCs w:val="1"/>
                <w:color w:val="auto"/>
              </w:rPr>
            </w:pPr>
          </w:p>
        </w:tc>
      </w:tr>
      <w:tr>
        <w:trPr>
          <w:trHeight w:val="153"/>
        </w:trPr>
        <w:tc>
          <w:tcPr>
            <w:tcW w:w="8460" w:type="dxa"/>
            <w:vAlign w:val="bottom"/>
            <w:tcBorders>
              <w:bottom w:val="single" w:sz="8" w:color="B7E5FF"/>
            </w:tcBorders>
          </w:tcPr>
          <w:p>
            <w:pPr>
              <w:ind w:left="100"/>
              <w:spacing w:after="0"/>
              <w:rPr>
                <w:sz w:val="20"/>
                <w:szCs w:val="20"/>
                <w:color w:val="auto"/>
              </w:rPr>
            </w:pPr>
            <w:r>
              <w:rPr>
                <w:rFonts w:ascii="Arial" w:cs="Arial" w:eastAsia="Arial" w:hAnsi="Arial"/>
                <w:sz w:val="12"/>
                <w:szCs w:val="12"/>
                <w:color w:val="auto"/>
              </w:rPr>
              <w:t>Other current liabilities</w:t>
            </w:r>
          </w:p>
        </w:tc>
        <w:tc>
          <w:tcPr>
            <w:tcW w:w="9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42,230</w:t>
            </w:r>
          </w:p>
        </w:tc>
        <w:tc>
          <w:tcPr>
            <w:tcW w:w="220" w:type="dxa"/>
            <w:vAlign w:val="bottom"/>
            <w:tcBorders>
              <w:bottom w:val="single" w:sz="8" w:color="B7E5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32,319</w:t>
            </w:r>
          </w:p>
        </w:tc>
        <w:tc>
          <w:tcPr>
            <w:tcW w:w="0" w:type="dxa"/>
            <w:vAlign w:val="bottom"/>
          </w:tcPr>
          <w:p>
            <w:pPr>
              <w:spacing w:after="0"/>
              <w:rPr>
                <w:sz w:val="1"/>
                <w:szCs w:val="1"/>
                <w:color w:val="auto"/>
              </w:rPr>
            </w:pPr>
          </w:p>
        </w:tc>
      </w:tr>
      <w:tr>
        <w:trPr>
          <w:trHeight w:val="133"/>
        </w:trPr>
        <w:tc>
          <w:tcPr>
            <w:tcW w:w="8460" w:type="dxa"/>
            <w:vAlign w:val="bottom"/>
            <w:shd w:val="clear" w:color="auto" w:fill="B7E5FF"/>
          </w:tcPr>
          <w:p>
            <w:pPr>
              <w:ind w:left="220"/>
              <w:spacing w:after="0" w:line="133" w:lineRule="exact"/>
              <w:rPr>
                <w:sz w:val="20"/>
                <w:szCs w:val="20"/>
                <w:color w:val="auto"/>
              </w:rPr>
            </w:pPr>
            <w:r>
              <w:rPr>
                <w:rFonts w:ascii="Arial" w:cs="Arial" w:eastAsia="Arial" w:hAnsi="Arial"/>
                <w:sz w:val="12"/>
                <w:szCs w:val="12"/>
                <w:color w:val="auto"/>
              </w:rPr>
              <w:t>Total current liabilities</w:t>
            </w:r>
          </w:p>
        </w:tc>
        <w:tc>
          <w:tcPr>
            <w:tcW w:w="920" w:type="dxa"/>
            <w:vAlign w:val="bottom"/>
            <w:tcBorders>
              <w:bottom w:val="single" w:sz="8" w:color="auto"/>
            </w:tcBorders>
            <w:shd w:val="clear" w:color="auto" w:fill="B7E5FF"/>
          </w:tcPr>
          <w:p>
            <w:pPr>
              <w:spacing w:after="0"/>
              <w:rPr>
                <w:sz w:val="11"/>
                <w:szCs w:val="11"/>
                <w:color w:val="auto"/>
              </w:rPr>
            </w:pPr>
          </w:p>
        </w:tc>
        <w:tc>
          <w:tcPr>
            <w:tcW w:w="48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w w:val="96"/>
              </w:rPr>
              <w:t>153,188</w:t>
            </w:r>
          </w:p>
        </w:tc>
        <w:tc>
          <w:tcPr>
            <w:tcW w:w="220" w:type="dxa"/>
            <w:vAlign w:val="bottom"/>
            <w:shd w:val="clear" w:color="auto" w:fill="B7E5FF"/>
          </w:tcPr>
          <w:p>
            <w:pPr>
              <w:spacing w:after="0"/>
              <w:rPr>
                <w:sz w:val="11"/>
                <w:szCs w:val="11"/>
                <w:color w:val="auto"/>
              </w:rPr>
            </w:pPr>
          </w:p>
        </w:tc>
        <w:tc>
          <w:tcPr>
            <w:tcW w:w="260" w:type="dxa"/>
            <w:vAlign w:val="bottom"/>
            <w:tcBorders>
              <w:bottom w:val="single" w:sz="8" w:color="auto"/>
            </w:tcBorders>
            <w:shd w:val="clear" w:color="auto" w:fill="B7E5FF"/>
          </w:tcPr>
          <w:p>
            <w:pPr>
              <w:spacing w:after="0"/>
              <w:rPr>
                <w:sz w:val="11"/>
                <w:szCs w:val="11"/>
                <w:color w:val="auto"/>
              </w:rPr>
            </w:pPr>
          </w:p>
        </w:tc>
        <w:tc>
          <w:tcPr>
            <w:tcW w:w="11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151,470</w:t>
            </w:r>
          </w:p>
        </w:tc>
        <w:tc>
          <w:tcPr>
            <w:tcW w:w="0" w:type="dxa"/>
            <w:vAlign w:val="bottom"/>
          </w:tcPr>
          <w:p>
            <w:pPr>
              <w:spacing w:after="0"/>
              <w:rPr>
                <w:sz w:val="1"/>
                <w:szCs w:val="1"/>
                <w:color w:val="auto"/>
              </w:rPr>
            </w:pPr>
          </w:p>
        </w:tc>
      </w:tr>
      <w:tr>
        <w:trPr>
          <w:trHeight w:val="133"/>
        </w:trPr>
        <w:tc>
          <w:tcPr>
            <w:tcW w:w="8460" w:type="dxa"/>
            <w:vAlign w:val="bottom"/>
          </w:tcPr>
          <w:p>
            <w:pPr>
              <w:spacing w:after="0" w:line="133" w:lineRule="exact"/>
              <w:rPr>
                <w:sz w:val="20"/>
                <w:szCs w:val="20"/>
                <w:color w:val="auto"/>
              </w:rPr>
            </w:pPr>
            <w:r>
              <w:rPr>
                <w:rFonts w:ascii="Arial" w:cs="Arial" w:eastAsia="Arial" w:hAnsi="Arial"/>
                <w:sz w:val="12"/>
                <w:szCs w:val="12"/>
                <w:color w:val="auto"/>
              </w:rPr>
              <w:t>Long-term debt</w:t>
            </w:r>
          </w:p>
        </w:tc>
        <w:tc>
          <w:tcPr>
            <w:tcW w:w="920" w:type="dxa"/>
            <w:vAlign w:val="bottom"/>
          </w:tcPr>
          <w:p>
            <w:pPr>
              <w:spacing w:after="0"/>
              <w:rPr>
                <w:sz w:val="11"/>
                <w:szCs w:val="11"/>
                <w:color w:val="auto"/>
              </w:rPr>
            </w:pPr>
          </w:p>
        </w:tc>
        <w:tc>
          <w:tcPr>
            <w:tcW w:w="480" w:type="dxa"/>
            <w:vAlign w:val="bottom"/>
          </w:tcPr>
          <w:p>
            <w:pPr>
              <w:jc w:val="right"/>
              <w:spacing w:after="0" w:line="133" w:lineRule="exact"/>
              <w:rPr>
                <w:sz w:val="20"/>
                <w:szCs w:val="20"/>
                <w:color w:val="auto"/>
              </w:rPr>
            </w:pPr>
            <w:r>
              <w:rPr>
                <w:rFonts w:ascii="Arial" w:cs="Arial" w:eastAsia="Arial" w:hAnsi="Arial"/>
                <w:sz w:val="12"/>
                <w:szCs w:val="12"/>
                <w:color w:val="auto"/>
              </w:rPr>
              <w:t>11,788</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jc w:val="right"/>
              <w:spacing w:after="0" w:line="133" w:lineRule="exact"/>
              <w:rPr>
                <w:sz w:val="20"/>
                <w:szCs w:val="20"/>
                <w:color w:val="auto"/>
              </w:rPr>
            </w:pPr>
            <w:r>
              <w:rPr>
                <w:rFonts w:ascii="Arial" w:cs="Arial" w:eastAsia="Arial" w:hAnsi="Arial"/>
                <w:sz w:val="12"/>
                <w:szCs w:val="12"/>
                <w:color w:val="auto"/>
              </w:rPr>
              <w:t>35,934</w:t>
            </w:r>
          </w:p>
        </w:tc>
        <w:tc>
          <w:tcPr>
            <w:tcW w:w="0" w:type="dxa"/>
            <w:vAlign w:val="bottom"/>
          </w:tcPr>
          <w:p>
            <w:pPr>
              <w:spacing w:after="0"/>
              <w:rPr>
                <w:sz w:val="1"/>
                <w:szCs w:val="1"/>
                <w:color w:val="auto"/>
              </w:rPr>
            </w:pPr>
          </w:p>
        </w:tc>
      </w:tr>
      <w:tr>
        <w:trPr>
          <w:trHeight w:val="153"/>
        </w:trPr>
        <w:tc>
          <w:tcPr>
            <w:tcW w:w="8460" w:type="dxa"/>
            <w:vAlign w:val="bottom"/>
            <w:shd w:val="clear" w:color="auto" w:fill="B7E5FF"/>
          </w:tcPr>
          <w:p>
            <w:pPr>
              <w:spacing w:after="0"/>
              <w:rPr>
                <w:sz w:val="20"/>
                <w:szCs w:val="20"/>
                <w:color w:val="auto"/>
              </w:rPr>
            </w:pPr>
            <w:r>
              <w:rPr>
                <w:rFonts w:ascii="Arial" w:cs="Arial" w:eastAsia="Arial" w:hAnsi="Arial"/>
                <w:sz w:val="12"/>
                <w:szCs w:val="12"/>
                <w:color w:val="auto"/>
              </w:rPr>
              <w:t>Long-term lease liabilities</w:t>
            </w:r>
          </w:p>
        </w:tc>
        <w:tc>
          <w:tcPr>
            <w:tcW w:w="920" w:type="dxa"/>
            <w:vAlign w:val="bottom"/>
            <w:shd w:val="clear" w:color="auto" w:fill="B7E5FF"/>
          </w:tcPr>
          <w:p>
            <w:pPr>
              <w:spacing w:after="0"/>
              <w:rPr>
                <w:sz w:val="13"/>
                <w:szCs w:val="13"/>
                <w:color w:val="auto"/>
              </w:rPr>
            </w:pPr>
          </w:p>
        </w:tc>
        <w:tc>
          <w:tcPr>
            <w:tcW w:w="4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19,192</w:t>
            </w:r>
          </w:p>
        </w:tc>
        <w:tc>
          <w:tcPr>
            <w:tcW w:w="220" w:type="dxa"/>
            <w:vAlign w:val="bottom"/>
            <w:shd w:val="clear" w:color="auto" w:fill="B7E5FF"/>
          </w:tcPr>
          <w:p>
            <w:pPr>
              <w:spacing w:after="0"/>
              <w:rPr>
                <w:sz w:val="13"/>
                <w:szCs w:val="13"/>
                <w:color w:val="auto"/>
              </w:rPr>
            </w:pPr>
          </w:p>
        </w:tc>
        <w:tc>
          <w:tcPr>
            <w:tcW w:w="260" w:type="dxa"/>
            <w:vAlign w:val="bottom"/>
            <w:shd w:val="clear" w:color="auto" w:fill="B7E5FF"/>
          </w:tcPr>
          <w:p>
            <w:pPr>
              <w:spacing w:after="0"/>
              <w:rPr>
                <w:sz w:val="13"/>
                <w:szCs w:val="13"/>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8460" w:type="dxa"/>
            <w:vAlign w:val="bottom"/>
          </w:tcPr>
          <w:p>
            <w:pPr>
              <w:spacing w:after="0"/>
              <w:rPr>
                <w:sz w:val="20"/>
                <w:szCs w:val="20"/>
                <w:color w:val="auto"/>
              </w:rPr>
            </w:pPr>
            <w:r>
              <w:rPr>
                <w:rFonts w:ascii="Arial" w:cs="Arial" w:eastAsia="Arial" w:hAnsi="Arial"/>
                <w:sz w:val="12"/>
                <w:szCs w:val="12"/>
                <w:color w:val="auto"/>
              </w:rPr>
              <w:t>Non-current deferred tax liabilities</w:t>
            </w:r>
          </w:p>
        </w:tc>
        <w:tc>
          <w:tcPr>
            <w:tcW w:w="9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7,781</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10,003</w:t>
            </w:r>
          </w:p>
        </w:tc>
        <w:tc>
          <w:tcPr>
            <w:tcW w:w="0" w:type="dxa"/>
            <w:vAlign w:val="bottom"/>
          </w:tcPr>
          <w:p>
            <w:pPr>
              <w:spacing w:after="0"/>
              <w:rPr>
                <w:sz w:val="1"/>
                <w:szCs w:val="1"/>
                <w:color w:val="auto"/>
              </w:rPr>
            </w:pPr>
          </w:p>
        </w:tc>
      </w:tr>
      <w:tr>
        <w:trPr>
          <w:trHeight w:val="153"/>
        </w:trPr>
        <w:tc>
          <w:tcPr>
            <w:tcW w:w="8460" w:type="dxa"/>
            <w:vAlign w:val="bottom"/>
            <w:shd w:val="clear" w:color="auto" w:fill="B7E5FF"/>
          </w:tcPr>
          <w:p>
            <w:pPr>
              <w:spacing w:after="0"/>
              <w:rPr>
                <w:sz w:val="20"/>
                <w:szCs w:val="20"/>
                <w:color w:val="auto"/>
              </w:rPr>
            </w:pPr>
            <w:r>
              <w:rPr>
                <w:rFonts w:ascii="Arial" w:cs="Arial" w:eastAsia="Arial" w:hAnsi="Arial"/>
                <w:sz w:val="12"/>
                <w:szCs w:val="12"/>
                <w:color w:val="auto"/>
              </w:rPr>
              <w:t>Other non-current liabilities</w:t>
            </w:r>
          </w:p>
        </w:tc>
        <w:tc>
          <w:tcPr>
            <w:tcW w:w="920" w:type="dxa"/>
            <w:vAlign w:val="bottom"/>
            <w:tcBorders>
              <w:bottom w:val="single" w:sz="8" w:color="auto"/>
            </w:tcBorders>
            <w:shd w:val="clear" w:color="auto" w:fill="B7E5FF"/>
          </w:tcPr>
          <w:p>
            <w:pPr>
              <w:spacing w:after="0"/>
              <w:rPr>
                <w:sz w:val="13"/>
                <w:szCs w:val="13"/>
                <w:color w:val="auto"/>
              </w:rPr>
            </w:pPr>
          </w:p>
        </w:tc>
        <w:tc>
          <w:tcPr>
            <w:tcW w:w="4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74,620</w:t>
            </w:r>
          </w:p>
        </w:tc>
        <w:tc>
          <w:tcPr>
            <w:tcW w:w="220" w:type="dxa"/>
            <w:vAlign w:val="bottom"/>
            <w:shd w:val="clear" w:color="auto" w:fill="B7E5FF"/>
          </w:tcPr>
          <w:p>
            <w:pPr>
              <w:spacing w:after="0"/>
              <w:rPr>
                <w:sz w:val="13"/>
                <w:szCs w:val="13"/>
                <w:color w:val="auto"/>
              </w:rPr>
            </w:pPr>
          </w:p>
        </w:tc>
        <w:tc>
          <w:tcPr>
            <w:tcW w:w="260" w:type="dxa"/>
            <w:vAlign w:val="bottom"/>
            <w:tcBorders>
              <w:bottom w:val="single" w:sz="8" w:color="auto"/>
            </w:tcBorders>
            <w:shd w:val="clear" w:color="auto" w:fill="B7E5FF"/>
          </w:tcPr>
          <w:p>
            <w:pPr>
              <w:spacing w:after="0"/>
              <w:rPr>
                <w:sz w:val="13"/>
                <w:szCs w:val="13"/>
                <w:color w:val="auto"/>
              </w:rPr>
            </w:pP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75,889</w:t>
            </w:r>
          </w:p>
        </w:tc>
        <w:tc>
          <w:tcPr>
            <w:tcW w:w="0" w:type="dxa"/>
            <w:vAlign w:val="bottom"/>
          </w:tcPr>
          <w:p>
            <w:pPr>
              <w:spacing w:after="0"/>
              <w:rPr>
                <w:sz w:val="1"/>
                <w:szCs w:val="1"/>
                <w:color w:val="auto"/>
              </w:rPr>
            </w:pPr>
          </w:p>
        </w:tc>
      </w:tr>
      <w:tr>
        <w:trPr>
          <w:trHeight w:val="133"/>
        </w:trPr>
        <w:tc>
          <w:tcPr>
            <w:tcW w:w="8460" w:type="dxa"/>
            <w:vAlign w:val="bottom"/>
            <w:tcBorders>
              <w:bottom w:val="single" w:sz="8" w:color="B7E5FF"/>
            </w:tcBorders>
          </w:tcPr>
          <w:p>
            <w:pPr>
              <w:ind w:left="220"/>
              <w:spacing w:after="0" w:line="133" w:lineRule="exact"/>
              <w:rPr>
                <w:sz w:val="20"/>
                <w:szCs w:val="20"/>
                <w:color w:val="auto"/>
              </w:rPr>
            </w:pPr>
            <w:r>
              <w:rPr>
                <w:rFonts w:ascii="Arial" w:cs="Arial" w:eastAsia="Arial" w:hAnsi="Arial"/>
                <w:sz w:val="12"/>
                <w:szCs w:val="12"/>
                <w:color w:val="auto"/>
              </w:rPr>
              <w:t>Total liabilities</w:t>
            </w:r>
          </w:p>
        </w:tc>
        <w:tc>
          <w:tcPr>
            <w:tcW w:w="9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96"/>
              </w:rPr>
              <w:t>266,569</w:t>
            </w:r>
          </w:p>
        </w:tc>
        <w:tc>
          <w:tcPr>
            <w:tcW w:w="220" w:type="dxa"/>
            <w:vAlign w:val="bottom"/>
            <w:tcBorders>
              <w:bottom w:val="single" w:sz="8" w:color="B7E5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273,296</w:t>
            </w:r>
          </w:p>
        </w:tc>
        <w:tc>
          <w:tcPr>
            <w:tcW w:w="0" w:type="dxa"/>
            <w:vAlign w:val="bottom"/>
          </w:tcPr>
          <w:p>
            <w:pPr>
              <w:spacing w:after="0"/>
              <w:rPr>
                <w:sz w:val="1"/>
                <w:szCs w:val="1"/>
                <w:color w:val="auto"/>
              </w:rPr>
            </w:pPr>
          </w:p>
        </w:tc>
      </w:tr>
      <w:tr>
        <w:trPr>
          <w:trHeight w:val="133"/>
        </w:trPr>
        <w:tc>
          <w:tcPr>
            <w:tcW w:w="8460" w:type="dxa"/>
            <w:vAlign w:val="bottom"/>
            <w:shd w:val="clear" w:color="auto" w:fill="B7E5FF"/>
          </w:tcPr>
          <w:p>
            <w:pPr>
              <w:spacing w:after="0" w:line="133" w:lineRule="exact"/>
              <w:rPr>
                <w:sz w:val="20"/>
                <w:szCs w:val="20"/>
                <w:color w:val="auto"/>
              </w:rPr>
            </w:pPr>
            <w:r>
              <w:rPr>
                <w:rFonts w:ascii="Arial" w:cs="Arial" w:eastAsia="Arial" w:hAnsi="Arial"/>
                <w:sz w:val="12"/>
                <w:szCs w:val="12"/>
                <w:color w:val="auto"/>
              </w:rPr>
              <w:t>Commitments and contingencies (Note 18)</w:t>
            </w:r>
          </w:p>
        </w:tc>
        <w:tc>
          <w:tcPr>
            <w:tcW w:w="920" w:type="dxa"/>
            <w:vAlign w:val="bottom"/>
            <w:shd w:val="clear" w:color="auto" w:fill="B7E5FF"/>
          </w:tcPr>
          <w:p>
            <w:pPr>
              <w:spacing w:after="0"/>
              <w:rPr>
                <w:sz w:val="11"/>
                <w:szCs w:val="11"/>
                <w:color w:val="auto"/>
              </w:rPr>
            </w:pPr>
          </w:p>
        </w:tc>
        <w:tc>
          <w:tcPr>
            <w:tcW w:w="480" w:type="dxa"/>
            <w:vAlign w:val="bottom"/>
            <w:shd w:val="clear" w:color="auto" w:fill="B7E5FF"/>
          </w:tcPr>
          <w:p>
            <w:pPr>
              <w:spacing w:after="0"/>
              <w:rPr>
                <w:sz w:val="11"/>
                <w:szCs w:val="11"/>
                <w:color w:val="auto"/>
              </w:rPr>
            </w:pPr>
          </w:p>
        </w:tc>
        <w:tc>
          <w:tcPr>
            <w:tcW w:w="220" w:type="dxa"/>
            <w:vAlign w:val="bottom"/>
            <w:shd w:val="clear" w:color="auto" w:fill="B7E5FF"/>
          </w:tcPr>
          <w:p>
            <w:pPr>
              <w:spacing w:after="0"/>
              <w:rPr>
                <w:sz w:val="11"/>
                <w:szCs w:val="11"/>
                <w:color w:val="auto"/>
              </w:rPr>
            </w:pPr>
          </w:p>
        </w:tc>
        <w:tc>
          <w:tcPr>
            <w:tcW w:w="260" w:type="dxa"/>
            <w:vAlign w:val="bottom"/>
            <w:shd w:val="clear" w:color="auto" w:fill="B7E5FF"/>
          </w:tcPr>
          <w:p>
            <w:pPr>
              <w:spacing w:after="0"/>
              <w:rPr>
                <w:sz w:val="11"/>
                <w:szCs w:val="11"/>
                <w:color w:val="auto"/>
              </w:rPr>
            </w:pPr>
          </w:p>
        </w:tc>
        <w:tc>
          <w:tcPr>
            <w:tcW w:w="1140" w:type="dxa"/>
            <w:vAlign w:val="bottom"/>
            <w:shd w:val="clear" w:color="auto" w:fill="B7E5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460" w:type="dxa"/>
            <w:vAlign w:val="bottom"/>
          </w:tcPr>
          <w:p>
            <w:pPr>
              <w:spacing w:after="0"/>
              <w:rPr>
                <w:sz w:val="20"/>
                <w:szCs w:val="20"/>
                <w:color w:val="auto"/>
              </w:rPr>
            </w:pPr>
            <w:r>
              <w:rPr>
                <w:rFonts w:ascii="Arial" w:cs="Arial" w:eastAsia="Arial" w:hAnsi="Arial"/>
                <w:sz w:val="12"/>
                <w:szCs w:val="12"/>
                <w:color w:val="auto"/>
              </w:rPr>
              <w:t>Equity</w:t>
            </w: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60" w:type="dxa"/>
            <w:vAlign w:val="bottom"/>
            <w:shd w:val="clear" w:color="auto" w:fill="B7E5FF"/>
          </w:tcPr>
          <w:p>
            <w:pPr>
              <w:ind w:left="100"/>
              <w:spacing w:after="0"/>
              <w:rPr>
                <w:sz w:val="20"/>
                <w:szCs w:val="20"/>
                <w:color w:val="auto"/>
              </w:rPr>
            </w:pPr>
            <w:r>
              <w:rPr>
                <w:rFonts w:ascii="Arial" w:cs="Arial" w:eastAsia="Arial" w:hAnsi="Arial"/>
                <w:sz w:val="12"/>
                <w:szCs w:val="12"/>
                <w:color w:val="auto"/>
              </w:rPr>
              <w:t>Common stock, $ $1 par value; authorized 30,000,000 shares; issued and</w:t>
            </w:r>
          </w:p>
        </w:tc>
        <w:tc>
          <w:tcPr>
            <w:tcW w:w="920" w:type="dxa"/>
            <w:vAlign w:val="bottom"/>
            <w:shd w:val="clear" w:color="auto" w:fill="B7E5FF"/>
          </w:tcPr>
          <w:p>
            <w:pPr>
              <w:spacing w:after="0"/>
              <w:rPr>
                <w:sz w:val="13"/>
                <w:szCs w:val="13"/>
                <w:color w:val="auto"/>
              </w:rPr>
            </w:pPr>
          </w:p>
        </w:tc>
        <w:tc>
          <w:tcPr>
            <w:tcW w:w="480" w:type="dxa"/>
            <w:vAlign w:val="bottom"/>
            <w:shd w:val="clear" w:color="auto" w:fill="B7E5FF"/>
          </w:tcPr>
          <w:p>
            <w:pPr>
              <w:spacing w:after="0"/>
              <w:rPr>
                <w:sz w:val="13"/>
                <w:szCs w:val="13"/>
                <w:color w:val="auto"/>
              </w:rPr>
            </w:pPr>
          </w:p>
        </w:tc>
        <w:tc>
          <w:tcPr>
            <w:tcW w:w="220" w:type="dxa"/>
            <w:vAlign w:val="bottom"/>
            <w:shd w:val="clear" w:color="auto" w:fill="B7E5FF"/>
          </w:tcPr>
          <w:p>
            <w:pPr>
              <w:spacing w:after="0"/>
              <w:rPr>
                <w:sz w:val="13"/>
                <w:szCs w:val="13"/>
                <w:color w:val="auto"/>
              </w:rPr>
            </w:pPr>
          </w:p>
        </w:tc>
        <w:tc>
          <w:tcPr>
            <w:tcW w:w="260" w:type="dxa"/>
            <w:vAlign w:val="bottom"/>
            <w:shd w:val="clear" w:color="auto" w:fill="B7E5FF"/>
          </w:tcPr>
          <w:p>
            <w:pPr>
              <w:spacing w:after="0"/>
              <w:rPr>
                <w:sz w:val="13"/>
                <w:szCs w:val="13"/>
                <w:color w:val="auto"/>
              </w:rPr>
            </w:pPr>
          </w:p>
        </w:tc>
        <w:tc>
          <w:tcPr>
            <w:tcW w:w="1140" w:type="dxa"/>
            <w:vAlign w:val="bottom"/>
            <w:shd w:val="clear" w:color="auto" w:fill="B7E5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60" w:type="dxa"/>
            <w:vAlign w:val="bottom"/>
          </w:tcPr>
          <w:p>
            <w:pPr>
              <w:ind w:left="220"/>
              <w:spacing w:after="0"/>
              <w:rPr>
                <w:sz w:val="20"/>
                <w:szCs w:val="20"/>
                <w:color w:val="auto"/>
              </w:rPr>
            </w:pPr>
            <w:r>
              <w:rPr>
                <w:rFonts w:ascii="Arial" w:cs="Arial" w:eastAsia="Arial" w:hAnsi="Arial"/>
                <w:sz w:val="12"/>
                <w:szCs w:val="12"/>
                <w:color w:val="auto"/>
              </w:rPr>
              <w:t>outstanding 2019 – 13,337,896 shares; 2018 – 13,338,026 shares</w:t>
            </w:r>
          </w:p>
        </w:tc>
        <w:tc>
          <w:tcPr>
            <w:tcW w:w="9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13,338</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13,338</w:t>
            </w:r>
          </w:p>
        </w:tc>
        <w:tc>
          <w:tcPr>
            <w:tcW w:w="0" w:type="dxa"/>
            <w:vAlign w:val="bottom"/>
          </w:tcPr>
          <w:p>
            <w:pPr>
              <w:spacing w:after="0"/>
              <w:rPr>
                <w:sz w:val="1"/>
                <w:szCs w:val="1"/>
                <w:color w:val="auto"/>
              </w:rPr>
            </w:pPr>
          </w:p>
        </w:tc>
      </w:tr>
      <w:tr>
        <w:trPr>
          <w:trHeight w:val="153"/>
        </w:trPr>
        <w:tc>
          <w:tcPr>
            <w:tcW w:w="8460" w:type="dxa"/>
            <w:vAlign w:val="bottom"/>
            <w:shd w:val="clear" w:color="auto" w:fill="B7E5FF"/>
          </w:tcPr>
          <w:p>
            <w:pPr>
              <w:ind w:left="100"/>
              <w:spacing w:after="0"/>
              <w:rPr>
                <w:sz w:val="20"/>
                <w:szCs w:val="20"/>
                <w:color w:val="auto"/>
              </w:rPr>
            </w:pPr>
            <w:r>
              <w:rPr>
                <w:rFonts w:ascii="Arial" w:cs="Arial" w:eastAsia="Arial" w:hAnsi="Arial"/>
                <w:sz w:val="12"/>
                <w:szCs w:val="12"/>
                <w:color w:val="auto"/>
              </w:rPr>
              <w:t>Capital in excess of par value</w:t>
            </w:r>
          </w:p>
        </w:tc>
        <w:tc>
          <w:tcPr>
            <w:tcW w:w="920" w:type="dxa"/>
            <w:vAlign w:val="bottom"/>
            <w:shd w:val="clear" w:color="auto" w:fill="B7E5FF"/>
          </w:tcPr>
          <w:p>
            <w:pPr>
              <w:spacing w:after="0"/>
              <w:rPr>
                <w:sz w:val="13"/>
                <w:szCs w:val="13"/>
                <w:color w:val="auto"/>
              </w:rPr>
            </w:pPr>
          </w:p>
        </w:tc>
        <w:tc>
          <w:tcPr>
            <w:tcW w:w="4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97,602</w:t>
            </w:r>
          </w:p>
        </w:tc>
        <w:tc>
          <w:tcPr>
            <w:tcW w:w="220" w:type="dxa"/>
            <w:vAlign w:val="bottom"/>
            <w:shd w:val="clear" w:color="auto" w:fill="B7E5FF"/>
          </w:tcPr>
          <w:p>
            <w:pPr>
              <w:spacing w:after="0"/>
              <w:rPr>
                <w:sz w:val="13"/>
                <w:szCs w:val="13"/>
                <w:color w:val="auto"/>
              </w:rPr>
            </w:pPr>
          </w:p>
        </w:tc>
        <w:tc>
          <w:tcPr>
            <w:tcW w:w="260" w:type="dxa"/>
            <w:vAlign w:val="bottom"/>
            <w:shd w:val="clear" w:color="auto" w:fill="B7E5FF"/>
          </w:tcPr>
          <w:p>
            <w:pPr>
              <w:spacing w:after="0"/>
              <w:rPr>
                <w:sz w:val="13"/>
                <w:szCs w:val="13"/>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97,304</w:t>
            </w:r>
          </w:p>
        </w:tc>
        <w:tc>
          <w:tcPr>
            <w:tcW w:w="0" w:type="dxa"/>
            <w:vAlign w:val="bottom"/>
          </w:tcPr>
          <w:p>
            <w:pPr>
              <w:spacing w:after="0"/>
              <w:rPr>
                <w:sz w:val="1"/>
                <w:szCs w:val="1"/>
                <w:color w:val="auto"/>
              </w:rPr>
            </w:pPr>
          </w:p>
        </w:tc>
      </w:tr>
      <w:tr>
        <w:trPr>
          <w:trHeight w:val="153"/>
        </w:trPr>
        <w:tc>
          <w:tcPr>
            <w:tcW w:w="8460" w:type="dxa"/>
            <w:vAlign w:val="bottom"/>
          </w:tcPr>
          <w:p>
            <w:pPr>
              <w:ind w:left="100"/>
              <w:spacing w:after="0"/>
              <w:rPr>
                <w:sz w:val="20"/>
                <w:szCs w:val="20"/>
                <w:color w:val="auto"/>
              </w:rPr>
            </w:pPr>
            <w:r>
              <w:rPr>
                <w:rFonts w:ascii="Arial" w:cs="Arial" w:eastAsia="Arial" w:hAnsi="Arial"/>
                <w:sz w:val="12"/>
                <w:szCs w:val="12"/>
                <w:color w:val="auto"/>
              </w:rPr>
              <w:t>Retained earnings</w:t>
            </w:r>
          </w:p>
        </w:tc>
        <w:tc>
          <w:tcPr>
            <w:tcW w:w="9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w w:val="96"/>
              </w:rPr>
              <w:t>424,448</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405,125</w:t>
            </w:r>
          </w:p>
        </w:tc>
        <w:tc>
          <w:tcPr>
            <w:tcW w:w="0" w:type="dxa"/>
            <w:vAlign w:val="bottom"/>
          </w:tcPr>
          <w:p>
            <w:pPr>
              <w:spacing w:after="0"/>
              <w:rPr>
                <w:sz w:val="1"/>
                <w:szCs w:val="1"/>
                <w:color w:val="auto"/>
              </w:rPr>
            </w:pPr>
          </w:p>
        </w:tc>
      </w:tr>
      <w:tr>
        <w:trPr>
          <w:trHeight w:val="153"/>
        </w:trPr>
        <w:tc>
          <w:tcPr>
            <w:tcW w:w="8460" w:type="dxa"/>
            <w:vAlign w:val="bottom"/>
            <w:shd w:val="clear" w:color="auto" w:fill="B7E5FF"/>
          </w:tcPr>
          <w:p>
            <w:pPr>
              <w:ind w:left="100"/>
              <w:spacing w:after="0"/>
              <w:rPr>
                <w:sz w:val="20"/>
                <w:szCs w:val="20"/>
                <w:color w:val="auto"/>
              </w:rPr>
            </w:pPr>
            <w:r>
              <w:rPr>
                <w:rFonts w:ascii="Arial" w:cs="Arial" w:eastAsia="Arial" w:hAnsi="Arial"/>
                <w:sz w:val="12"/>
                <w:szCs w:val="12"/>
                <w:color w:val="auto"/>
              </w:rPr>
              <w:t>Accumulated other comprehensive loss</w:t>
            </w:r>
          </w:p>
        </w:tc>
        <w:tc>
          <w:tcPr>
            <w:tcW w:w="920" w:type="dxa"/>
            <w:vAlign w:val="bottom"/>
            <w:tcBorders>
              <w:bottom w:val="single" w:sz="8" w:color="auto"/>
            </w:tcBorders>
            <w:shd w:val="clear" w:color="auto" w:fill="B7E5FF"/>
          </w:tcPr>
          <w:p>
            <w:pPr>
              <w:spacing w:after="0"/>
              <w:rPr>
                <w:sz w:val="13"/>
                <w:szCs w:val="13"/>
                <w:color w:val="auto"/>
              </w:rPr>
            </w:pPr>
          </w:p>
        </w:tc>
        <w:tc>
          <w:tcPr>
            <w:tcW w:w="4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w w:val="98"/>
              </w:rPr>
              <w:t>(78,881)</w:t>
            </w:r>
          </w:p>
        </w:tc>
        <w:tc>
          <w:tcPr>
            <w:tcW w:w="220" w:type="dxa"/>
            <w:vAlign w:val="bottom"/>
            <w:shd w:val="clear" w:color="auto" w:fill="B7E5FF"/>
          </w:tcPr>
          <w:p>
            <w:pPr>
              <w:spacing w:after="0"/>
              <w:rPr>
                <w:sz w:val="13"/>
                <w:szCs w:val="13"/>
                <w:color w:val="auto"/>
              </w:rPr>
            </w:pPr>
          </w:p>
        </w:tc>
        <w:tc>
          <w:tcPr>
            <w:tcW w:w="260" w:type="dxa"/>
            <w:vAlign w:val="bottom"/>
            <w:tcBorders>
              <w:bottom w:val="single" w:sz="8" w:color="auto"/>
            </w:tcBorders>
            <w:shd w:val="clear" w:color="auto" w:fill="B7E5FF"/>
          </w:tcPr>
          <w:p>
            <w:pPr>
              <w:spacing w:after="0"/>
              <w:rPr>
                <w:sz w:val="13"/>
                <w:szCs w:val="13"/>
                <w:color w:val="auto"/>
              </w:rPr>
            </w:pP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(80,715)</w:t>
            </w:r>
          </w:p>
        </w:tc>
        <w:tc>
          <w:tcPr>
            <w:tcW w:w="0" w:type="dxa"/>
            <w:vAlign w:val="bottom"/>
          </w:tcPr>
          <w:p>
            <w:pPr>
              <w:spacing w:after="0"/>
              <w:rPr>
                <w:sz w:val="1"/>
                <w:szCs w:val="1"/>
                <w:color w:val="auto"/>
              </w:rPr>
            </w:pPr>
          </w:p>
        </w:tc>
      </w:tr>
      <w:tr>
        <w:trPr>
          <w:trHeight w:val="133"/>
        </w:trPr>
        <w:tc>
          <w:tcPr>
            <w:tcW w:w="8460" w:type="dxa"/>
            <w:vAlign w:val="bottom"/>
            <w:tcBorders>
              <w:bottom w:val="single" w:sz="8" w:color="B7E5FF"/>
            </w:tcBorders>
          </w:tcPr>
          <w:p>
            <w:pPr>
              <w:ind w:left="220"/>
              <w:spacing w:after="0" w:line="133" w:lineRule="exact"/>
              <w:rPr>
                <w:sz w:val="20"/>
                <w:szCs w:val="20"/>
                <w:color w:val="auto"/>
              </w:rPr>
            </w:pPr>
            <w:r>
              <w:rPr>
                <w:rFonts w:ascii="Arial" w:cs="Arial" w:eastAsia="Arial" w:hAnsi="Arial"/>
                <w:sz w:val="12"/>
                <w:szCs w:val="12"/>
                <w:color w:val="auto"/>
              </w:rPr>
              <w:t>Total Quaker shareholders’ equity</w:t>
            </w:r>
          </w:p>
        </w:tc>
        <w:tc>
          <w:tcPr>
            <w:tcW w:w="9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96"/>
              </w:rPr>
              <w:t>456,507</w:t>
            </w:r>
          </w:p>
        </w:tc>
        <w:tc>
          <w:tcPr>
            <w:tcW w:w="220" w:type="dxa"/>
            <w:vAlign w:val="bottom"/>
            <w:tcBorders>
              <w:bottom w:val="single" w:sz="8" w:color="B7E5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435,052</w:t>
            </w:r>
          </w:p>
        </w:tc>
        <w:tc>
          <w:tcPr>
            <w:tcW w:w="0" w:type="dxa"/>
            <w:vAlign w:val="bottom"/>
          </w:tcPr>
          <w:p>
            <w:pPr>
              <w:spacing w:after="0"/>
              <w:rPr>
                <w:sz w:val="1"/>
                <w:szCs w:val="1"/>
                <w:color w:val="auto"/>
              </w:rPr>
            </w:pPr>
          </w:p>
        </w:tc>
      </w:tr>
      <w:tr>
        <w:trPr>
          <w:trHeight w:val="133"/>
        </w:trPr>
        <w:tc>
          <w:tcPr>
            <w:tcW w:w="8460" w:type="dxa"/>
            <w:vAlign w:val="bottom"/>
            <w:shd w:val="clear" w:color="auto" w:fill="B7E5FF"/>
          </w:tcPr>
          <w:p>
            <w:pPr>
              <w:spacing w:after="0" w:line="133" w:lineRule="exact"/>
              <w:rPr>
                <w:sz w:val="20"/>
                <w:szCs w:val="20"/>
                <w:color w:val="auto"/>
              </w:rPr>
            </w:pPr>
            <w:r>
              <w:rPr>
                <w:rFonts w:ascii="Arial" w:cs="Arial" w:eastAsia="Arial" w:hAnsi="Arial"/>
                <w:sz w:val="12"/>
                <w:szCs w:val="12"/>
                <w:color w:val="auto"/>
              </w:rPr>
              <w:t>Noncontrolling interest</w:t>
            </w:r>
          </w:p>
        </w:tc>
        <w:tc>
          <w:tcPr>
            <w:tcW w:w="920" w:type="dxa"/>
            <w:vAlign w:val="bottom"/>
            <w:tcBorders>
              <w:bottom w:val="single" w:sz="8" w:color="auto"/>
            </w:tcBorders>
            <w:shd w:val="clear" w:color="auto" w:fill="B7E5FF"/>
          </w:tcPr>
          <w:p>
            <w:pPr>
              <w:spacing w:after="0"/>
              <w:rPr>
                <w:sz w:val="11"/>
                <w:szCs w:val="11"/>
                <w:color w:val="auto"/>
              </w:rPr>
            </w:pPr>
          </w:p>
        </w:tc>
        <w:tc>
          <w:tcPr>
            <w:tcW w:w="48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1,454</w:t>
            </w:r>
          </w:p>
        </w:tc>
        <w:tc>
          <w:tcPr>
            <w:tcW w:w="220" w:type="dxa"/>
            <w:vAlign w:val="bottom"/>
            <w:shd w:val="clear" w:color="auto" w:fill="B7E5FF"/>
          </w:tcPr>
          <w:p>
            <w:pPr>
              <w:spacing w:after="0"/>
              <w:rPr>
                <w:sz w:val="11"/>
                <w:szCs w:val="11"/>
                <w:color w:val="auto"/>
              </w:rPr>
            </w:pPr>
          </w:p>
        </w:tc>
        <w:tc>
          <w:tcPr>
            <w:tcW w:w="260" w:type="dxa"/>
            <w:vAlign w:val="bottom"/>
            <w:tcBorders>
              <w:bottom w:val="single" w:sz="8" w:color="auto"/>
            </w:tcBorders>
            <w:shd w:val="clear" w:color="auto" w:fill="B7E5FF"/>
          </w:tcPr>
          <w:p>
            <w:pPr>
              <w:spacing w:after="0"/>
              <w:rPr>
                <w:sz w:val="11"/>
                <w:szCs w:val="11"/>
                <w:color w:val="auto"/>
              </w:rPr>
            </w:pPr>
          </w:p>
        </w:tc>
        <w:tc>
          <w:tcPr>
            <w:tcW w:w="11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1,317</w:t>
            </w:r>
          </w:p>
        </w:tc>
        <w:tc>
          <w:tcPr>
            <w:tcW w:w="0" w:type="dxa"/>
            <w:vAlign w:val="bottom"/>
          </w:tcPr>
          <w:p>
            <w:pPr>
              <w:spacing w:after="0"/>
              <w:rPr>
                <w:sz w:val="1"/>
                <w:szCs w:val="1"/>
                <w:color w:val="auto"/>
              </w:rPr>
            </w:pPr>
          </w:p>
        </w:tc>
      </w:tr>
      <w:tr>
        <w:trPr>
          <w:trHeight w:val="133"/>
        </w:trPr>
        <w:tc>
          <w:tcPr>
            <w:tcW w:w="8460" w:type="dxa"/>
            <w:vAlign w:val="bottom"/>
            <w:tcBorders>
              <w:bottom w:val="single" w:sz="8" w:color="B7E5FF"/>
            </w:tcBorders>
          </w:tcPr>
          <w:p>
            <w:pPr>
              <w:spacing w:after="0" w:line="133" w:lineRule="exact"/>
              <w:rPr>
                <w:sz w:val="20"/>
                <w:szCs w:val="20"/>
                <w:color w:val="auto"/>
              </w:rPr>
            </w:pPr>
            <w:r>
              <w:rPr>
                <w:rFonts w:ascii="Arial" w:cs="Arial" w:eastAsia="Arial" w:hAnsi="Arial"/>
                <w:sz w:val="12"/>
                <w:szCs w:val="12"/>
                <w:color w:val="auto"/>
              </w:rPr>
              <w:t>Total equity</w:t>
            </w:r>
          </w:p>
        </w:tc>
        <w:tc>
          <w:tcPr>
            <w:tcW w:w="9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96"/>
              </w:rPr>
              <w:t>457,961</w:t>
            </w:r>
          </w:p>
        </w:tc>
        <w:tc>
          <w:tcPr>
            <w:tcW w:w="220" w:type="dxa"/>
            <w:vAlign w:val="bottom"/>
            <w:tcBorders>
              <w:bottom w:val="single" w:sz="8" w:color="B7E5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436,369</w:t>
            </w:r>
          </w:p>
        </w:tc>
        <w:tc>
          <w:tcPr>
            <w:tcW w:w="0" w:type="dxa"/>
            <w:vAlign w:val="bottom"/>
          </w:tcPr>
          <w:p>
            <w:pPr>
              <w:spacing w:after="0"/>
              <w:rPr>
                <w:sz w:val="1"/>
                <w:szCs w:val="1"/>
                <w:color w:val="auto"/>
              </w:rPr>
            </w:pPr>
          </w:p>
        </w:tc>
      </w:tr>
      <w:tr>
        <w:trPr>
          <w:trHeight w:val="140"/>
        </w:trPr>
        <w:tc>
          <w:tcPr>
            <w:tcW w:w="8460" w:type="dxa"/>
            <w:vAlign w:val="bottom"/>
            <w:tcBorders>
              <w:bottom w:val="single" w:sz="8" w:color="B7E5FF"/>
            </w:tcBorders>
            <w:shd w:val="clear" w:color="auto" w:fill="B7E5FF"/>
          </w:tcPr>
          <w:p>
            <w:pPr>
              <w:ind w:left="220"/>
              <w:spacing w:after="0" w:line="133" w:lineRule="exact"/>
              <w:rPr>
                <w:sz w:val="20"/>
                <w:szCs w:val="20"/>
                <w:color w:val="auto"/>
              </w:rPr>
            </w:pPr>
            <w:r>
              <w:rPr>
                <w:rFonts w:ascii="Arial" w:cs="Arial" w:eastAsia="Arial" w:hAnsi="Arial"/>
                <w:sz w:val="12"/>
                <w:szCs w:val="12"/>
                <w:color w:val="auto"/>
              </w:rPr>
              <w:t>Total liabilities and equity</w:t>
            </w:r>
          </w:p>
        </w:tc>
        <w:tc>
          <w:tcPr>
            <w:tcW w:w="920" w:type="dxa"/>
            <w:vAlign w:val="bottom"/>
            <w:tcBorders>
              <w:bottom w:val="single" w:sz="8" w:color="auto"/>
            </w:tcBorders>
            <w:shd w:val="clear" w:color="auto" w:fill="B7E5FF"/>
          </w:tcPr>
          <w:p>
            <w:pPr>
              <w:jc w:val="right"/>
              <w:ind w:right="780"/>
              <w:spacing w:after="0" w:line="133" w:lineRule="exact"/>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w w:val="96"/>
              </w:rPr>
              <w:t>724,530</w:t>
            </w:r>
          </w:p>
        </w:tc>
        <w:tc>
          <w:tcPr>
            <w:tcW w:w="220" w:type="dxa"/>
            <w:vAlign w:val="bottom"/>
            <w:tcBorders>
              <w:bottom w:val="single" w:sz="8" w:color="B7E5FF"/>
            </w:tcBorders>
            <w:shd w:val="clear" w:color="auto" w:fill="B7E5FF"/>
          </w:tcPr>
          <w:p>
            <w:pPr>
              <w:spacing w:after="0"/>
              <w:rPr>
                <w:sz w:val="12"/>
                <w:szCs w:val="12"/>
                <w:color w:val="auto"/>
              </w:rPr>
            </w:pPr>
          </w:p>
        </w:tc>
        <w:tc>
          <w:tcPr>
            <w:tcW w:w="260" w:type="dxa"/>
            <w:vAlign w:val="bottom"/>
            <w:tcBorders>
              <w:bottom w:val="single" w:sz="8" w:color="auto"/>
            </w:tcBorders>
            <w:shd w:val="clear" w:color="auto" w:fill="B7E5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709,665</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these condensed consolidated financial statements.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177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22" w:right="1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4"/>
          <w:szCs w:val="14"/>
          <w:b w:val="1"/>
          <w:bCs w:val="1"/>
          <w:color w:val="auto"/>
        </w:rPr>
        <w:t>Quaker Chemical Corporation</w:t>
      </w:r>
    </w:p>
    <w:p>
      <w:pPr>
        <w:spacing w:after="0" w:line="7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i w:val="1"/>
          <w:iCs w:val="1"/>
          <w:color w:val="auto"/>
        </w:rPr>
        <w:t>(Dollars in thousands)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687"/>
              <w:spacing w:after="0"/>
              <w:rPr>
                <w:sz w:val="20"/>
                <w:szCs w:val="20"/>
                <w:color w:val="auto"/>
              </w:rPr>
            </w:pPr>
            <w:r>
              <w:rPr>
                <w:rFonts w:ascii="Arial" w:cs="Arial" w:eastAsia="Arial" w:hAnsi="Arial"/>
                <w:sz w:val="12"/>
                <w:szCs w:val="12"/>
                <w:b w:val="1"/>
                <w:bCs w:val="1"/>
                <w:color w:val="auto"/>
              </w:rPr>
              <w:t>Unaudited</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8460" w:type="dxa"/>
            <w:vAlign w:val="bottom"/>
          </w:tcPr>
          <w:p>
            <w:pPr>
              <w:spacing w:after="0"/>
              <w:rPr>
                <w:sz w:val="11"/>
                <w:szCs w:val="11"/>
                <w:color w:val="auto"/>
              </w:rPr>
            </w:pPr>
          </w:p>
        </w:tc>
        <w:tc>
          <w:tcPr>
            <w:tcW w:w="2520" w:type="dxa"/>
            <w:vAlign w:val="bottom"/>
            <w:tcBorders>
              <w:bottom w:val="single" w:sz="8" w:color="auto"/>
            </w:tcBorders>
            <w:gridSpan w:val="4"/>
          </w:tcPr>
          <w:p>
            <w:pPr>
              <w:jc w:val="right"/>
              <w:ind w:right="247"/>
              <w:spacing w:after="0"/>
              <w:rPr>
                <w:sz w:val="20"/>
                <w:szCs w:val="20"/>
                <w:color w:val="auto"/>
              </w:rPr>
            </w:pPr>
            <w:r>
              <w:rPr>
                <w:rFonts w:ascii="Arial" w:cs="Arial" w:eastAsia="Arial" w:hAnsi="Arial"/>
                <w:sz w:val="12"/>
                <w:szCs w:val="12"/>
                <w:b w:val="1"/>
                <w:bCs w:val="1"/>
                <w:color w:val="auto"/>
              </w:rPr>
              <w:t>Six Months Ended June 30,</w:t>
            </w: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460" w:type="dxa"/>
            <w:vAlign w:val="bottom"/>
            <w:vMerge w:val="restart"/>
          </w:tcPr>
          <w:p>
            <w:pPr>
              <w:spacing w:after="0"/>
              <w:rPr>
                <w:sz w:val="20"/>
                <w:szCs w:val="20"/>
                <w:color w:val="auto"/>
              </w:rPr>
            </w:pPr>
            <w:r>
              <w:rPr>
                <w:rFonts w:ascii="Arial" w:cs="Arial" w:eastAsia="Arial" w:hAnsi="Arial"/>
                <w:sz w:val="12"/>
                <w:szCs w:val="12"/>
                <w:color w:val="auto"/>
              </w:rPr>
              <w:t>Cash flows from operating activities</w:t>
            </w:r>
          </w:p>
        </w:tc>
        <w:tc>
          <w:tcPr>
            <w:tcW w:w="900" w:type="dxa"/>
            <w:vAlign w:val="bottom"/>
            <w:tcBorders>
              <w:bottom w:val="single" w:sz="8" w:color="auto"/>
            </w:tcBorders>
          </w:tcPr>
          <w:p>
            <w:pPr>
              <w:jc w:val="right"/>
              <w:ind w:right="20"/>
              <w:spacing w:after="0" w:line="133" w:lineRule="exact"/>
              <w:rPr>
                <w:sz w:val="20"/>
                <w:szCs w:val="20"/>
                <w:color w:val="auto"/>
              </w:rPr>
            </w:pPr>
            <w:r>
              <w:rPr>
                <w:rFonts w:ascii="Arial" w:cs="Arial" w:eastAsia="Arial" w:hAnsi="Arial"/>
                <w:sz w:val="12"/>
                <w:szCs w:val="12"/>
                <w:b w:val="1"/>
                <w:bCs w:val="1"/>
                <w:color w:val="auto"/>
              </w:rPr>
              <w:t>2019</w:t>
            </w:r>
          </w:p>
        </w:tc>
        <w:tc>
          <w:tcPr>
            <w:tcW w:w="5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Borders>
              <w:bottom w:val="single" w:sz="8" w:color="auto"/>
            </w:tcBorders>
          </w:tcPr>
          <w:p>
            <w:pPr>
              <w:jc w:val="right"/>
              <w:ind w:right="27"/>
              <w:spacing w:after="0" w:line="133" w:lineRule="exact"/>
              <w:rPr>
                <w:sz w:val="20"/>
                <w:szCs w:val="20"/>
                <w:color w:val="auto"/>
              </w:rPr>
            </w:pPr>
            <w:r>
              <w:rPr>
                <w:rFonts w:ascii="Arial" w:cs="Arial" w:eastAsia="Arial" w:hAnsi="Arial"/>
                <w:sz w:val="12"/>
                <w:szCs w:val="12"/>
                <w:b w:val="1"/>
                <w:bCs w:val="1"/>
                <w:color w:val="auto"/>
              </w:rPr>
              <w:t>2018</w:t>
            </w: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4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460" w:type="dxa"/>
            <w:vAlign w:val="bottom"/>
            <w:shd w:val="clear" w:color="auto" w:fill="B7E5FF"/>
          </w:tcPr>
          <w:p>
            <w:pPr>
              <w:ind w:left="100"/>
              <w:spacing w:after="0"/>
              <w:rPr>
                <w:sz w:val="20"/>
                <w:szCs w:val="20"/>
                <w:color w:val="auto"/>
              </w:rPr>
            </w:pPr>
            <w:r>
              <w:rPr>
                <w:rFonts w:ascii="Arial" w:cs="Arial" w:eastAsia="Arial" w:hAnsi="Arial"/>
                <w:sz w:val="12"/>
                <w:szCs w:val="12"/>
                <w:color w:val="auto"/>
              </w:rPr>
              <w:t>Net income</w:t>
            </w:r>
          </w:p>
        </w:tc>
        <w:tc>
          <w:tcPr>
            <w:tcW w:w="900" w:type="dxa"/>
            <w:vAlign w:val="bottom"/>
            <w:shd w:val="clear" w:color="auto" w:fill="B7E5FF"/>
          </w:tcPr>
          <w:p>
            <w:pPr>
              <w:jc w:val="right"/>
              <w:ind w:right="760"/>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29,549</w:t>
            </w:r>
          </w:p>
        </w:tc>
        <w:tc>
          <w:tcPr>
            <w:tcW w:w="220" w:type="dxa"/>
            <w:vAlign w:val="bottom"/>
            <w:shd w:val="clear" w:color="auto" w:fill="B7E5FF"/>
          </w:tcPr>
          <w:p>
            <w:pPr>
              <w:spacing w:after="0"/>
              <w:rPr>
                <w:sz w:val="13"/>
                <w:szCs w:val="13"/>
                <w:color w:val="auto"/>
              </w:rPr>
            </w:pPr>
          </w:p>
        </w:tc>
        <w:tc>
          <w:tcPr>
            <w:tcW w:w="900" w:type="dxa"/>
            <w:vAlign w:val="bottom"/>
            <w:shd w:val="clear" w:color="auto" w:fill="B7E5FF"/>
          </w:tcPr>
          <w:p>
            <w:pPr>
              <w:jc w:val="right"/>
              <w:ind w:right="787"/>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32,157</w:t>
            </w:r>
          </w:p>
        </w:tc>
        <w:tc>
          <w:tcPr>
            <w:tcW w:w="0" w:type="dxa"/>
            <w:vAlign w:val="bottom"/>
          </w:tcPr>
          <w:p>
            <w:pPr>
              <w:spacing w:after="0"/>
              <w:rPr>
                <w:sz w:val="1"/>
                <w:szCs w:val="1"/>
                <w:color w:val="auto"/>
              </w:rPr>
            </w:pPr>
          </w:p>
        </w:tc>
      </w:tr>
      <w:tr>
        <w:trPr>
          <w:trHeight w:val="153"/>
        </w:trPr>
        <w:tc>
          <w:tcPr>
            <w:tcW w:w="8460" w:type="dxa"/>
            <w:vAlign w:val="bottom"/>
          </w:tcPr>
          <w:p>
            <w:pPr>
              <w:ind w:left="100"/>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60" w:type="dxa"/>
            <w:vAlign w:val="bottom"/>
            <w:shd w:val="clear" w:color="auto" w:fill="B7E5FF"/>
          </w:tcPr>
          <w:p>
            <w:pPr>
              <w:ind w:left="220"/>
              <w:spacing w:after="0"/>
              <w:rPr>
                <w:sz w:val="20"/>
                <w:szCs w:val="20"/>
                <w:color w:val="auto"/>
              </w:rPr>
            </w:pPr>
            <w:r>
              <w:rPr>
                <w:rFonts w:ascii="Arial" w:cs="Arial" w:eastAsia="Arial" w:hAnsi="Arial"/>
                <w:sz w:val="12"/>
                <w:szCs w:val="12"/>
                <w:color w:val="auto"/>
              </w:rPr>
              <w:t>Depreciation</w:t>
            </w:r>
          </w:p>
        </w:tc>
        <w:tc>
          <w:tcPr>
            <w:tcW w:w="900" w:type="dxa"/>
            <w:vAlign w:val="bottom"/>
            <w:shd w:val="clear" w:color="auto" w:fill="B7E5FF"/>
          </w:tcPr>
          <w:p>
            <w:pPr>
              <w:spacing w:after="0"/>
              <w:rPr>
                <w:sz w:val="13"/>
                <w:szCs w:val="13"/>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6,087</w:t>
            </w:r>
          </w:p>
        </w:tc>
        <w:tc>
          <w:tcPr>
            <w:tcW w:w="220" w:type="dxa"/>
            <w:vAlign w:val="bottom"/>
            <w:shd w:val="clear" w:color="auto" w:fill="B7E5FF"/>
          </w:tcPr>
          <w:p>
            <w:pPr>
              <w:spacing w:after="0"/>
              <w:rPr>
                <w:sz w:val="13"/>
                <w:szCs w:val="13"/>
                <w:color w:val="auto"/>
              </w:rPr>
            </w:pPr>
          </w:p>
        </w:tc>
        <w:tc>
          <w:tcPr>
            <w:tcW w:w="900" w:type="dxa"/>
            <w:vAlign w:val="bottom"/>
            <w:shd w:val="clear" w:color="auto" w:fill="B7E5FF"/>
          </w:tcPr>
          <w:p>
            <w:pPr>
              <w:spacing w:after="0"/>
              <w:rPr>
                <w:sz w:val="13"/>
                <w:szCs w:val="13"/>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6,330</w:t>
            </w:r>
          </w:p>
        </w:tc>
        <w:tc>
          <w:tcPr>
            <w:tcW w:w="0" w:type="dxa"/>
            <w:vAlign w:val="bottom"/>
          </w:tcPr>
          <w:p>
            <w:pPr>
              <w:spacing w:after="0"/>
              <w:rPr>
                <w:sz w:val="1"/>
                <w:szCs w:val="1"/>
                <w:color w:val="auto"/>
              </w:rPr>
            </w:pPr>
          </w:p>
        </w:tc>
      </w:tr>
      <w:tr>
        <w:trPr>
          <w:trHeight w:val="153"/>
        </w:trPr>
        <w:tc>
          <w:tcPr>
            <w:tcW w:w="8460" w:type="dxa"/>
            <w:vAlign w:val="bottom"/>
          </w:tcPr>
          <w:p>
            <w:pPr>
              <w:ind w:left="220"/>
              <w:spacing w:after="0"/>
              <w:rPr>
                <w:sz w:val="20"/>
                <w:szCs w:val="20"/>
                <w:color w:val="auto"/>
              </w:rPr>
            </w:pPr>
            <w:r>
              <w:rPr>
                <w:rFonts w:ascii="Arial" w:cs="Arial" w:eastAsia="Arial" w:hAnsi="Arial"/>
                <w:sz w:val="12"/>
                <w:szCs w:val="12"/>
                <w:color w:val="auto"/>
              </w:rPr>
              <w:t>Amortization</w:t>
            </w:r>
          </w:p>
        </w:tc>
        <w:tc>
          <w:tcPr>
            <w:tcW w:w="9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3,615</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3,698</w:t>
            </w:r>
          </w:p>
        </w:tc>
        <w:tc>
          <w:tcPr>
            <w:tcW w:w="0" w:type="dxa"/>
            <w:vAlign w:val="bottom"/>
          </w:tcPr>
          <w:p>
            <w:pPr>
              <w:spacing w:after="0"/>
              <w:rPr>
                <w:sz w:val="1"/>
                <w:szCs w:val="1"/>
                <w:color w:val="auto"/>
              </w:rPr>
            </w:pPr>
          </w:p>
        </w:tc>
      </w:tr>
      <w:tr>
        <w:trPr>
          <w:trHeight w:val="153"/>
        </w:trPr>
        <w:tc>
          <w:tcPr>
            <w:tcW w:w="8460" w:type="dxa"/>
            <w:vAlign w:val="bottom"/>
            <w:shd w:val="clear" w:color="auto" w:fill="B7E5FF"/>
          </w:tcPr>
          <w:p>
            <w:pPr>
              <w:ind w:left="220"/>
              <w:spacing w:after="0"/>
              <w:rPr>
                <w:sz w:val="20"/>
                <w:szCs w:val="20"/>
                <w:color w:val="auto"/>
              </w:rPr>
            </w:pPr>
            <w:r>
              <w:rPr>
                <w:rFonts w:ascii="Arial" w:cs="Arial" w:eastAsia="Arial" w:hAnsi="Arial"/>
                <w:sz w:val="12"/>
                <w:szCs w:val="12"/>
                <w:color w:val="auto"/>
              </w:rPr>
              <w:t>Equity in undistributed earnings of associated companies, net of dividends</w:t>
            </w:r>
          </w:p>
        </w:tc>
        <w:tc>
          <w:tcPr>
            <w:tcW w:w="900" w:type="dxa"/>
            <w:vAlign w:val="bottom"/>
            <w:shd w:val="clear" w:color="auto" w:fill="B7E5FF"/>
          </w:tcPr>
          <w:p>
            <w:pPr>
              <w:spacing w:after="0"/>
              <w:rPr>
                <w:sz w:val="13"/>
                <w:szCs w:val="13"/>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1,658</w:t>
            </w:r>
          </w:p>
        </w:tc>
        <w:tc>
          <w:tcPr>
            <w:tcW w:w="220" w:type="dxa"/>
            <w:vAlign w:val="bottom"/>
            <w:shd w:val="clear" w:color="auto" w:fill="B7E5FF"/>
          </w:tcPr>
          <w:p>
            <w:pPr>
              <w:spacing w:after="0"/>
              <w:rPr>
                <w:sz w:val="13"/>
                <w:szCs w:val="13"/>
                <w:color w:val="auto"/>
              </w:rPr>
            </w:pPr>
          </w:p>
        </w:tc>
        <w:tc>
          <w:tcPr>
            <w:tcW w:w="900" w:type="dxa"/>
            <w:vAlign w:val="bottom"/>
            <w:shd w:val="clear" w:color="auto" w:fill="B7E5FF"/>
          </w:tcPr>
          <w:p>
            <w:pPr>
              <w:spacing w:after="0"/>
              <w:rPr>
                <w:sz w:val="13"/>
                <w:szCs w:val="13"/>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3,352</w:t>
            </w:r>
          </w:p>
        </w:tc>
        <w:tc>
          <w:tcPr>
            <w:tcW w:w="0" w:type="dxa"/>
            <w:vAlign w:val="bottom"/>
          </w:tcPr>
          <w:p>
            <w:pPr>
              <w:spacing w:after="0"/>
              <w:rPr>
                <w:sz w:val="1"/>
                <w:szCs w:val="1"/>
                <w:color w:val="auto"/>
              </w:rPr>
            </w:pPr>
          </w:p>
        </w:tc>
      </w:tr>
      <w:tr>
        <w:trPr>
          <w:trHeight w:val="153"/>
        </w:trPr>
        <w:tc>
          <w:tcPr>
            <w:tcW w:w="8460" w:type="dxa"/>
            <w:vAlign w:val="bottom"/>
          </w:tcPr>
          <w:p>
            <w:pPr>
              <w:ind w:left="220"/>
              <w:spacing w:after="0"/>
              <w:rPr>
                <w:sz w:val="20"/>
                <w:szCs w:val="20"/>
                <w:color w:val="auto"/>
              </w:rPr>
            </w:pPr>
            <w:r>
              <w:rPr>
                <w:rFonts w:ascii="Arial" w:cs="Arial" w:eastAsia="Arial" w:hAnsi="Arial"/>
                <w:sz w:val="12"/>
                <w:szCs w:val="12"/>
                <w:color w:val="auto"/>
              </w:rPr>
              <w:t>Deferred compensation, deferred taxes and other, net</w:t>
            </w:r>
          </w:p>
        </w:tc>
        <w:tc>
          <w:tcPr>
            <w:tcW w:w="9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(7,141)</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177</w:t>
            </w:r>
          </w:p>
        </w:tc>
        <w:tc>
          <w:tcPr>
            <w:tcW w:w="0" w:type="dxa"/>
            <w:vAlign w:val="bottom"/>
          </w:tcPr>
          <w:p>
            <w:pPr>
              <w:spacing w:after="0"/>
              <w:rPr>
                <w:sz w:val="1"/>
                <w:szCs w:val="1"/>
                <w:color w:val="auto"/>
              </w:rPr>
            </w:pPr>
          </w:p>
        </w:tc>
      </w:tr>
      <w:tr>
        <w:trPr>
          <w:trHeight w:val="153"/>
        </w:trPr>
        <w:tc>
          <w:tcPr>
            <w:tcW w:w="8460" w:type="dxa"/>
            <w:vAlign w:val="bottom"/>
            <w:shd w:val="clear" w:color="auto" w:fill="B7E5FF"/>
          </w:tcPr>
          <w:p>
            <w:pPr>
              <w:ind w:left="220"/>
              <w:spacing w:after="0"/>
              <w:rPr>
                <w:sz w:val="20"/>
                <w:szCs w:val="20"/>
                <w:color w:val="auto"/>
              </w:rPr>
            </w:pPr>
            <w:r>
              <w:rPr>
                <w:rFonts w:ascii="Arial" w:cs="Arial" w:eastAsia="Arial" w:hAnsi="Arial"/>
                <w:sz w:val="12"/>
                <w:szCs w:val="12"/>
                <w:color w:val="auto"/>
              </w:rPr>
              <w:t>Share-based compensation</w:t>
            </w:r>
          </w:p>
        </w:tc>
        <w:tc>
          <w:tcPr>
            <w:tcW w:w="900" w:type="dxa"/>
            <w:vAlign w:val="bottom"/>
            <w:shd w:val="clear" w:color="auto" w:fill="B7E5FF"/>
          </w:tcPr>
          <w:p>
            <w:pPr>
              <w:spacing w:after="0"/>
              <w:rPr>
                <w:sz w:val="13"/>
                <w:szCs w:val="13"/>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1,672</w:t>
            </w:r>
          </w:p>
        </w:tc>
        <w:tc>
          <w:tcPr>
            <w:tcW w:w="220" w:type="dxa"/>
            <w:vAlign w:val="bottom"/>
            <w:shd w:val="clear" w:color="auto" w:fill="B7E5FF"/>
          </w:tcPr>
          <w:p>
            <w:pPr>
              <w:spacing w:after="0"/>
              <w:rPr>
                <w:sz w:val="13"/>
                <w:szCs w:val="13"/>
                <w:color w:val="auto"/>
              </w:rPr>
            </w:pPr>
          </w:p>
        </w:tc>
        <w:tc>
          <w:tcPr>
            <w:tcW w:w="900" w:type="dxa"/>
            <w:vAlign w:val="bottom"/>
            <w:shd w:val="clear" w:color="auto" w:fill="B7E5FF"/>
          </w:tcPr>
          <w:p>
            <w:pPr>
              <w:spacing w:after="0"/>
              <w:rPr>
                <w:sz w:val="13"/>
                <w:szCs w:val="13"/>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1,975</w:t>
            </w:r>
          </w:p>
        </w:tc>
        <w:tc>
          <w:tcPr>
            <w:tcW w:w="0" w:type="dxa"/>
            <w:vAlign w:val="bottom"/>
          </w:tcPr>
          <w:p>
            <w:pPr>
              <w:spacing w:after="0"/>
              <w:rPr>
                <w:sz w:val="1"/>
                <w:szCs w:val="1"/>
                <w:color w:val="auto"/>
              </w:rPr>
            </w:pPr>
          </w:p>
        </w:tc>
      </w:tr>
      <w:tr>
        <w:trPr>
          <w:trHeight w:val="153"/>
        </w:trPr>
        <w:tc>
          <w:tcPr>
            <w:tcW w:w="8460" w:type="dxa"/>
            <w:vAlign w:val="bottom"/>
          </w:tcPr>
          <w:p>
            <w:pPr>
              <w:ind w:left="220"/>
              <w:spacing w:after="0"/>
              <w:rPr>
                <w:sz w:val="20"/>
                <w:szCs w:val="20"/>
                <w:color w:val="auto"/>
              </w:rPr>
            </w:pPr>
            <w:r>
              <w:rPr>
                <w:rFonts w:ascii="Arial" w:cs="Arial" w:eastAsia="Arial" w:hAnsi="Arial"/>
                <w:sz w:val="12"/>
                <w:szCs w:val="12"/>
                <w:color w:val="auto"/>
              </w:rPr>
              <w:t>Gain on disposal of property, plant, equipment and other assets</w:t>
            </w:r>
          </w:p>
        </w:tc>
        <w:tc>
          <w:tcPr>
            <w:tcW w:w="9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(39)</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(599)</w:t>
            </w:r>
          </w:p>
        </w:tc>
        <w:tc>
          <w:tcPr>
            <w:tcW w:w="0" w:type="dxa"/>
            <w:vAlign w:val="bottom"/>
          </w:tcPr>
          <w:p>
            <w:pPr>
              <w:spacing w:after="0"/>
              <w:rPr>
                <w:sz w:val="1"/>
                <w:szCs w:val="1"/>
                <w:color w:val="auto"/>
              </w:rPr>
            </w:pPr>
          </w:p>
        </w:tc>
      </w:tr>
      <w:tr>
        <w:trPr>
          <w:trHeight w:val="153"/>
        </w:trPr>
        <w:tc>
          <w:tcPr>
            <w:tcW w:w="8460" w:type="dxa"/>
            <w:vAlign w:val="bottom"/>
            <w:shd w:val="clear" w:color="auto" w:fill="B7E5FF"/>
          </w:tcPr>
          <w:p>
            <w:pPr>
              <w:ind w:left="220"/>
              <w:spacing w:after="0"/>
              <w:rPr>
                <w:sz w:val="20"/>
                <w:szCs w:val="20"/>
                <w:color w:val="auto"/>
              </w:rPr>
            </w:pPr>
            <w:r>
              <w:rPr>
                <w:rFonts w:ascii="Arial" w:cs="Arial" w:eastAsia="Arial" w:hAnsi="Arial"/>
                <w:sz w:val="12"/>
                <w:szCs w:val="12"/>
                <w:color w:val="auto"/>
              </w:rPr>
              <w:t>Insurance settlement realized</w:t>
            </w:r>
          </w:p>
        </w:tc>
        <w:tc>
          <w:tcPr>
            <w:tcW w:w="900" w:type="dxa"/>
            <w:vAlign w:val="bottom"/>
            <w:shd w:val="clear" w:color="auto" w:fill="B7E5FF"/>
          </w:tcPr>
          <w:p>
            <w:pPr>
              <w:spacing w:after="0"/>
              <w:rPr>
                <w:sz w:val="13"/>
                <w:szCs w:val="13"/>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(306)</w:t>
            </w:r>
          </w:p>
        </w:tc>
        <w:tc>
          <w:tcPr>
            <w:tcW w:w="220" w:type="dxa"/>
            <w:vAlign w:val="bottom"/>
            <w:shd w:val="clear" w:color="auto" w:fill="B7E5FF"/>
          </w:tcPr>
          <w:p>
            <w:pPr>
              <w:spacing w:after="0"/>
              <w:rPr>
                <w:sz w:val="13"/>
                <w:szCs w:val="13"/>
                <w:color w:val="auto"/>
              </w:rPr>
            </w:pPr>
          </w:p>
        </w:tc>
        <w:tc>
          <w:tcPr>
            <w:tcW w:w="900" w:type="dxa"/>
            <w:vAlign w:val="bottom"/>
            <w:shd w:val="clear" w:color="auto" w:fill="B7E5FF"/>
          </w:tcPr>
          <w:p>
            <w:pPr>
              <w:spacing w:after="0"/>
              <w:rPr>
                <w:sz w:val="13"/>
                <w:szCs w:val="13"/>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(481)</w:t>
            </w:r>
          </w:p>
        </w:tc>
        <w:tc>
          <w:tcPr>
            <w:tcW w:w="0" w:type="dxa"/>
            <w:vAlign w:val="bottom"/>
          </w:tcPr>
          <w:p>
            <w:pPr>
              <w:spacing w:after="0"/>
              <w:rPr>
                <w:sz w:val="1"/>
                <w:szCs w:val="1"/>
                <w:color w:val="auto"/>
              </w:rPr>
            </w:pPr>
          </w:p>
        </w:tc>
      </w:tr>
      <w:tr>
        <w:trPr>
          <w:trHeight w:val="153"/>
        </w:trPr>
        <w:tc>
          <w:tcPr>
            <w:tcW w:w="8460" w:type="dxa"/>
            <w:vAlign w:val="bottom"/>
          </w:tcPr>
          <w:p>
            <w:pPr>
              <w:ind w:left="220"/>
              <w:spacing w:after="0"/>
              <w:rPr>
                <w:sz w:val="20"/>
                <w:szCs w:val="20"/>
                <w:color w:val="auto"/>
              </w:rPr>
            </w:pPr>
            <w:r>
              <w:rPr>
                <w:rFonts w:ascii="Arial" w:cs="Arial" w:eastAsia="Arial" w:hAnsi="Arial"/>
                <w:sz w:val="12"/>
                <w:szCs w:val="12"/>
                <w:color w:val="auto"/>
              </w:rPr>
              <w:t>Combination and other acquisition-related expenses, net of payments</w:t>
            </w:r>
          </w:p>
        </w:tc>
        <w:tc>
          <w:tcPr>
            <w:tcW w:w="9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399</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(1,445)</w:t>
            </w:r>
          </w:p>
        </w:tc>
        <w:tc>
          <w:tcPr>
            <w:tcW w:w="0" w:type="dxa"/>
            <w:vAlign w:val="bottom"/>
          </w:tcPr>
          <w:p>
            <w:pPr>
              <w:spacing w:after="0"/>
              <w:rPr>
                <w:sz w:val="1"/>
                <w:szCs w:val="1"/>
                <w:color w:val="auto"/>
              </w:rPr>
            </w:pPr>
          </w:p>
        </w:tc>
      </w:tr>
      <w:tr>
        <w:trPr>
          <w:trHeight w:val="153"/>
        </w:trPr>
        <w:tc>
          <w:tcPr>
            <w:tcW w:w="8460" w:type="dxa"/>
            <w:vAlign w:val="bottom"/>
            <w:shd w:val="clear" w:color="auto" w:fill="B7E5FF"/>
          </w:tcPr>
          <w:p>
            <w:pPr>
              <w:ind w:left="220"/>
              <w:spacing w:after="0"/>
              <w:rPr>
                <w:sz w:val="20"/>
                <w:szCs w:val="20"/>
                <w:color w:val="auto"/>
              </w:rPr>
            </w:pPr>
            <w:r>
              <w:rPr>
                <w:rFonts w:ascii="Arial" w:cs="Arial" w:eastAsia="Arial" w:hAnsi="Arial"/>
                <w:sz w:val="12"/>
                <w:szCs w:val="12"/>
                <w:color w:val="auto"/>
              </w:rPr>
              <w:t>Pension and other postretirement benefits</w:t>
            </w:r>
          </w:p>
        </w:tc>
        <w:tc>
          <w:tcPr>
            <w:tcW w:w="900" w:type="dxa"/>
            <w:vAlign w:val="bottom"/>
            <w:shd w:val="clear" w:color="auto" w:fill="B7E5FF"/>
          </w:tcPr>
          <w:p>
            <w:pPr>
              <w:spacing w:after="0"/>
              <w:rPr>
                <w:sz w:val="13"/>
                <w:szCs w:val="13"/>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(21)</w:t>
            </w:r>
          </w:p>
        </w:tc>
        <w:tc>
          <w:tcPr>
            <w:tcW w:w="220" w:type="dxa"/>
            <w:vAlign w:val="bottom"/>
            <w:shd w:val="clear" w:color="auto" w:fill="B7E5FF"/>
          </w:tcPr>
          <w:p>
            <w:pPr>
              <w:spacing w:after="0"/>
              <w:rPr>
                <w:sz w:val="13"/>
                <w:szCs w:val="13"/>
                <w:color w:val="auto"/>
              </w:rPr>
            </w:pPr>
          </w:p>
        </w:tc>
        <w:tc>
          <w:tcPr>
            <w:tcW w:w="900" w:type="dxa"/>
            <w:vAlign w:val="bottom"/>
            <w:shd w:val="clear" w:color="auto" w:fill="B7E5FF"/>
          </w:tcPr>
          <w:p>
            <w:pPr>
              <w:spacing w:after="0"/>
              <w:rPr>
                <w:sz w:val="13"/>
                <w:szCs w:val="13"/>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(2,341)</w:t>
            </w:r>
          </w:p>
        </w:tc>
        <w:tc>
          <w:tcPr>
            <w:tcW w:w="0" w:type="dxa"/>
            <w:vAlign w:val="bottom"/>
          </w:tcPr>
          <w:p>
            <w:pPr>
              <w:spacing w:after="0"/>
              <w:rPr>
                <w:sz w:val="1"/>
                <w:szCs w:val="1"/>
                <w:color w:val="auto"/>
              </w:rPr>
            </w:pPr>
          </w:p>
        </w:tc>
      </w:tr>
      <w:tr>
        <w:trPr>
          <w:trHeight w:val="153"/>
        </w:trPr>
        <w:tc>
          <w:tcPr>
            <w:tcW w:w="8460" w:type="dxa"/>
            <w:vAlign w:val="bottom"/>
          </w:tcPr>
          <w:p>
            <w:pPr>
              <w:ind w:left="100"/>
              <w:spacing w:after="0"/>
              <w:rPr>
                <w:sz w:val="20"/>
                <w:szCs w:val="20"/>
                <w:color w:val="auto"/>
              </w:rPr>
            </w:pPr>
            <w:r>
              <w:rPr>
                <w:rFonts w:ascii="Arial" w:cs="Arial" w:eastAsia="Arial" w:hAnsi="Arial"/>
                <w:sz w:val="12"/>
                <w:szCs w:val="12"/>
                <w:color w:val="auto"/>
              </w:rPr>
              <w:t>(Decrease) increase in cash from changes in current assets and current</w:t>
            </w: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60" w:type="dxa"/>
            <w:vAlign w:val="bottom"/>
            <w:shd w:val="clear" w:color="auto" w:fill="B7E5FF"/>
          </w:tcPr>
          <w:p>
            <w:pPr>
              <w:ind w:left="320"/>
              <w:spacing w:after="0"/>
              <w:rPr>
                <w:sz w:val="20"/>
                <w:szCs w:val="20"/>
                <w:color w:val="auto"/>
              </w:rPr>
            </w:pPr>
            <w:r>
              <w:rPr>
                <w:rFonts w:ascii="Arial" w:cs="Arial" w:eastAsia="Arial" w:hAnsi="Arial"/>
                <w:sz w:val="12"/>
                <w:szCs w:val="12"/>
                <w:color w:val="auto"/>
              </w:rPr>
              <w:t>liabilities, net of acquisitions:</w:t>
            </w:r>
          </w:p>
        </w:tc>
        <w:tc>
          <w:tcPr>
            <w:tcW w:w="900" w:type="dxa"/>
            <w:vAlign w:val="bottom"/>
            <w:shd w:val="clear" w:color="auto" w:fill="B7E5FF"/>
          </w:tcPr>
          <w:p>
            <w:pPr>
              <w:spacing w:after="0"/>
              <w:rPr>
                <w:sz w:val="13"/>
                <w:szCs w:val="13"/>
                <w:color w:val="auto"/>
              </w:rPr>
            </w:pPr>
          </w:p>
        </w:tc>
        <w:tc>
          <w:tcPr>
            <w:tcW w:w="500" w:type="dxa"/>
            <w:vAlign w:val="bottom"/>
            <w:shd w:val="clear" w:color="auto" w:fill="B7E5FF"/>
          </w:tcPr>
          <w:p>
            <w:pPr>
              <w:spacing w:after="0"/>
              <w:rPr>
                <w:sz w:val="13"/>
                <w:szCs w:val="13"/>
                <w:color w:val="auto"/>
              </w:rPr>
            </w:pPr>
          </w:p>
        </w:tc>
        <w:tc>
          <w:tcPr>
            <w:tcW w:w="220" w:type="dxa"/>
            <w:vAlign w:val="bottom"/>
            <w:shd w:val="clear" w:color="auto" w:fill="B7E5FF"/>
          </w:tcPr>
          <w:p>
            <w:pPr>
              <w:spacing w:after="0"/>
              <w:rPr>
                <w:sz w:val="13"/>
                <w:szCs w:val="13"/>
                <w:color w:val="auto"/>
              </w:rPr>
            </w:pPr>
          </w:p>
        </w:tc>
        <w:tc>
          <w:tcPr>
            <w:tcW w:w="900" w:type="dxa"/>
            <w:vAlign w:val="bottom"/>
            <w:shd w:val="clear" w:color="auto" w:fill="B7E5FF"/>
          </w:tcPr>
          <w:p>
            <w:pPr>
              <w:spacing w:after="0"/>
              <w:rPr>
                <w:sz w:val="13"/>
                <w:szCs w:val="13"/>
                <w:color w:val="auto"/>
              </w:rPr>
            </w:pPr>
          </w:p>
        </w:tc>
        <w:tc>
          <w:tcPr>
            <w:tcW w:w="500" w:type="dxa"/>
            <w:vAlign w:val="bottom"/>
            <w:shd w:val="clear" w:color="auto" w:fill="B7E5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60" w:type="dxa"/>
            <w:vAlign w:val="bottom"/>
          </w:tcPr>
          <w:p>
            <w:pPr>
              <w:ind w:left="220"/>
              <w:spacing w:after="0"/>
              <w:rPr>
                <w:sz w:val="20"/>
                <w:szCs w:val="20"/>
                <w:color w:val="auto"/>
              </w:rPr>
            </w:pPr>
            <w:r>
              <w:rPr>
                <w:rFonts w:ascii="Arial" w:cs="Arial" w:eastAsia="Arial" w:hAnsi="Arial"/>
                <w:sz w:val="12"/>
                <w:szCs w:val="12"/>
                <w:color w:val="auto"/>
              </w:rPr>
              <w:t>Accounts receivable</w:t>
            </w:r>
          </w:p>
        </w:tc>
        <w:tc>
          <w:tcPr>
            <w:tcW w:w="9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(7,893)</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(10,873)</w:t>
            </w:r>
          </w:p>
        </w:tc>
        <w:tc>
          <w:tcPr>
            <w:tcW w:w="0" w:type="dxa"/>
            <w:vAlign w:val="bottom"/>
          </w:tcPr>
          <w:p>
            <w:pPr>
              <w:spacing w:after="0"/>
              <w:rPr>
                <w:sz w:val="1"/>
                <w:szCs w:val="1"/>
                <w:color w:val="auto"/>
              </w:rPr>
            </w:pPr>
          </w:p>
        </w:tc>
      </w:tr>
      <w:tr>
        <w:trPr>
          <w:trHeight w:val="153"/>
        </w:trPr>
        <w:tc>
          <w:tcPr>
            <w:tcW w:w="8460" w:type="dxa"/>
            <w:vAlign w:val="bottom"/>
            <w:shd w:val="clear" w:color="auto" w:fill="B7E5FF"/>
          </w:tcPr>
          <w:p>
            <w:pPr>
              <w:ind w:left="220"/>
              <w:spacing w:after="0"/>
              <w:rPr>
                <w:sz w:val="20"/>
                <w:szCs w:val="20"/>
                <w:color w:val="auto"/>
              </w:rPr>
            </w:pPr>
            <w:r>
              <w:rPr>
                <w:rFonts w:ascii="Arial" w:cs="Arial" w:eastAsia="Arial" w:hAnsi="Arial"/>
                <w:sz w:val="12"/>
                <w:szCs w:val="12"/>
                <w:color w:val="auto"/>
              </w:rPr>
              <w:t>Inventories</w:t>
            </w:r>
          </w:p>
        </w:tc>
        <w:tc>
          <w:tcPr>
            <w:tcW w:w="900" w:type="dxa"/>
            <w:vAlign w:val="bottom"/>
            <w:shd w:val="clear" w:color="auto" w:fill="B7E5FF"/>
          </w:tcPr>
          <w:p>
            <w:pPr>
              <w:spacing w:after="0"/>
              <w:rPr>
                <w:sz w:val="13"/>
                <w:szCs w:val="13"/>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(257)</w:t>
            </w:r>
          </w:p>
        </w:tc>
        <w:tc>
          <w:tcPr>
            <w:tcW w:w="220" w:type="dxa"/>
            <w:vAlign w:val="bottom"/>
            <w:shd w:val="clear" w:color="auto" w:fill="B7E5FF"/>
          </w:tcPr>
          <w:p>
            <w:pPr>
              <w:spacing w:after="0"/>
              <w:rPr>
                <w:sz w:val="13"/>
                <w:szCs w:val="13"/>
                <w:color w:val="auto"/>
              </w:rPr>
            </w:pPr>
          </w:p>
        </w:tc>
        <w:tc>
          <w:tcPr>
            <w:tcW w:w="900" w:type="dxa"/>
            <w:vAlign w:val="bottom"/>
            <w:shd w:val="clear" w:color="auto" w:fill="B7E5FF"/>
          </w:tcPr>
          <w:p>
            <w:pPr>
              <w:spacing w:after="0"/>
              <w:rPr>
                <w:sz w:val="13"/>
                <w:szCs w:val="13"/>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(11,301)</w:t>
            </w:r>
          </w:p>
        </w:tc>
        <w:tc>
          <w:tcPr>
            <w:tcW w:w="0" w:type="dxa"/>
            <w:vAlign w:val="bottom"/>
          </w:tcPr>
          <w:p>
            <w:pPr>
              <w:spacing w:after="0"/>
              <w:rPr>
                <w:sz w:val="1"/>
                <w:szCs w:val="1"/>
                <w:color w:val="auto"/>
              </w:rPr>
            </w:pPr>
          </w:p>
        </w:tc>
      </w:tr>
      <w:tr>
        <w:trPr>
          <w:trHeight w:val="153"/>
        </w:trPr>
        <w:tc>
          <w:tcPr>
            <w:tcW w:w="8460" w:type="dxa"/>
            <w:vAlign w:val="bottom"/>
          </w:tcPr>
          <w:p>
            <w:pPr>
              <w:ind w:left="220"/>
              <w:spacing w:after="0"/>
              <w:rPr>
                <w:sz w:val="20"/>
                <w:szCs w:val="20"/>
                <w:color w:val="auto"/>
              </w:rPr>
            </w:pPr>
            <w:r>
              <w:rPr>
                <w:rFonts w:ascii="Arial" w:cs="Arial" w:eastAsia="Arial" w:hAnsi="Arial"/>
                <w:sz w:val="12"/>
                <w:szCs w:val="12"/>
                <w:color w:val="auto"/>
              </w:rPr>
              <w:t>Prepaid expenses and other current assets</w:t>
            </w:r>
          </w:p>
        </w:tc>
        <w:tc>
          <w:tcPr>
            <w:tcW w:w="9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(1,969)</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(2,323)</w:t>
            </w:r>
          </w:p>
        </w:tc>
        <w:tc>
          <w:tcPr>
            <w:tcW w:w="0" w:type="dxa"/>
            <w:vAlign w:val="bottom"/>
          </w:tcPr>
          <w:p>
            <w:pPr>
              <w:spacing w:after="0"/>
              <w:rPr>
                <w:sz w:val="1"/>
                <w:szCs w:val="1"/>
                <w:color w:val="auto"/>
              </w:rPr>
            </w:pPr>
          </w:p>
        </w:tc>
      </w:tr>
      <w:tr>
        <w:trPr>
          <w:trHeight w:val="153"/>
        </w:trPr>
        <w:tc>
          <w:tcPr>
            <w:tcW w:w="8460" w:type="dxa"/>
            <w:vAlign w:val="bottom"/>
            <w:shd w:val="clear" w:color="auto" w:fill="B7E5FF"/>
          </w:tcPr>
          <w:p>
            <w:pPr>
              <w:ind w:left="220"/>
              <w:spacing w:after="0"/>
              <w:rPr>
                <w:sz w:val="20"/>
                <w:szCs w:val="20"/>
                <w:color w:val="auto"/>
              </w:rPr>
            </w:pPr>
            <w:r>
              <w:rPr>
                <w:rFonts w:ascii="Arial" w:cs="Arial" w:eastAsia="Arial" w:hAnsi="Arial"/>
                <w:sz w:val="12"/>
                <w:szCs w:val="12"/>
                <w:color w:val="auto"/>
              </w:rPr>
              <w:t>Accounts payable and accrued liabilities</w:t>
            </w:r>
          </w:p>
        </w:tc>
        <w:tc>
          <w:tcPr>
            <w:tcW w:w="900" w:type="dxa"/>
            <w:vAlign w:val="bottom"/>
            <w:tcBorders>
              <w:bottom w:val="single" w:sz="8" w:color="auto"/>
            </w:tcBorders>
            <w:shd w:val="clear" w:color="auto" w:fill="B7E5FF"/>
          </w:tcPr>
          <w:p>
            <w:pPr>
              <w:spacing w:after="0"/>
              <w:rPr>
                <w:sz w:val="13"/>
                <w:szCs w:val="13"/>
                <w:color w:val="auto"/>
              </w:rPr>
            </w:pPr>
          </w:p>
        </w:tc>
        <w:tc>
          <w:tcPr>
            <w:tcW w:w="5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(2,945)</w:t>
            </w:r>
          </w:p>
        </w:tc>
        <w:tc>
          <w:tcPr>
            <w:tcW w:w="220" w:type="dxa"/>
            <w:vAlign w:val="bottom"/>
            <w:shd w:val="clear" w:color="auto" w:fill="B7E5FF"/>
          </w:tcPr>
          <w:p>
            <w:pPr>
              <w:spacing w:after="0"/>
              <w:rPr>
                <w:sz w:val="13"/>
                <w:szCs w:val="13"/>
                <w:color w:val="auto"/>
              </w:rPr>
            </w:pPr>
          </w:p>
        </w:tc>
        <w:tc>
          <w:tcPr>
            <w:tcW w:w="900" w:type="dxa"/>
            <w:vAlign w:val="bottom"/>
            <w:tcBorders>
              <w:bottom w:val="single" w:sz="8" w:color="auto"/>
            </w:tcBorders>
            <w:shd w:val="clear" w:color="auto" w:fill="B7E5FF"/>
          </w:tcPr>
          <w:p>
            <w:pPr>
              <w:spacing w:after="0"/>
              <w:rPr>
                <w:sz w:val="13"/>
                <w:szCs w:val="13"/>
                <w:color w:val="auto"/>
              </w:rPr>
            </w:pPr>
          </w:p>
        </w:tc>
        <w:tc>
          <w:tcPr>
            <w:tcW w:w="5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1,407</w:t>
            </w:r>
          </w:p>
        </w:tc>
        <w:tc>
          <w:tcPr>
            <w:tcW w:w="0" w:type="dxa"/>
            <w:vAlign w:val="bottom"/>
          </w:tcPr>
          <w:p>
            <w:pPr>
              <w:spacing w:after="0"/>
              <w:rPr>
                <w:sz w:val="1"/>
                <w:szCs w:val="1"/>
                <w:color w:val="auto"/>
              </w:rPr>
            </w:pPr>
          </w:p>
        </w:tc>
      </w:tr>
      <w:tr>
        <w:trPr>
          <w:trHeight w:val="133"/>
        </w:trPr>
        <w:tc>
          <w:tcPr>
            <w:tcW w:w="8460" w:type="dxa"/>
            <w:vAlign w:val="bottom"/>
            <w:tcBorders>
              <w:bottom w:val="single" w:sz="8" w:color="B7E5FF"/>
            </w:tcBorders>
          </w:tcPr>
          <w:p>
            <w:pPr>
              <w:ind w:left="320"/>
              <w:spacing w:after="0" w:line="133" w:lineRule="exact"/>
              <w:rPr>
                <w:sz w:val="20"/>
                <w:szCs w:val="20"/>
                <w:color w:val="auto"/>
              </w:rPr>
            </w:pPr>
            <w:r>
              <w:rPr>
                <w:rFonts w:ascii="Arial" w:cs="Arial" w:eastAsia="Arial" w:hAnsi="Arial"/>
                <w:sz w:val="12"/>
                <w:szCs w:val="12"/>
                <w:color w:val="auto"/>
              </w:rPr>
              <w:t>Net cash provided by operating activities</w:t>
            </w:r>
          </w:p>
        </w:tc>
        <w:tc>
          <w:tcPr>
            <w:tcW w:w="9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22,409</w:t>
            </w:r>
          </w:p>
        </w:tc>
        <w:tc>
          <w:tcPr>
            <w:tcW w:w="220" w:type="dxa"/>
            <w:vAlign w:val="bottom"/>
            <w:tcBorders>
              <w:bottom w:val="single" w:sz="8" w:color="B7E5FF"/>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19,733</w:t>
            </w:r>
          </w:p>
        </w:tc>
        <w:tc>
          <w:tcPr>
            <w:tcW w:w="0" w:type="dxa"/>
            <w:vAlign w:val="bottom"/>
          </w:tcPr>
          <w:p>
            <w:pPr>
              <w:spacing w:after="0"/>
              <w:rPr>
                <w:sz w:val="1"/>
                <w:szCs w:val="1"/>
                <w:color w:val="auto"/>
              </w:rPr>
            </w:pPr>
          </w:p>
        </w:tc>
      </w:tr>
      <w:tr>
        <w:trPr>
          <w:trHeight w:val="133"/>
        </w:trPr>
        <w:tc>
          <w:tcPr>
            <w:tcW w:w="8460" w:type="dxa"/>
            <w:vAlign w:val="bottom"/>
            <w:shd w:val="clear" w:color="auto" w:fill="B7E5FF"/>
          </w:tcPr>
          <w:p>
            <w:pPr>
              <w:spacing w:after="0"/>
              <w:rPr>
                <w:sz w:val="11"/>
                <w:szCs w:val="11"/>
                <w:color w:val="auto"/>
              </w:rPr>
            </w:pPr>
          </w:p>
        </w:tc>
        <w:tc>
          <w:tcPr>
            <w:tcW w:w="900" w:type="dxa"/>
            <w:vAlign w:val="bottom"/>
            <w:shd w:val="clear" w:color="auto" w:fill="B7E5FF"/>
          </w:tcPr>
          <w:p>
            <w:pPr>
              <w:spacing w:after="0"/>
              <w:rPr>
                <w:sz w:val="11"/>
                <w:szCs w:val="11"/>
                <w:color w:val="auto"/>
              </w:rPr>
            </w:pPr>
          </w:p>
        </w:tc>
        <w:tc>
          <w:tcPr>
            <w:tcW w:w="500" w:type="dxa"/>
            <w:vAlign w:val="bottom"/>
            <w:shd w:val="clear" w:color="auto" w:fill="B7E5FF"/>
          </w:tcPr>
          <w:p>
            <w:pPr>
              <w:spacing w:after="0"/>
              <w:rPr>
                <w:sz w:val="11"/>
                <w:szCs w:val="11"/>
                <w:color w:val="auto"/>
              </w:rPr>
            </w:pPr>
          </w:p>
        </w:tc>
        <w:tc>
          <w:tcPr>
            <w:tcW w:w="220" w:type="dxa"/>
            <w:vAlign w:val="bottom"/>
            <w:shd w:val="clear" w:color="auto" w:fill="B7E5FF"/>
          </w:tcPr>
          <w:p>
            <w:pPr>
              <w:spacing w:after="0"/>
              <w:rPr>
                <w:sz w:val="11"/>
                <w:szCs w:val="11"/>
                <w:color w:val="auto"/>
              </w:rPr>
            </w:pPr>
          </w:p>
        </w:tc>
        <w:tc>
          <w:tcPr>
            <w:tcW w:w="900" w:type="dxa"/>
            <w:vAlign w:val="bottom"/>
            <w:shd w:val="clear" w:color="auto" w:fill="B7E5FF"/>
          </w:tcPr>
          <w:p>
            <w:pPr>
              <w:spacing w:after="0"/>
              <w:rPr>
                <w:sz w:val="11"/>
                <w:szCs w:val="11"/>
                <w:color w:val="auto"/>
              </w:rPr>
            </w:pPr>
          </w:p>
        </w:tc>
        <w:tc>
          <w:tcPr>
            <w:tcW w:w="500" w:type="dxa"/>
            <w:vAlign w:val="bottom"/>
            <w:shd w:val="clear" w:color="auto" w:fill="B7E5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460" w:type="dxa"/>
            <w:vAlign w:val="bottom"/>
          </w:tcPr>
          <w:p>
            <w:pPr>
              <w:spacing w:after="0"/>
              <w:rPr>
                <w:sz w:val="20"/>
                <w:szCs w:val="20"/>
                <w:color w:val="auto"/>
              </w:rPr>
            </w:pPr>
            <w:r>
              <w:rPr>
                <w:rFonts w:ascii="Arial" w:cs="Arial" w:eastAsia="Arial" w:hAnsi="Arial"/>
                <w:sz w:val="12"/>
                <w:szCs w:val="12"/>
                <w:color w:val="auto"/>
              </w:rPr>
              <w:t>Cash flows from investing activities</w:t>
            </w: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60" w:type="dxa"/>
            <w:vAlign w:val="bottom"/>
            <w:shd w:val="clear" w:color="auto" w:fill="B7E5FF"/>
          </w:tcPr>
          <w:p>
            <w:pPr>
              <w:ind w:left="220"/>
              <w:spacing w:after="0"/>
              <w:rPr>
                <w:sz w:val="20"/>
                <w:szCs w:val="20"/>
                <w:color w:val="auto"/>
              </w:rPr>
            </w:pPr>
            <w:r>
              <w:rPr>
                <w:rFonts w:ascii="Arial" w:cs="Arial" w:eastAsia="Arial" w:hAnsi="Arial"/>
                <w:sz w:val="12"/>
                <w:szCs w:val="12"/>
                <w:color w:val="auto"/>
              </w:rPr>
              <w:t>Investments in property, plant and equipment</w:t>
            </w:r>
          </w:p>
        </w:tc>
        <w:tc>
          <w:tcPr>
            <w:tcW w:w="900" w:type="dxa"/>
            <w:vAlign w:val="bottom"/>
            <w:shd w:val="clear" w:color="auto" w:fill="B7E5FF"/>
          </w:tcPr>
          <w:p>
            <w:pPr>
              <w:spacing w:after="0"/>
              <w:rPr>
                <w:sz w:val="13"/>
                <w:szCs w:val="13"/>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(5,544)</w:t>
            </w:r>
          </w:p>
        </w:tc>
        <w:tc>
          <w:tcPr>
            <w:tcW w:w="220" w:type="dxa"/>
            <w:vAlign w:val="bottom"/>
            <w:shd w:val="clear" w:color="auto" w:fill="B7E5FF"/>
          </w:tcPr>
          <w:p>
            <w:pPr>
              <w:spacing w:after="0"/>
              <w:rPr>
                <w:sz w:val="13"/>
                <w:szCs w:val="13"/>
                <w:color w:val="auto"/>
              </w:rPr>
            </w:pPr>
          </w:p>
        </w:tc>
        <w:tc>
          <w:tcPr>
            <w:tcW w:w="900" w:type="dxa"/>
            <w:vAlign w:val="bottom"/>
            <w:shd w:val="clear" w:color="auto" w:fill="B7E5FF"/>
          </w:tcPr>
          <w:p>
            <w:pPr>
              <w:spacing w:after="0"/>
              <w:rPr>
                <w:sz w:val="13"/>
                <w:szCs w:val="13"/>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(5,622)</w:t>
            </w:r>
          </w:p>
        </w:tc>
        <w:tc>
          <w:tcPr>
            <w:tcW w:w="0" w:type="dxa"/>
            <w:vAlign w:val="bottom"/>
          </w:tcPr>
          <w:p>
            <w:pPr>
              <w:spacing w:after="0"/>
              <w:rPr>
                <w:sz w:val="1"/>
                <w:szCs w:val="1"/>
                <w:color w:val="auto"/>
              </w:rPr>
            </w:pPr>
          </w:p>
        </w:tc>
      </w:tr>
      <w:tr>
        <w:trPr>
          <w:trHeight w:val="153"/>
        </w:trPr>
        <w:tc>
          <w:tcPr>
            <w:tcW w:w="8460" w:type="dxa"/>
            <w:vAlign w:val="bottom"/>
          </w:tcPr>
          <w:p>
            <w:pPr>
              <w:ind w:left="220"/>
              <w:spacing w:after="0"/>
              <w:rPr>
                <w:sz w:val="20"/>
                <w:szCs w:val="20"/>
                <w:color w:val="auto"/>
              </w:rPr>
            </w:pPr>
            <w:r>
              <w:rPr>
                <w:rFonts w:ascii="Arial" w:cs="Arial" w:eastAsia="Arial" w:hAnsi="Arial"/>
                <w:sz w:val="12"/>
                <w:szCs w:val="12"/>
                <w:color w:val="auto"/>
              </w:rPr>
              <w:t>Payments related to acquisitions, net of cash acquired</w:t>
            </w:r>
          </w:p>
        </w:tc>
        <w:tc>
          <w:tcPr>
            <w:tcW w:w="9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(500)</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(500)</w:t>
            </w:r>
          </w:p>
        </w:tc>
        <w:tc>
          <w:tcPr>
            <w:tcW w:w="0" w:type="dxa"/>
            <w:vAlign w:val="bottom"/>
          </w:tcPr>
          <w:p>
            <w:pPr>
              <w:spacing w:after="0"/>
              <w:rPr>
                <w:sz w:val="1"/>
                <w:szCs w:val="1"/>
                <w:color w:val="auto"/>
              </w:rPr>
            </w:pPr>
          </w:p>
        </w:tc>
      </w:tr>
      <w:tr>
        <w:trPr>
          <w:trHeight w:val="153"/>
        </w:trPr>
        <w:tc>
          <w:tcPr>
            <w:tcW w:w="8460" w:type="dxa"/>
            <w:vAlign w:val="bottom"/>
            <w:shd w:val="clear" w:color="auto" w:fill="B7E5FF"/>
          </w:tcPr>
          <w:p>
            <w:pPr>
              <w:ind w:left="220"/>
              <w:spacing w:after="0"/>
              <w:rPr>
                <w:sz w:val="20"/>
                <w:szCs w:val="20"/>
                <w:color w:val="auto"/>
              </w:rPr>
            </w:pPr>
            <w:r>
              <w:rPr>
                <w:rFonts w:ascii="Arial" w:cs="Arial" w:eastAsia="Arial" w:hAnsi="Arial"/>
                <w:sz w:val="12"/>
                <w:szCs w:val="12"/>
                <w:color w:val="auto"/>
              </w:rPr>
              <w:t>Proceeds from disposition of assets</w:t>
            </w:r>
          </w:p>
        </w:tc>
        <w:tc>
          <w:tcPr>
            <w:tcW w:w="900" w:type="dxa"/>
            <w:vAlign w:val="bottom"/>
            <w:shd w:val="clear" w:color="auto" w:fill="B7E5FF"/>
          </w:tcPr>
          <w:p>
            <w:pPr>
              <w:spacing w:after="0"/>
              <w:rPr>
                <w:sz w:val="13"/>
                <w:szCs w:val="13"/>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70</w:t>
            </w:r>
          </w:p>
        </w:tc>
        <w:tc>
          <w:tcPr>
            <w:tcW w:w="220" w:type="dxa"/>
            <w:vAlign w:val="bottom"/>
            <w:shd w:val="clear" w:color="auto" w:fill="B7E5FF"/>
          </w:tcPr>
          <w:p>
            <w:pPr>
              <w:spacing w:after="0"/>
              <w:rPr>
                <w:sz w:val="13"/>
                <w:szCs w:val="13"/>
                <w:color w:val="auto"/>
              </w:rPr>
            </w:pPr>
          </w:p>
        </w:tc>
        <w:tc>
          <w:tcPr>
            <w:tcW w:w="900" w:type="dxa"/>
            <w:vAlign w:val="bottom"/>
            <w:shd w:val="clear" w:color="auto" w:fill="B7E5FF"/>
          </w:tcPr>
          <w:p>
            <w:pPr>
              <w:spacing w:after="0"/>
              <w:rPr>
                <w:sz w:val="13"/>
                <w:szCs w:val="13"/>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668</w:t>
            </w:r>
          </w:p>
        </w:tc>
        <w:tc>
          <w:tcPr>
            <w:tcW w:w="0" w:type="dxa"/>
            <w:vAlign w:val="bottom"/>
          </w:tcPr>
          <w:p>
            <w:pPr>
              <w:spacing w:after="0"/>
              <w:rPr>
                <w:sz w:val="1"/>
                <w:szCs w:val="1"/>
                <w:color w:val="auto"/>
              </w:rPr>
            </w:pPr>
          </w:p>
        </w:tc>
      </w:tr>
      <w:tr>
        <w:trPr>
          <w:trHeight w:val="153"/>
        </w:trPr>
        <w:tc>
          <w:tcPr>
            <w:tcW w:w="8460" w:type="dxa"/>
            <w:vAlign w:val="bottom"/>
            <w:tcBorders>
              <w:bottom w:val="single" w:sz="8" w:color="B7E5FF"/>
            </w:tcBorders>
          </w:tcPr>
          <w:p>
            <w:pPr>
              <w:ind w:left="220"/>
              <w:spacing w:after="0"/>
              <w:rPr>
                <w:sz w:val="20"/>
                <w:szCs w:val="20"/>
                <w:color w:val="auto"/>
              </w:rPr>
            </w:pPr>
            <w:r>
              <w:rPr>
                <w:rFonts w:ascii="Arial" w:cs="Arial" w:eastAsia="Arial" w:hAnsi="Arial"/>
                <w:sz w:val="12"/>
                <w:szCs w:val="12"/>
                <w:color w:val="auto"/>
              </w:rPr>
              <w:t>Insurance settlement interest earned</w:t>
            </w:r>
          </w:p>
        </w:tc>
        <w:tc>
          <w:tcPr>
            <w:tcW w:w="9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131</w:t>
            </w:r>
          </w:p>
        </w:tc>
        <w:tc>
          <w:tcPr>
            <w:tcW w:w="220" w:type="dxa"/>
            <w:vAlign w:val="bottom"/>
            <w:tcBorders>
              <w:bottom w:val="single" w:sz="8" w:color="B7E5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133"/>
        </w:trPr>
        <w:tc>
          <w:tcPr>
            <w:tcW w:w="8460" w:type="dxa"/>
            <w:vAlign w:val="bottom"/>
            <w:shd w:val="clear" w:color="auto" w:fill="B7E5FF"/>
          </w:tcPr>
          <w:p>
            <w:pPr>
              <w:ind w:left="320"/>
              <w:spacing w:after="0" w:line="133" w:lineRule="exact"/>
              <w:rPr>
                <w:sz w:val="20"/>
                <w:szCs w:val="20"/>
                <w:color w:val="auto"/>
              </w:rPr>
            </w:pPr>
            <w:r>
              <w:rPr>
                <w:rFonts w:ascii="Arial" w:cs="Arial" w:eastAsia="Arial" w:hAnsi="Arial"/>
                <w:sz w:val="12"/>
                <w:szCs w:val="12"/>
                <w:color w:val="auto"/>
              </w:rPr>
              <w:t>Net cash used in investing activities</w:t>
            </w:r>
          </w:p>
        </w:tc>
        <w:tc>
          <w:tcPr>
            <w:tcW w:w="900" w:type="dxa"/>
            <w:vAlign w:val="bottom"/>
            <w:tcBorders>
              <w:bottom w:val="single" w:sz="8" w:color="auto"/>
            </w:tcBorders>
            <w:shd w:val="clear" w:color="auto" w:fill="B7E5FF"/>
          </w:tcPr>
          <w:p>
            <w:pPr>
              <w:spacing w:after="0"/>
              <w:rPr>
                <w:sz w:val="11"/>
                <w:szCs w:val="11"/>
                <w:color w:val="auto"/>
              </w:rPr>
            </w:pPr>
          </w:p>
        </w:tc>
        <w:tc>
          <w:tcPr>
            <w:tcW w:w="5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(5,843)</w:t>
            </w:r>
          </w:p>
        </w:tc>
        <w:tc>
          <w:tcPr>
            <w:tcW w:w="220" w:type="dxa"/>
            <w:vAlign w:val="bottom"/>
            <w:shd w:val="clear" w:color="auto" w:fill="B7E5FF"/>
          </w:tcPr>
          <w:p>
            <w:pPr>
              <w:spacing w:after="0"/>
              <w:rPr>
                <w:sz w:val="11"/>
                <w:szCs w:val="11"/>
                <w:color w:val="auto"/>
              </w:rPr>
            </w:pPr>
          </w:p>
        </w:tc>
        <w:tc>
          <w:tcPr>
            <w:tcW w:w="900" w:type="dxa"/>
            <w:vAlign w:val="bottom"/>
            <w:tcBorders>
              <w:bottom w:val="single" w:sz="8" w:color="auto"/>
            </w:tcBorders>
            <w:shd w:val="clear" w:color="auto" w:fill="B7E5FF"/>
          </w:tcPr>
          <w:p>
            <w:pPr>
              <w:spacing w:after="0"/>
              <w:rPr>
                <w:sz w:val="11"/>
                <w:szCs w:val="11"/>
                <w:color w:val="auto"/>
              </w:rPr>
            </w:pPr>
          </w:p>
        </w:tc>
        <w:tc>
          <w:tcPr>
            <w:tcW w:w="5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(5,407)</w:t>
            </w:r>
          </w:p>
        </w:tc>
        <w:tc>
          <w:tcPr>
            <w:tcW w:w="0" w:type="dxa"/>
            <w:vAlign w:val="bottom"/>
          </w:tcPr>
          <w:p>
            <w:pPr>
              <w:spacing w:after="0"/>
              <w:rPr>
                <w:sz w:val="1"/>
                <w:szCs w:val="1"/>
                <w:color w:val="auto"/>
              </w:rPr>
            </w:pPr>
          </w:p>
        </w:tc>
      </w:tr>
      <w:tr>
        <w:trPr>
          <w:trHeight w:val="133"/>
        </w:trPr>
        <w:tc>
          <w:tcPr>
            <w:tcW w:w="8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460" w:type="dxa"/>
            <w:vAlign w:val="bottom"/>
            <w:shd w:val="clear" w:color="auto" w:fill="B7E5FF"/>
          </w:tcPr>
          <w:p>
            <w:pPr>
              <w:spacing w:after="0"/>
              <w:rPr>
                <w:sz w:val="20"/>
                <w:szCs w:val="20"/>
                <w:color w:val="auto"/>
              </w:rPr>
            </w:pPr>
            <w:r>
              <w:rPr>
                <w:rFonts w:ascii="Arial" w:cs="Arial" w:eastAsia="Arial" w:hAnsi="Arial"/>
                <w:sz w:val="12"/>
                <w:szCs w:val="12"/>
                <w:color w:val="auto"/>
              </w:rPr>
              <w:t>Cash flows from financing activities</w:t>
            </w:r>
          </w:p>
        </w:tc>
        <w:tc>
          <w:tcPr>
            <w:tcW w:w="900" w:type="dxa"/>
            <w:vAlign w:val="bottom"/>
            <w:shd w:val="clear" w:color="auto" w:fill="B7E5FF"/>
          </w:tcPr>
          <w:p>
            <w:pPr>
              <w:spacing w:after="0"/>
              <w:rPr>
                <w:sz w:val="13"/>
                <w:szCs w:val="13"/>
                <w:color w:val="auto"/>
              </w:rPr>
            </w:pPr>
          </w:p>
        </w:tc>
        <w:tc>
          <w:tcPr>
            <w:tcW w:w="500" w:type="dxa"/>
            <w:vAlign w:val="bottom"/>
            <w:shd w:val="clear" w:color="auto" w:fill="B7E5FF"/>
          </w:tcPr>
          <w:p>
            <w:pPr>
              <w:spacing w:after="0"/>
              <w:rPr>
                <w:sz w:val="13"/>
                <w:szCs w:val="13"/>
                <w:color w:val="auto"/>
              </w:rPr>
            </w:pPr>
          </w:p>
        </w:tc>
        <w:tc>
          <w:tcPr>
            <w:tcW w:w="220" w:type="dxa"/>
            <w:vAlign w:val="bottom"/>
            <w:shd w:val="clear" w:color="auto" w:fill="B7E5FF"/>
          </w:tcPr>
          <w:p>
            <w:pPr>
              <w:spacing w:after="0"/>
              <w:rPr>
                <w:sz w:val="13"/>
                <w:szCs w:val="13"/>
                <w:color w:val="auto"/>
              </w:rPr>
            </w:pPr>
          </w:p>
        </w:tc>
        <w:tc>
          <w:tcPr>
            <w:tcW w:w="900" w:type="dxa"/>
            <w:vAlign w:val="bottom"/>
            <w:shd w:val="clear" w:color="auto" w:fill="B7E5FF"/>
          </w:tcPr>
          <w:p>
            <w:pPr>
              <w:spacing w:after="0"/>
              <w:rPr>
                <w:sz w:val="13"/>
                <w:szCs w:val="13"/>
                <w:color w:val="auto"/>
              </w:rPr>
            </w:pPr>
          </w:p>
        </w:tc>
        <w:tc>
          <w:tcPr>
            <w:tcW w:w="500" w:type="dxa"/>
            <w:vAlign w:val="bottom"/>
            <w:shd w:val="clear" w:color="auto" w:fill="B7E5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60" w:type="dxa"/>
            <w:vAlign w:val="bottom"/>
          </w:tcPr>
          <w:p>
            <w:pPr>
              <w:ind w:left="220"/>
              <w:spacing w:after="0"/>
              <w:rPr>
                <w:sz w:val="20"/>
                <w:szCs w:val="20"/>
                <w:color w:val="auto"/>
              </w:rPr>
            </w:pPr>
            <w:r>
              <w:rPr>
                <w:rFonts w:ascii="Arial" w:cs="Arial" w:eastAsia="Arial" w:hAnsi="Arial"/>
                <w:sz w:val="12"/>
                <w:szCs w:val="12"/>
                <w:color w:val="auto"/>
              </w:rPr>
              <w:t>Repayments of long-term debt</w:t>
            </w:r>
          </w:p>
        </w:tc>
        <w:tc>
          <w:tcPr>
            <w:tcW w:w="9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(24,040)</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(287)</w:t>
            </w:r>
          </w:p>
        </w:tc>
        <w:tc>
          <w:tcPr>
            <w:tcW w:w="0" w:type="dxa"/>
            <w:vAlign w:val="bottom"/>
          </w:tcPr>
          <w:p>
            <w:pPr>
              <w:spacing w:after="0"/>
              <w:rPr>
                <w:sz w:val="1"/>
                <w:szCs w:val="1"/>
                <w:color w:val="auto"/>
              </w:rPr>
            </w:pPr>
          </w:p>
        </w:tc>
      </w:tr>
      <w:tr>
        <w:trPr>
          <w:trHeight w:val="153"/>
        </w:trPr>
        <w:tc>
          <w:tcPr>
            <w:tcW w:w="8460" w:type="dxa"/>
            <w:vAlign w:val="bottom"/>
            <w:shd w:val="clear" w:color="auto" w:fill="B7E5FF"/>
          </w:tcPr>
          <w:p>
            <w:pPr>
              <w:ind w:left="220"/>
              <w:spacing w:after="0"/>
              <w:rPr>
                <w:sz w:val="20"/>
                <w:szCs w:val="20"/>
                <w:color w:val="auto"/>
              </w:rPr>
            </w:pPr>
            <w:r>
              <w:rPr>
                <w:rFonts w:ascii="Arial" w:cs="Arial" w:eastAsia="Arial" w:hAnsi="Arial"/>
                <w:sz w:val="12"/>
                <w:szCs w:val="12"/>
                <w:color w:val="auto"/>
              </w:rPr>
              <w:t>Dividends paid</w:t>
            </w:r>
          </w:p>
        </w:tc>
        <w:tc>
          <w:tcPr>
            <w:tcW w:w="900" w:type="dxa"/>
            <w:vAlign w:val="bottom"/>
            <w:shd w:val="clear" w:color="auto" w:fill="B7E5FF"/>
          </w:tcPr>
          <w:p>
            <w:pPr>
              <w:spacing w:after="0"/>
              <w:rPr>
                <w:sz w:val="13"/>
                <w:szCs w:val="13"/>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(9,868)</w:t>
            </w:r>
          </w:p>
        </w:tc>
        <w:tc>
          <w:tcPr>
            <w:tcW w:w="220" w:type="dxa"/>
            <w:vAlign w:val="bottom"/>
            <w:shd w:val="clear" w:color="auto" w:fill="B7E5FF"/>
          </w:tcPr>
          <w:p>
            <w:pPr>
              <w:spacing w:after="0"/>
              <w:rPr>
                <w:sz w:val="13"/>
                <w:szCs w:val="13"/>
                <w:color w:val="auto"/>
              </w:rPr>
            </w:pPr>
          </w:p>
        </w:tc>
        <w:tc>
          <w:tcPr>
            <w:tcW w:w="900" w:type="dxa"/>
            <w:vAlign w:val="bottom"/>
            <w:shd w:val="clear" w:color="auto" w:fill="B7E5FF"/>
          </w:tcPr>
          <w:p>
            <w:pPr>
              <w:spacing w:after="0"/>
              <w:rPr>
                <w:sz w:val="13"/>
                <w:szCs w:val="13"/>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(9,453)</w:t>
            </w:r>
          </w:p>
        </w:tc>
        <w:tc>
          <w:tcPr>
            <w:tcW w:w="0" w:type="dxa"/>
            <w:vAlign w:val="bottom"/>
          </w:tcPr>
          <w:p>
            <w:pPr>
              <w:spacing w:after="0"/>
              <w:rPr>
                <w:sz w:val="1"/>
                <w:szCs w:val="1"/>
                <w:color w:val="auto"/>
              </w:rPr>
            </w:pPr>
          </w:p>
        </w:tc>
      </w:tr>
      <w:tr>
        <w:trPr>
          <w:trHeight w:val="153"/>
        </w:trPr>
        <w:tc>
          <w:tcPr>
            <w:tcW w:w="8460" w:type="dxa"/>
            <w:vAlign w:val="bottom"/>
          </w:tcPr>
          <w:p>
            <w:pPr>
              <w:ind w:left="220"/>
              <w:spacing w:after="0"/>
              <w:rPr>
                <w:sz w:val="20"/>
                <w:szCs w:val="20"/>
                <w:color w:val="auto"/>
              </w:rPr>
            </w:pPr>
            <w:r>
              <w:rPr>
                <w:rFonts w:ascii="Arial" w:cs="Arial" w:eastAsia="Arial" w:hAnsi="Arial"/>
                <w:sz w:val="12"/>
                <w:szCs w:val="12"/>
                <w:color w:val="auto"/>
              </w:rPr>
              <w:t>Stock options exercised, other</w:t>
            </w:r>
          </w:p>
        </w:tc>
        <w:tc>
          <w:tcPr>
            <w:tcW w:w="9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(1,374)</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(496)</w:t>
            </w:r>
          </w:p>
        </w:tc>
        <w:tc>
          <w:tcPr>
            <w:tcW w:w="0" w:type="dxa"/>
            <w:vAlign w:val="bottom"/>
          </w:tcPr>
          <w:p>
            <w:pPr>
              <w:spacing w:after="0"/>
              <w:rPr>
                <w:sz w:val="1"/>
                <w:szCs w:val="1"/>
                <w:color w:val="auto"/>
              </w:rPr>
            </w:pPr>
          </w:p>
        </w:tc>
      </w:tr>
      <w:tr>
        <w:trPr>
          <w:trHeight w:val="153"/>
        </w:trPr>
        <w:tc>
          <w:tcPr>
            <w:tcW w:w="8460" w:type="dxa"/>
            <w:vAlign w:val="bottom"/>
            <w:shd w:val="clear" w:color="auto" w:fill="B7E5FF"/>
          </w:tcPr>
          <w:p>
            <w:pPr>
              <w:ind w:left="220"/>
              <w:spacing w:after="0"/>
              <w:rPr>
                <w:sz w:val="20"/>
                <w:szCs w:val="20"/>
                <w:color w:val="auto"/>
              </w:rPr>
            </w:pPr>
            <w:r>
              <w:rPr>
                <w:rFonts w:ascii="Arial" w:cs="Arial" w:eastAsia="Arial" w:hAnsi="Arial"/>
                <w:sz w:val="12"/>
                <w:szCs w:val="12"/>
                <w:color w:val="auto"/>
              </w:rPr>
              <w:t>Distributions to noncontrolling affiliate shareholders</w:t>
            </w:r>
          </w:p>
        </w:tc>
        <w:tc>
          <w:tcPr>
            <w:tcW w:w="900" w:type="dxa"/>
            <w:vAlign w:val="bottom"/>
            <w:shd w:val="clear" w:color="auto" w:fill="B7E5FF"/>
          </w:tcPr>
          <w:p>
            <w:pPr>
              <w:spacing w:after="0"/>
              <w:rPr>
                <w:sz w:val="13"/>
                <w:szCs w:val="13"/>
                <w:color w:val="auto"/>
              </w:rPr>
            </w:pPr>
          </w:p>
        </w:tc>
        <w:tc>
          <w:tcPr>
            <w:tcW w:w="720" w:type="dxa"/>
            <w:vAlign w:val="bottom"/>
            <w:gridSpan w:val="2"/>
            <w:shd w:val="clear" w:color="auto" w:fill="B7E5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shd w:val="clear" w:color="auto" w:fill="B7E5FF"/>
          </w:tcPr>
          <w:p>
            <w:pPr>
              <w:spacing w:after="0"/>
              <w:rPr>
                <w:sz w:val="13"/>
                <w:szCs w:val="13"/>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(834)</w:t>
            </w:r>
          </w:p>
        </w:tc>
        <w:tc>
          <w:tcPr>
            <w:tcW w:w="0" w:type="dxa"/>
            <w:vAlign w:val="bottom"/>
          </w:tcPr>
          <w:p>
            <w:pPr>
              <w:spacing w:after="0"/>
              <w:rPr>
                <w:sz w:val="1"/>
                <w:szCs w:val="1"/>
                <w:color w:val="auto"/>
              </w:rPr>
            </w:pPr>
          </w:p>
        </w:tc>
      </w:tr>
      <w:tr>
        <w:trPr>
          <w:trHeight w:val="133"/>
        </w:trPr>
        <w:tc>
          <w:tcPr>
            <w:tcW w:w="8460" w:type="dxa"/>
            <w:vAlign w:val="bottom"/>
            <w:tcBorders>
              <w:bottom w:val="single" w:sz="8" w:color="B7E5FF"/>
            </w:tcBorders>
          </w:tcPr>
          <w:p>
            <w:pPr>
              <w:ind w:left="320"/>
              <w:spacing w:after="0" w:line="133" w:lineRule="exact"/>
              <w:rPr>
                <w:sz w:val="20"/>
                <w:szCs w:val="20"/>
                <w:color w:val="auto"/>
              </w:rPr>
            </w:pPr>
            <w:r>
              <w:rPr>
                <w:rFonts w:ascii="Arial" w:cs="Arial" w:eastAsia="Arial" w:hAnsi="Arial"/>
                <w:sz w:val="12"/>
                <w:szCs w:val="12"/>
                <w:color w:val="auto"/>
              </w:rPr>
              <w:t>Net cash used in financing activities</w:t>
            </w:r>
          </w:p>
        </w:tc>
        <w:tc>
          <w:tcPr>
            <w:tcW w:w="90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(35,282)</w:t>
            </w:r>
          </w:p>
        </w:tc>
        <w:tc>
          <w:tcPr>
            <w:tcW w:w="220" w:type="dxa"/>
            <w:vAlign w:val="bottom"/>
            <w:tcBorders>
              <w:bottom w:val="single" w:sz="8" w:color="B7E5FF"/>
            </w:tcBorders>
          </w:tcPr>
          <w:p>
            <w:pPr>
              <w:spacing w:after="0"/>
              <w:rPr>
                <w:sz w:val="11"/>
                <w:szCs w:val="11"/>
                <w:color w:val="auto"/>
              </w:rPr>
            </w:pPr>
          </w:p>
        </w:tc>
        <w:tc>
          <w:tcPr>
            <w:tcW w:w="90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(11,070)</w:t>
            </w:r>
          </w:p>
        </w:tc>
        <w:tc>
          <w:tcPr>
            <w:tcW w:w="0" w:type="dxa"/>
            <w:vAlign w:val="bottom"/>
          </w:tcPr>
          <w:p>
            <w:pPr>
              <w:spacing w:after="0"/>
              <w:rPr>
                <w:sz w:val="1"/>
                <w:szCs w:val="1"/>
                <w:color w:val="auto"/>
              </w:rPr>
            </w:pPr>
          </w:p>
        </w:tc>
      </w:tr>
      <w:tr>
        <w:trPr>
          <w:trHeight w:val="133"/>
        </w:trPr>
        <w:tc>
          <w:tcPr>
            <w:tcW w:w="8460" w:type="dxa"/>
            <w:vAlign w:val="bottom"/>
            <w:shd w:val="clear" w:color="auto" w:fill="B7E5FF"/>
          </w:tcPr>
          <w:p>
            <w:pPr>
              <w:spacing w:after="0"/>
              <w:rPr>
                <w:sz w:val="11"/>
                <w:szCs w:val="11"/>
                <w:color w:val="auto"/>
              </w:rPr>
            </w:pPr>
          </w:p>
        </w:tc>
        <w:tc>
          <w:tcPr>
            <w:tcW w:w="900" w:type="dxa"/>
            <w:vAlign w:val="bottom"/>
            <w:tcBorders>
              <w:bottom w:val="single" w:sz="8" w:color="auto"/>
            </w:tcBorders>
            <w:shd w:val="clear" w:color="auto" w:fill="B7E5FF"/>
          </w:tcPr>
          <w:p>
            <w:pPr>
              <w:spacing w:after="0"/>
              <w:rPr>
                <w:sz w:val="11"/>
                <w:szCs w:val="11"/>
                <w:color w:val="auto"/>
              </w:rPr>
            </w:pPr>
          </w:p>
        </w:tc>
        <w:tc>
          <w:tcPr>
            <w:tcW w:w="500" w:type="dxa"/>
            <w:vAlign w:val="bottom"/>
            <w:tcBorders>
              <w:bottom w:val="single" w:sz="8" w:color="auto"/>
            </w:tcBorders>
            <w:shd w:val="clear" w:color="auto" w:fill="B7E5FF"/>
          </w:tcPr>
          <w:p>
            <w:pPr>
              <w:spacing w:after="0"/>
              <w:rPr>
                <w:sz w:val="11"/>
                <w:szCs w:val="11"/>
                <w:color w:val="auto"/>
              </w:rPr>
            </w:pPr>
          </w:p>
        </w:tc>
        <w:tc>
          <w:tcPr>
            <w:tcW w:w="220" w:type="dxa"/>
            <w:vAlign w:val="bottom"/>
            <w:shd w:val="clear" w:color="auto" w:fill="B7E5FF"/>
          </w:tcPr>
          <w:p>
            <w:pPr>
              <w:spacing w:after="0"/>
              <w:rPr>
                <w:sz w:val="11"/>
                <w:szCs w:val="11"/>
                <w:color w:val="auto"/>
              </w:rPr>
            </w:pPr>
          </w:p>
        </w:tc>
        <w:tc>
          <w:tcPr>
            <w:tcW w:w="900" w:type="dxa"/>
            <w:vAlign w:val="bottom"/>
            <w:tcBorders>
              <w:bottom w:val="single" w:sz="8" w:color="auto"/>
            </w:tcBorders>
            <w:shd w:val="clear" w:color="auto" w:fill="B7E5FF"/>
          </w:tcPr>
          <w:p>
            <w:pPr>
              <w:spacing w:after="0"/>
              <w:rPr>
                <w:sz w:val="11"/>
                <w:szCs w:val="11"/>
                <w:color w:val="auto"/>
              </w:rPr>
            </w:pPr>
          </w:p>
        </w:tc>
        <w:tc>
          <w:tcPr>
            <w:tcW w:w="500" w:type="dxa"/>
            <w:vAlign w:val="bottom"/>
            <w:tcBorders>
              <w:bottom w:val="single" w:sz="8" w:color="auto"/>
            </w:tcBorders>
            <w:shd w:val="clear" w:color="auto" w:fill="B7E5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460" w:type="dxa"/>
            <w:vAlign w:val="bottom"/>
            <w:tcBorders>
              <w:bottom w:val="single" w:sz="8" w:color="B7E5FF"/>
            </w:tcBorders>
          </w:tcPr>
          <w:p>
            <w:pPr>
              <w:ind w:left="320"/>
              <w:spacing w:after="0" w:line="133" w:lineRule="exact"/>
              <w:rPr>
                <w:sz w:val="20"/>
                <w:szCs w:val="20"/>
                <w:color w:val="auto"/>
              </w:rPr>
            </w:pPr>
            <w:r>
              <w:rPr>
                <w:rFonts w:ascii="Arial" w:cs="Arial" w:eastAsia="Arial" w:hAnsi="Arial"/>
                <w:sz w:val="12"/>
                <w:szCs w:val="12"/>
                <w:color w:val="auto"/>
              </w:rPr>
              <w:t>Effect of foreign exchange rate changes on cash</w:t>
            </w:r>
          </w:p>
        </w:tc>
        <w:tc>
          <w:tcPr>
            <w:tcW w:w="9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749</w:t>
            </w:r>
          </w:p>
        </w:tc>
        <w:tc>
          <w:tcPr>
            <w:tcW w:w="220" w:type="dxa"/>
            <w:vAlign w:val="bottom"/>
            <w:tcBorders>
              <w:bottom w:val="single" w:sz="8" w:color="B7E5FF"/>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(3,346)</w:t>
            </w:r>
          </w:p>
        </w:tc>
        <w:tc>
          <w:tcPr>
            <w:tcW w:w="0" w:type="dxa"/>
            <w:vAlign w:val="bottom"/>
          </w:tcPr>
          <w:p>
            <w:pPr>
              <w:spacing w:after="0"/>
              <w:rPr>
                <w:sz w:val="1"/>
                <w:szCs w:val="1"/>
                <w:color w:val="auto"/>
              </w:rPr>
            </w:pPr>
          </w:p>
        </w:tc>
      </w:tr>
      <w:tr>
        <w:trPr>
          <w:trHeight w:val="133"/>
        </w:trPr>
        <w:tc>
          <w:tcPr>
            <w:tcW w:w="8460" w:type="dxa"/>
            <w:vAlign w:val="bottom"/>
            <w:shd w:val="clear" w:color="auto" w:fill="B7E5FF"/>
          </w:tcPr>
          <w:p>
            <w:pPr>
              <w:spacing w:after="0"/>
              <w:rPr>
                <w:sz w:val="11"/>
                <w:szCs w:val="11"/>
                <w:color w:val="auto"/>
              </w:rPr>
            </w:pPr>
          </w:p>
        </w:tc>
        <w:tc>
          <w:tcPr>
            <w:tcW w:w="900" w:type="dxa"/>
            <w:vAlign w:val="bottom"/>
            <w:shd w:val="clear" w:color="auto" w:fill="B7E5FF"/>
          </w:tcPr>
          <w:p>
            <w:pPr>
              <w:spacing w:after="0"/>
              <w:rPr>
                <w:sz w:val="11"/>
                <w:szCs w:val="11"/>
                <w:color w:val="auto"/>
              </w:rPr>
            </w:pPr>
          </w:p>
        </w:tc>
        <w:tc>
          <w:tcPr>
            <w:tcW w:w="500" w:type="dxa"/>
            <w:vAlign w:val="bottom"/>
            <w:shd w:val="clear" w:color="auto" w:fill="B7E5FF"/>
          </w:tcPr>
          <w:p>
            <w:pPr>
              <w:spacing w:after="0"/>
              <w:rPr>
                <w:sz w:val="11"/>
                <w:szCs w:val="11"/>
                <w:color w:val="auto"/>
              </w:rPr>
            </w:pPr>
          </w:p>
        </w:tc>
        <w:tc>
          <w:tcPr>
            <w:tcW w:w="220" w:type="dxa"/>
            <w:vAlign w:val="bottom"/>
            <w:shd w:val="clear" w:color="auto" w:fill="B7E5FF"/>
          </w:tcPr>
          <w:p>
            <w:pPr>
              <w:spacing w:after="0"/>
              <w:rPr>
                <w:sz w:val="11"/>
                <w:szCs w:val="11"/>
                <w:color w:val="auto"/>
              </w:rPr>
            </w:pPr>
          </w:p>
        </w:tc>
        <w:tc>
          <w:tcPr>
            <w:tcW w:w="900" w:type="dxa"/>
            <w:vAlign w:val="bottom"/>
            <w:shd w:val="clear" w:color="auto" w:fill="B7E5FF"/>
          </w:tcPr>
          <w:p>
            <w:pPr>
              <w:spacing w:after="0"/>
              <w:rPr>
                <w:sz w:val="11"/>
                <w:szCs w:val="11"/>
                <w:color w:val="auto"/>
              </w:rPr>
            </w:pPr>
          </w:p>
        </w:tc>
        <w:tc>
          <w:tcPr>
            <w:tcW w:w="500" w:type="dxa"/>
            <w:vAlign w:val="bottom"/>
            <w:shd w:val="clear" w:color="auto" w:fill="B7E5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460" w:type="dxa"/>
            <w:vAlign w:val="bottom"/>
          </w:tcPr>
          <w:p>
            <w:pPr>
              <w:spacing w:after="0"/>
              <w:rPr>
                <w:sz w:val="20"/>
                <w:szCs w:val="20"/>
                <w:color w:val="auto"/>
              </w:rPr>
            </w:pPr>
            <w:r>
              <w:rPr>
                <w:rFonts w:ascii="Arial" w:cs="Arial" w:eastAsia="Arial" w:hAnsi="Arial"/>
                <w:sz w:val="12"/>
                <w:szCs w:val="12"/>
                <w:color w:val="auto"/>
              </w:rPr>
              <w:t>Net decrease in cash, cash equivalents and restricted cash</w:t>
            </w:r>
          </w:p>
        </w:tc>
        <w:tc>
          <w:tcPr>
            <w:tcW w:w="9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(17,967)</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(90)</w:t>
            </w:r>
          </w:p>
        </w:tc>
        <w:tc>
          <w:tcPr>
            <w:tcW w:w="0" w:type="dxa"/>
            <w:vAlign w:val="bottom"/>
          </w:tcPr>
          <w:p>
            <w:pPr>
              <w:spacing w:after="0"/>
              <w:rPr>
                <w:sz w:val="1"/>
                <w:szCs w:val="1"/>
                <w:color w:val="auto"/>
              </w:rPr>
            </w:pPr>
          </w:p>
        </w:tc>
      </w:tr>
      <w:tr>
        <w:trPr>
          <w:trHeight w:val="153"/>
        </w:trPr>
        <w:tc>
          <w:tcPr>
            <w:tcW w:w="8460" w:type="dxa"/>
            <w:vAlign w:val="bottom"/>
            <w:shd w:val="clear" w:color="auto" w:fill="B7E5FF"/>
          </w:tcPr>
          <w:p>
            <w:pPr>
              <w:spacing w:after="0"/>
              <w:rPr>
                <w:sz w:val="20"/>
                <w:szCs w:val="20"/>
                <w:color w:val="auto"/>
              </w:rPr>
            </w:pPr>
            <w:r>
              <w:rPr>
                <w:rFonts w:ascii="Arial" w:cs="Arial" w:eastAsia="Arial" w:hAnsi="Arial"/>
                <w:sz w:val="12"/>
                <w:szCs w:val="12"/>
                <w:color w:val="auto"/>
              </w:rPr>
              <w:t>Cash, cash equivalents and restricted cash at the beginning of the period</w:t>
            </w:r>
          </w:p>
        </w:tc>
        <w:tc>
          <w:tcPr>
            <w:tcW w:w="900" w:type="dxa"/>
            <w:vAlign w:val="bottom"/>
            <w:tcBorders>
              <w:bottom w:val="single" w:sz="8" w:color="auto"/>
            </w:tcBorders>
            <w:shd w:val="clear" w:color="auto" w:fill="B7E5FF"/>
          </w:tcPr>
          <w:p>
            <w:pPr>
              <w:spacing w:after="0"/>
              <w:rPr>
                <w:sz w:val="13"/>
                <w:szCs w:val="13"/>
                <w:color w:val="auto"/>
              </w:rPr>
            </w:pPr>
          </w:p>
        </w:tc>
        <w:tc>
          <w:tcPr>
            <w:tcW w:w="5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124,425</w:t>
            </w:r>
          </w:p>
        </w:tc>
        <w:tc>
          <w:tcPr>
            <w:tcW w:w="220" w:type="dxa"/>
            <w:vAlign w:val="bottom"/>
            <w:shd w:val="clear" w:color="auto" w:fill="B7E5FF"/>
          </w:tcPr>
          <w:p>
            <w:pPr>
              <w:spacing w:after="0"/>
              <w:rPr>
                <w:sz w:val="13"/>
                <w:szCs w:val="13"/>
                <w:color w:val="auto"/>
              </w:rPr>
            </w:pPr>
          </w:p>
        </w:tc>
        <w:tc>
          <w:tcPr>
            <w:tcW w:w="900" w:type="dxa"/>
            <w:vAlign w:val="bottom"/>
            <w:tcBorders>
              <w:bottom w:val="single" w:sz="8" w:color="auto"/>
            </w:tcBorders>
            <w:shd w:val="clear" w:color="auto" w:fill="B7E5FF"/>
          </w:tcPr>
          <w:p>
            <w:pPr>
              <w:spacing w:after="0"/>
              <w:rPr>
                <w:sz w:val="13"/>
                <w:szCs w:val="13"/>
                <w:color w:val="auto"/>
              </w:rPr>
            </w:pPr>
          </w:p>
        </w:tc>
        <w:tc>
          <w:tcPr>
            <w:tcW w:w="5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111,050</w:t>
            </w:r>
          </w:p>
        </w:tc>
        <w:tc>
          <w:tcPr>
            <w:tcW w:w="0" w:type="dxa"/>
            <w:vAlign w:val="bottom"/>
          </w:tcPr>
          <w:p>
            <w:pPr>
              <w:spacing w:after="0"/>
              <w:rPr>
                <w:sz w:val="1"/>
                <w:szCs w:val="1"/>
                <w:color w:val="auto"/>
              </w:rPr>
            </w:pPr>
          </w:p>
        </w:tc>
      </w:tr>
      <w:tr>
        <w:trPr>
          <w:trHeight w:val="140"/>
        </w:trPr>
        <w:tc>
          <w:tcPr>
            <w:tcW w:w="8460" w:type="dxa"/>
            <w:vAlign w:val="bottom"/>
          </w:tcPr>
          <w:p>
            <w:pPr>
              <w:spacing w:after="0" w:line="133" w:lineRule="exact"/>
              <w:rPr>
                <w:sz w:val="20"/>
                <w:szCs w:val="20"/>
                <w:color w:val="auto"/>
              </w:rPr>
            </w:pPr>
            <w:r>
              <w:rPr>
                <w:rFonts w:ascii="Arial" w:cs="Arial" w:eastAsia="Arial" w:hAnsi="Arial"/>
                <w:sz w:val="12"/>
                <w:szCs w:val="12"/>
                <w:color w:val="auto"/>
              </w:rPr>
              <w:t>Cash, cash equivalents and restricted cash at the end of the period</w:t>
            </w:r>
          </w:p>
        </w:tc>
        <w:tc>
          <w:tcPr>
            <w:tcW w:w="900" w:type="dxa"/>
            <w:vAlign w:val="bottom"/>
            <w:tcBorders>
              <w:bottom w:val="single" w:sz="8" w:color="auto"/>
            </w:tcBorders>
          </w:tcPr>
          <w:p>
            <w:pPr>
              <w:jc w:val="right"/>
              <w:ind w:right="760"/>
              <w:spacing w:after="0" w:line="133" w:lineRule="exact"/>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106,458</w:t>
            </w:r>
          </w:p>
        </w:tc>
        <w:tc>
          <w:tcPr>
            <w:tcW w:w="220" w:type="dxa"/>
            <w:vAlign w:val="bottom"/>
          </w:tcPr>
          <w:p>
            <w:pPr>
              <w:spacing w:after="0"/>
              <w:rPr>
                <w:sz w:val="12"/>
                <w:szCs w:val="12"/>
                <w:color w:val="auto"/>
              </w:rPr>
            </w:pPr>
          </w:p>
        </w:tc>
        <w:tc>
          <w:tcPr>
            <w:tcW w:w="900" w:type="dxa"/>
            <w:vAlign w:val="bottom"/>
            <w:tcBorders>
              <w:bottom w:val="single" w:sz="8" w:color="auto"/>
            </w:tcBorders>
          </w:tcPr>
          <w:p>
            <w:pPr>
              <w:jc w:val="right"/>
              <w:ind w:right="787"/>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110,960</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these condensed consolidated financial statements.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177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(Unaudited)</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 Condensed Financial Information</w:t>
      </w:r>
    </w:p>
    <w:p>
      <w:pPr>
        <w:spacing w:after="0" w:line="82" w:lineRule="exact"/>
        <w:rPr>
          <w:sz w:val="20"/>
          <w:szCs w:val="20"/>
          <w:color w:val="auto"/>
        </w:rPr>
      </w:pPr>
    </w:p>
    <w:p>
      <w:pPr>
        <w:ind w:right="180" w:firstLine="216"/>
        <w:spacing w:after="0" w:line="283" w:lineRule="auto"/>
        <w:rPr>
          <w:sz w:val="20"/>
          <w:szCs w:val="20"/>
          <w:color w:val="auto"/>
        </w:rPr>
      </w:pPr>
      <w:r>
        <w:rPr>
          <w:rFonts w:ascii="Arial" w:cs="Arial" w:eastAsia="Arial" w:hAnsi="Arial"/>
          <w:sz w:val="11"/>
          <w:szCs w:val="11"/>
          <w:color w:val="auto"/>
        </w:rPr>
        <w:t>As used in these Notes to Condensed Consolidated Financial Statements the terms “Quaker”, the “Company”, “we” and “our” refer to Quaker Chemical Corporation, its subsidiaries, and associated companies, unless the context otherwise requires. The condensed consolidated financial statements included herein are unaudited and have been prepared in accordance with generally accepted accounting principles in the United States (“U.S. GAAP”) for interim financial reporting and the United States Securities and Exchange Commission (“SEC”) regulations. Certain information and footnote disclosures normally included in financial statements prepared in accordance with U.S. GAAP have been condensed or omitted pursuant to such rules and regulations. In the opinion of management, the financial statements reflect all adjustments which are necessary for a fair statement of the financial position, results of operations and cash flows for the interim periods. The results for the three and six months ended June 30, 2019, respectively, are not necessarily indicative of the results to be expected for the full year. These financial statements should be read in conjunction with the Company’s Annual Report filed on Form 10-K, as well as the Company’s Form 10-K/A, for the year ended December 31, 2018.</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Hyper-inflationary economies</w:t>
      </w:r>
    </w:p>
    <w:p>
      <w:pPr>
        <w:spacing w:after="0" w:line="78" w:lineRule="exact"/>
        <w:rPr>
          <w:sz w:val="20"/>
          <w:szCs w:val="20"/>
          <w:color w:val="auto"/>
        </w:rPr>
      </w:pPr>
    </w:p>
    <w:p>
      <w:pPr>
        <w:ind w:firstLine="246"/>
        <w:spacing w:after="0" w:line="281" w:lineRule="auto"/>
        <w:rPr>
          <w:sz w:val="20"/>
          <w:szCs w:val="20"/>
          <w:color w:val="auto"/>
        </w:rPr>
      </w:pPr>
      <w:r>
        <w:rPr>
          <w:rFonts w:ascii="Arial" w:cs="Arial" w:eastAsia="Arial" w:hAnsi="Arial"/>
          <w:sz w:val="11"/>
          <w:szCs w:val="11"/>
          <w:color w:val="auto"/>
        </w:rPr>
        <w:t>Economies that have a cumulative three-year rate of inflation exceeding 100% are considered hyper-inflationary under U.S. GAAP. A legal entity which operates within an economy deemed to be hyper-inflationary is required to remeasure its monetary assets and liabilities to the applicable published exchange rates and record the associated gains or losses resulting from the remeasurement directly to the Condensed Consolidated Statements of Income. The Company has a 50-50 joint venture in a Venezuelan affiliate, Kelko Quaker Chemical, S.A. Venezuela’s economy has been considered hyper-inflationary under U.S. GAAP since 2010. During the three and six months ended June 30, 2018, the Company recorded remeasurement losses of less than $0.1 million and $0.2 million respectively, associated with the applicable currency conversions related to Venezuela. These losses were recorded within equity in net income of associated companies in the Company’s Condensed Consolidated Statements of Income. Due to heightened foreign exchange controls and restrictions currently present within Venezuela, during the third quarter of 2018 the Company concluded that it no longer had significant influence over this affiliate. Prior to this determination, the Company historically accounted for this affiliate under the equity method. As of June 30, 2019 and December 31, 2018, the Company has no remaining carrying value for its investment in Kelko Venezuela.</w:t>
      </w:r>
    </w:p>
    <w:p>
      <w:pPr>
        <w:spacing w:after="0" w:line="44" w:lineRule="exact"/>
        <w:rPr>
          <w:sz w:val="20"/>
          <w:szCs w:val="20"/>
          <w:color w:val="auto"/>
        </w:rPr>
      </w:pPr>
    </w:p>
    <w:p>
      <w:pPr>
        <w:ind w:right="40" w:firstLine="216"/>
        <w:spacing w:after="0" w:line="257" w:lineRule="auto"/>
        <w:rPr>
          <w:sz w:val="20"/>
          <w:szCs w:val="20"/>
          <w:color w:val="auto"/>
        </w:rPr>
      </w:pPr>
      <w:r>
        <w:rPr>
          <w:rFonts w:ascii="Arial" w:cs="Arial" w:eastAsia="Arial" w:hAnsi="Arial"/>
          <w:sz w:val="12"/>
          <w:szCs w:val="12"/>
          <w:color w:val="auto"/>
        </w:rPr>
        <w:t>Based on various indices or index compilations currently being used to monitor inflation in Argentina as well as recent economic instability, effective July 1, 2018, Argentina’s economy was considered hyper-inflationary under U.S. GAAP. As a result, the Company began applying hyper-inflationary accounting with respect to the Company's wholly owned Argentina subsidiary beginning July 1, 2018. As of, and for the six months ended June 30, 2019, the Company's Argentina subsidiary represented less than 1% of the Company’s consolidated total assets and less than 1% of the Company’s consolidated net sales. During the three and six months ended June 30, 2019, the Company recorded less than $0.1 million of remeasurement gains and $0.2 million of remeasurement losses associated with the applicable currency conversions related to Argentina. These gains (losses) were recorded within foreign exchange losses, net, which is a component of other income (expense), net, in the Company’s Condensed Consolidated Statements of Income.</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 Houghton Combination</w:t>
      </w:r>
    </w:p>
    <w:p>
      <w:pPr>
        <w:spacing w:after="0" w:line="82" w:lineRule="exact"/>
        <w:rPr>
          <w:sz w:val="20"/>
          <w:szCs w:val="20"/>
          <w:color w:val="auto"/>
        </w:rPr>
      </w:pPr>
    </w:p>
    <w:p>
      <w:pPr>
        <w:jc w:val="both"/>
        <w:ind w:right="340" w:firstLine="216"/>
        <w:spacing w:after="0" w:line="259" w:lineRule="auto"/>
        <w:rPr>
          <w:sz w:val="20"/>
          <w:szCs w:val="20"/>
          <w:color w:val="auto"/>
        </w:rPr>
      </w:pPr>
      <w:r>
        <w:rPr>
          <w:rFonts w:ascii="Arial" w:cs="Arial" w:eastAsia="Arial" w:hAnsi="Arial"/>
          <w:sz w:val="12"/>
          <w:szCs w:val="12"/>
          <w:color w:val="auto"/>
        </w:rPr>
        <w:t>On August 1, 2019, the Company completed its combination with Houghton International, Inc. (“Houghton”) (herein referred to as “the Combination”), whereby the Company acquired all of the issued and outstanding shares of Houghton from Gulf Houghton Lubricants, Ltd. in accordance with the share purchase agreement dated April 4, 2017. The final purchase consideration was comprised of: (i) approximately $170.8 million in cash; (ii) the issuance of approximately 4.3 million shares of common stock of the Company with par value of $1.00, comprising 24.5% of the common stock of the Company at closing; and (iii) the Company’s refinancing of approximately $660 million of Houghton’s net indebtedness at closing, not including cash proceeds from the divestiture, described below.</w:t>
      </w:r>
    </w:p>
    <w:p>
      <w:pPr>
        <w:spacing w:after="0" w:line="53" w:lineRule="exact"/>
        <w:rPr>
          <w:sz w:val="20"/>
          <w:szCs w:val="20"/>
          <w:color w:val="auto"/>
        </w:rPr>
      </w:pPr>
    </w:p>
    <w:p>
      <w:pPr>
        <w:ind w:right="20" w:firstLine="216"/>
        <w:spacing w:after="0" w:line="257" w:lineRule="auto"/>
        <w:rPr>
          <w:sz w:val="20"/>
          <w:szCs w:val="20"/>
          <w:color w:val="auto"/>
        </w:rPr>
      </w:pPr>
      <w:r>
        <w:rPr>
          <w:rFonts w:ascii="Arial" w:cs="Arial" w:eastAsia="Arial" w:hAnsi="Arial"/>
          <w:sz w:val="12"/>
          <w:szCs w:val="12"/>
          <w:color w:val="auto"/>
        </w:rPr>
        <w:t>The Combination was subject to certain regulatory and shareholder approvals. At a shareholder meeting held during 2017, the Company’s shareholders approved the issuance of the new shares of the Company’s common stock at closing of the Combination. Also in 2017, the Company received regulatory approvals for the Combination from China and Australia. The Company received regulatory approvals from the European Commission (“EC”) during the second quarter of 2019 and the U.S. Federal Trade Commissions (“FTC”) in July 2019. The approvals from the FTC and the EC required the concurrent divestiture of certain steel and aluminum product lines of Houghton, which were sold on August 1, 2019 for approximately $37 million in cash. The final remedy agreed with the EC and the FTC was consistent with the Company’s previous expectation that the total divested product lines would be approximately 3% of the combined company’s revenue.</w:t>
      </w:r>
    </w:p>
    <w:p>
      <w:pPr>
        <w:spacing w:after="0" w:line="54" w:lineRule="exact"/>
        <w:rPr>
          <w:sz w:val="20"/>
          <w:szCs w:val="20"/>
          <w:color w:val="auto"/>
        </w:rPr>
      </w:pPr>
    </w:p>
    <w:p>
      <w:pPr>
        <w:ind w:right="280" w:firstLine="216"/>
        <w:spacing w:after="0" w:line="263" w:lineRule="auto"/>
        <w:rPr>
          <w:sz w:val="20"/>
          <w:szCs w:val="20"/>
          <w:color w:val="auto"/>
        </w:rPr>
      </w:pPr>
      <w:r>
        <w:rPr>
          <w:rFonts w:ascii="Arial" w:cs="Arial" w:eastAsia="Arial" w:hAnsi="Arial"/>
          <w:sz w:val="12"/>
          <w:szCs w:val="12"/>
          <w:color w:val="auto"/>
        </w:rPr>
        <w:t>The results of operations of Houghton are not included in the Condensed Consolidated Statements of Income for the three and six months ended June 30, 2019, as the date of closing was after June 30, 2019. Transaction expenses associated with the Combination which were incurred during the three and six months ended June 30, 2019 and 2018, respectively, are included in Combination and other acquisition-related expenses in the Company’s Condensed Consolidated Statements of Income. A preliminary purchase price</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40"/>
          </w:cols>
          <w:pgMar w:left="220" w:top="12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color w:val="auto"/>
        </w:rPr>
        <w:t>allocation of assets acquired, and liabilities assumed, has not been presented as that information is not available as of the date of these Condensed Consolidated Financial Statements.</w:t>
      </w:r>
    </w:p>
    <w:p>
      <w:pPr>
        <w:spacing w:after="0" w:line="78" w:lineRule="exact"/>
        <w:rPr>
          <w:sz w:val="20"/>
          <w:szCs w:val="20"/>
          <w:color w:val="auto"/>
        </w:rPr>
      </w:pPr>
    </w:p>
    <w:p>
      <w:pPr>
        <w:ind w:right="40" w:firstLine="216"/>
        <w:spacing w:after="0" w:line="277" w:lineRule="auto"/>
        <w:rPr>
          <w:sz w:val="20"/>
          <w:szCs w:val="20"/>
          <w:color w:val="auto"/>
        </w:rPr>
      </w:pPr>
      <w:r>
        <w:rPr>
          <w:rFonts w:ascii="Arial" w:cs="Arial" w:eastAsia="Arial" w:hAnsi="Arial"/>
          <w:sz w:val="11"/>
          <w:szCs w:val="11"/>
          <w:color w:val="auto"/>
        </w:rPr>
        <w:t>As previously disclosed in its Annual Report filed on Form 10-K and 10-K/A for the year ended December 31, 2018, in connection with the Combination, the Company initially secured $1.15 billion in commitments from Bank of America Merrill Lynch and Deutsche Bank to fund the purchase consideration and to provide additional liquidity, which was replaced with a syndicated bank agreement (“the New Credit Facility”) with a group of lenders. Prior to closing the Combination, during July 2019, the Company amended and extended the bank commitment to August 30, 2019. The New Credit Facility was contingent upon and was not effective until the closing of the Combination. Concurrent with the closing of the Combination on August 1, 2019, the New Credit Facility is in full effect and is the Company’s primary borrowing facility, replacing the Company’s previous revolving credit facility (see Note 14 of Notes to Condensed Consolidated Financial Statements). The New Credit Facility is comprised of: (i) a $400.0 million multicurrency revolver; (ii) a $600.0 million USD term loan; and (iii) a $150.0 million EUR equivalent term loan, each with a five-year maturity from the date the New Credit Facility became effective. At closing, the Company borrowed $750.0 million under the term loans available in the New Credit Facility and approximately $180 million under the multicurrency revolver, with a remaining capacity under the revolver of approximately $220 million for additional liquidity. The maximum amount available under the New Credit Facility can be increased by $300.0 million at the Company’s option if the lenders agree and the Company satisfies certain conditions. Borrowings under the New Credit Facility will bear interest at a base rate or LIBOR rate plus a margin. Based on the terms of the New Credit Facility and current market interest rates, the Company currently estimates its annual interest cost will be in the range of 3.4% to 3.6%. The New Credit Facility is subject to certain financial and other covenants, including covenants that the Company’s initial consolidated net debt to adjusted EBITDA ratio cannot exceed 4.25 to 1 and the Company’s consolidated adjusted EBITDA to interest expense ratio cannot be less than 3.0 to 1. At closing, the Company was in compliance with all of the New Credit Facility covenants. Both the USD and EUR equivalent term loans have quarterly principal amortization during their respective five-year maturities, with 5.0% amortization of the principal balance due in years 1 and 2, 7.5% in year 3, and 10.0% in years 4 and 5, with the remaining principal amounts due at maturity. Until closing, the Company incurred certain interest costs to maintain the bank commitment (“ticking fees”), which began to accrue on September 29, 2017 and bore an interest rate of 0.30% per annum. Concurrent with closing of the Combination and executing the New Credit Facility, the Company paid approximately $6.3 million of ticking fees.</w:t>
      </w:r>
    </w:p>
    <w:p>
      <w:pPr>
        <w:spacing w:after="0" w:line="48" w:lineRule="exact"/>
        <w:rPr>
          <w:sz w:val="20"/>
          <w:szCs w:val="20"/>
          <w:color w:val="auto"/>
        </w:rPr>
      </w:pPr>
    </w:p>
    <w:p>
      <w:pPr>
        <w:ind w:right="20" w:firstLine="216"/>
        <w:spacing w:after="0" w:line="290" w:lineRule="auto"/>
        <w:rPr>
          <w:sz w:val="20"/>
          <w:szCs w:val="20"/>
          <w:color w:val="auto"/>
        </w:rPr>
      </w:pPr>
      <w:r>
        <w:rPr>
          <w:rFonts w:ascii="Arial" w:cs="Arial" w:eastAsia="Arial" w:hAnsi="Arial"/>
          <w:sz w:val="11"/>
          <w:szCs w:val="11"/>
          <w:color w:val="auto"/>
        </w:rPr>
        <w:t>The Company incurred total costs of $5.5 million and $10.8 million during the three and six months ended June 30, 2019, and $4.5 million and $10.6 million during the three and six months ended June 30, 2018, respectively, related to the Combination and other acquisition-related activities. These costs included certain legal, financial and other advisory and consultant costs related to due diligence, regulatory approvals and integration planning, as well as ticking fees, certain one-time labor-related costs and, specifically during the three and six months ended June 30, 2018, a gain on the sale of an available-for-sale asset. As of June 30, 2019 and December 31, 2018, the Company had current liabilities related to the Combination and other acquisition-related activities of $8.6 million and $8.2 million, respectively, primarily recorded within other current liabilities on its Condensed Consolidated Balance Sheets.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3 – Recently Issued Accounting Standards</w:t>
      </w:r>
    </w:p>
    <w:p>
      <w:pPr>
        <w:spacing w:after="0" w:line="91" w:lineRule="exact"/>
        <w:rPr>
          <w:sz w:val="20"/>
          <w:szCs w:val="20"/>
          <w:color w:val="auto"/>
        </w:rPr>
      </w:pPr>
    </w:p>
    <w:p>
      <w:pPr>
        <w:ind w:right="220" w:firstLine="216"/>
        <w:spacing w:after="0" w:line="259" w:lineRule="auto"/>
        <w:rPr>
          <w:sz w:val="20"/>
          <w:szCs w:val="20"/>
          <w:color w:val="auto"/>
        </w:rPr>
      </w:pPr>
      <w:r>
        <w:rPr>
          <w:rFonts w:ascii="Arial" w:cs="Arial" w:eastAsia="Arial" w:hAnsi="Arial"/>
          <w:sz w:val="12"/>
          <w:szCs w:val="12"/>
          <w:color w:val="auto"/>
        </w:rPr>
        <w:t>The Financial Accounting Standards Board (“FASB”) issued an accounting standard update in August 2018 that modifies certain disclosure requirements for employers that sponsor defined benefit pension or other postretirement plans. The amendments in this accounting standard update remove disclosures that are no longer considered cost beneficial, clarify the specific requirements of certain disclosures, and add new disclosure requirements as relevant. The guidance within this accounting standard update is effective for annual periods beginning after December 15, 2020, and should be applied retrospectively to all periods presented. Early adoption is permitted. The Company has not early adopted the guidance and is currently evaluating its implementation.</w:t>
      </w:r>
    </w:p>
    <w:p>
      <w:pPr>
        <w:spacing w:after="0" w:line="53" w:lineRule="exact"/>
        <w:rPr>
          <w:sz w:val="20"/>
          <w:szCs w:val="20"/>
          <w:color w:val="auto"/>
        </w:rPr>
      </w:pPr>
    </w:p>
    <w:p>
      <w:pPr>
        <w:ind w:firstLine="216"/>
        <w:spacing w:after="0" w:line="259" w:lineRule="auto"/>
        <w:rPr>
          <w:sz w:val="20"/>
          <w:szCs w:val="20"/>
          <w:color w:val="auto"/>
        </w:rPr>
      </w:pPr>
      <w:r>
        <w:rPr>
          <w:rFonts w:ascii="Arial" w:cs="Arial" w:eastAsia="Arial" w:hAnsi="Arial"/>
          <w:sz w:val="12"/>
          <w:szCs w:val="12"/>
          <w:color w:val="auto"/>
        </w:rPr>
        <w:t>The FASB issued an accounting standard update in August 2018 that clarifies the accounting for implementation costs incurred in a cloud computing arrangement under a service contract. This guidance generally aligns the requirements for capitalizing implementation costs incurred in a hosting arrangement under a service contract with the requirements for capitalizing implementation costs related to internal-use software. The guidance within this accounting standard update is effective for annual periods beginning after December 15, 2019 and should be applied either retrospectively or prospectively to all implementation costs incurred after the date of adoption. Early adoption is permitted. The Company has not early adopted the guidance and is currently evaluating its implementation.</w:t>
      </w:r>
    </w:p>
    <w:p>
      <w:pPr>
        <w:spacing w:after="0" w:line="53" w:lineRule="exact"/>
        <w:rPr>
          <w:sz w:val="20"/>
          <w:szCs w:val="20"/>
          <w:color w:val="auto"/>
        </w:rPr>
      </w:pPr>
    </w:p>
    <w:p>
      <w:pPr>
        <w:jc w:val="both"/>
        <w:ind w:right="120" w:firstLine="216"/>
        <w:spacing w:after="0" w:line="298" w:lineRule="auto"/>
        <w:rPr>
          <w:sz w:val="20"/>
          <w:szCs w:val="20"/>
          <w:color w:val="auto"/>
        </w:rPr>
      </w:pPr>
      <w:r>
        <w:rPr>
          <w:rFonts w:ascii="Arial" w:cs="Arial" w:eastAsia="Arial" w:hAnsi="Arial"/>
          <w:sz w:val="11"/>
          <w:szCs w:val="11"/>
          <w:color w:val="auto"/>
        </w:rPr>
        <w:t>The FASB issued an accounting standard update in August 2018 that modifies certain disclosure requirements for fair value measurements. The guidance removes certain disclosure requirements regarding transfers between levels of the fair value hierarchy as well as certain disclosures related to the valuation processes for certain fair value measurements. Further, the guidance added certain disclosure requirements including unrealized gains and losses and significant unobservable inputs used to develop certain fair value measurements. The guidance within this accounting standard update is effective for annual and interim periods beginning after</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8" w:name="page9"/>
    <w:bookmarkEnd w:id="8"/>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213"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December 15, 2019, and should be applied prospectively in the initial year of adoption or retrospectively to all periods presented, depending on the amended disclosure requirement. Early adoption is permitted. The Company has not early adopted the guidance and is currently evaluating its implementation.</w:t>
      </w:r>
    </w:p>
    <w:p>
      <w:pPr>
        <w:spacing w:after="0" w:line="43" w:lineRule="exact"/>
        <w:rPr>
          <w:sz w:val="20"/>
          <w:szCs w:val="20"/>
          <w:color w:val="auto"/>
        </w:rPr>
      </w:pPr>
    </w:p>
    <w:p>
      <w:pPr>
        <w:ind w:firstLine="216"/>
        <w:spacing w:after="0" w:line="290" w:lineRule="auto"/>
        <w:rPr>
          <w:sz w:val="20"/>
          <w:szCs w:val="20"/>
          <w:color w:val="auto"/>
        </w:rPr>
      </w:pPr>
      <w:r>
        <w:rPr>
          <w:rFonts w:ascii="Arial" w:cs="Arial" w:eastAsia="Arial" w:hAnsi="Arial"/>
          <w:sz w:val="11"/>
          <w:szCs w:val="11"/>
          <w:color w:val="auto"/>
        </w:rPr>
        <w:t>The FASB issued an accounting standard update in February 2018 that allows a reclassification from accumulated other comprehensive (loss) income (“AOCI”) to retained earnings for stranded tax effects resulting from the U.S. Tax Cuts and Jobs Act (“U.S. Tax Reform”) enacted in December 2017. The guidance within this accounting standard update is effective for annual and interim periods beginning after December 15, 2018, and should be applied either in the period of adoption or retrospectively to each period in which the effect of the change in the U.S. federal corporate income tax rate in U.S. Tax Reform is recognized. Early adoption was permitted. The Company adopted this guidance in the first quarter of 2019, as required, but elected not to reclassify any stranded tax effects resulting from U.S. Tax Reform, therefore adoption of this guidance did not have any impact on its financial statements.</w:t>
      </w:r>
    </w:p>
    <w:p>
      <w:pPr>
        <w:spacing w:after="0" w:line="37" w:lineRule="exact"/>
        <w:rPr>
          <w:sz w:val="20"/>
          <w:szCs w:val="20"/>
          <w:color w:val="auto"/>
        </w:rPr>
      </w:pPr>
    </w:p>
    <w:p>
      <w:pPr>
        <w:ind w:right="180" w:firstLine="216"/>
        <w:spacing w:after="0" w:line="290" w:lineRule="auto"/>
        <w:rPr>
          <w:sz w:val="20"/>
          <w:szCs w:val="20"/>
          <w:color w:val="auto"/>
        </w:rPr>
      </w:pPr>
      <w:r>
        <w:rPr>
          <w:rFonts w:ascii="Arial" w:cs="Arial" w:eastAsia="Arial" w:hAnsi="Arial"/>
          <w:sz w:val="11"/>
          <w:szCs w:val="11"/>
          <w:color w:val="auto"/>
        </w:rPr>
        <w:t>The FASB issued an accounting standard update in June 2016 related to the accounting for and disclosure of credit losses. In May 2019, the FASB issues an accounting standard update to provide targeted transition relief to increase comparability of financial statements. The guidance introduces a new model for recognizing credit losses on financial instruments, including customer accounts receivable, based on an estimate of current expected credit losses. The guidance within this accounting standard update is effective for annual and interim periods beginning after December 15, 2019, and aspects of the guidance which may be applicable to the Company should be applied on a modified retrospective basis. Early adoption is permitted. The Company has not early adopted the guidance and is currently evaluating its implementation.</w:t>
      </w:r>
    </w:p>
    <w:p>
      <w:pPr>
        <w:spacing w:after="0" w:line="37" w:lineRule="exact"/>
        <w:rPr>
          <w:sz w:val="20"/>
          <w:szCs w:val="20"/>
          <w:color w:val="auto"/>
        </w:rPr>
      </w:pPr>
    </w:p>
    <w:p>
      <w:pPr>
        <w:ind w:right="160" w:firstLine="216"/>
        <w:spacing w:after="0" w:line="286" w:lineRule="auto"/>
        <w:rPr>
          <w:sz w:val="20"/>
          <w:szCs w:val="20"/>
          <w:color w:val="auto"/>
        </w:rPr>
      </w:pPr>
      <w:r>
        <w:rPr>
          <w:rFonts w:ascii="Arial" w:cs="Arial" w:eastAsia="Arial" w:hAnsi="Arial"/>
          <w:sz w:val="11"/>
          <w:szCs w:val="11"/>
          <w:color w:val="auto"/>
        </w:rPr>
        <w:t>The FASB issued an accounting standard update in February 2016 regarding the accounting and disclosure for leases. During 2018 and 2019, the FASB issued a series of accounting standard updates to clarify and expand on the original 2016 implementation guidance, including providing an accounting policy election for lessors, certain targeted improvements around comparative reporting requirements and accounting for lease and non-lease components by lessors as well as other technical corrections and improvements. The amendments in these 2018 and 2019 updates did not change the core principles of the guidance previously issued in February 2016. The guidance within all of the leasing accounting standard updates were effective for annual and interim periods beginning after December 15, 2018, and should have been applied on a modified retrospective basis, applying the transition requirements either (a) at the beginning of the earliest period presented in the financial statements in the year of adoption (January 1, 2017) or (b) in the period of adoption (January 1, 2019). Early adoption was permitted.</w:t>
      </w:r>
    </w:p>
    <w:p>
      <w:pPr>
        <w:spacing w:after="0" w:line="39" w:lineRule="exact"/>
        <w:rPr>
          <w:sz w:val="20"/>
          <w:szCs w:val="20"/>
          <w:color w:val="auto"/>
        </w:rPr>
      </w:pPr>
    </w:p>
    <w:p>
      <w:pPr>
        <w:ind w:right="60" w:firstLine="216"/>
        <w:spacing w:after="0" w:line="340" w:lineRule="auto"/>
        <w:rPr>
          <w:sz w:val="20"/>
          <w:szCs w:val="20"/>
          <w:color w:val="auto"/>
        </w:rPr>
      </w:pPr>
      <w:r>
        <w:rPr>
          <w:rFonts w:ascii="Arial" w:cs="Arial" w:eastAsia="Arial" w:hAnsi="Arial"/>
          <w:sz w:val="10"/>
          <w:szCs w:val="10"/>
          <w:color w:val="auto"/>
        </w:rPr>
        <w:t>As part of the Company’s implementation planning and its impact assessment related to the new lease accounting guidance, the Company developed a detailed project plan, identified and established a cross-functional implementation team and developed pre-adoption internal controls. In addition, the Company gathered an inventory of the Company’s outstanding leases globally, performed certain review procedures to ensure completeness of its lease population and abstracted required information from its lease population for inclusion within the Company’s leasing software. Also, the Company is considering how the new lease accounting guidance may impact Houghton and the Combination.</w:t>
      </w:r>
    </w:p>
    <w:p>
      <w:pPr>
        <w:spacing w:after="0" w:line="16" w:lineRule="exact"/>
        <w:rPr>
          <w:sz w:val="20"/>
          <w:szCs w:val="20"/>
          <w:color w:val="auto"/>
        </w:rPr>
      </w:pPr>
    </w:p>
    <w:p>
      <w:pPr>
        <w:ind w:right="20" w:firstLine="216"/>
        <w:spacing w:after="0" w:line="290" w:lineRule="auto"/>
        <w:rPr>
          <w:sz w:val="20"/>
          <w:szCs w:val="20"/>
          <w:color w:val="auto"/>
        </w:rPr>
      </w:pPr>
      <w:r>
        <w:rPr>
          <w:rFonts w:ascii="Arial" w:cs="Arial" w:eastAsia="Arial" w:hAnsi="Arial"/>
          <w:sz w:val="11"/>
          <w:szCs w:val="11"/>
          <w:color w:val="auto"/>
        </w:rPr>
        <w:t>The Company adopted the guidance in the first quarter of 2019, as required, electing to use a modified retrospective transition approach and applied transition requirements as of January 1, 2019, as permitted. Comparative information has not been restated and continues to be reported under the accounting standards in effect for those periods. In addition, the Company elected to apply certain of the permitted transition practical expedients within the new lease accounting related to lease identification, lease classification, and initial direct costs. The Company made certain accounting policy elections as a result of adopting the new lease accounting guidance which include not separating lease and non-lease components, applying a portfolio approach in the development of the Company’s discount rates, applying the short-term lease exemption and establishing a capitalization threshold policy.</w:t>
      </w:r>
    </w:p>
    <w:p>
      <w:pPr>
        <w:spacing w:after="0" w:line="37" w:lineRule="exact"/>
        <w:rPr>
          <w:sz w:val="20"/>
          <w:szCs w:val="20"/>
          <w:color w:val="auto"/>
        </w:rPr>
      </w:pPr>
    </w:p>
    <w:p>
      <w:pPr>
        <w:ind w:firstLine="216"/>
        <w:spacing w:after="0" w:line="259" w:lineRule="auto"/>
        <w:rPr>
          <w:sz w:val="20"/>
          <w:szCs w:val="20"/>
          <w:color w:val="auto"/>
        </w:rPr>
      </w:pPr>
      <w:r>
        <w:rPr>
          <w:rFonts w:ascii="Arial" w:cs="Arial" w:eastAsia="Arial" w:hAnsi="Arial"/>
          <w:sz w:val="12"/>
          <w:szCs w:val="12"/>
          <w:color w:val="auto"/>
        </w:rPr>
        <w:t>Adoption of the lease accounting guidance did not have a material impact on the Company’s reported earnings or cash flows, however, adoption did result in a material impact to the Company’s balance sheet to establish the right of use lease assets and associated lease liabilities. Specifically, the Company recorded a cumulative effect of an accounting change that resulted in an increase to its right of use lease assets of $27.3 million, an increase of $5.3 million of short-term lease liabilities and $21.4 million of long-term lease liabilities, a decrease in property, plant and equipment, net of $1.1 million, a decrease in other current liabilities of $0.4 million and a decrease to retained earnings of less than $0.1 million. See Note 5 of Notes to Condensed Consolidated Financial Statements.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9" w:name="page10"/>
    <w:bookmarkEnd w:id="9"/>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3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4 – Net Sales and Revenue Recognition</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Business Description</w:t>
      </w:r>
    </w:p>
    <w:p>
      <w:pPr>
        <w:spacing w:after="0" w:line="78" w:lineRule="exact"/>
        <w:rPr>
          <w:sz w:val="20"/>
          <w:szCs w:val="20"/>
          <w:color w:val="auto"/>
        </w:rPr>
      </w:pPr>
    </w:p>
    <w:p>
      <w:pPr>
        <w:ind w:firstLine="216"/>
        <w:spacing w:after="0" w:line="316" w:lineRule="auto"/>
        <w:rPr>
          <w:sz w:val="20"/>
          <w:szCs w:val="20"/>
          <w:color w:val="auto"/>
        </w:rPr>
      </w:pPr>
      <w:r>
        <w:rPr>
          <w:rFonts w:ascii="Arial" w:cs="Arial" w:eastAsia="Arial" w:hAnsi="Arial"/>
          <w:sz w:val="10"/>
          <w:szCs w:val="10"/>
          <w:color w:val="auto"/>
        </w:rPr>
        <w:t>The Company develops, produces, and markets a broad range of formulated chemical specialty products and offers chemical management services (“CMS”) for various heavy industrial and manufacturing applications in a global portfolio throughout its four regions: North America, Europe, Middle East and Africa (“EMEA”), Asia/Pacific and South America. The major product lines in the Company’s global portfolio include: (i) rolling lubricants (used by manufacturers of steel in the hot and cold rolling of steel and by manufacturers of aluminum in the hot rolling of aluminum); (ii) machining and grinding compounds (used by metalworking customers in cutting, shaping, and grinding metal parts which require special treatment to enable them to tolerate the manufacturing process, achieve closer tolerance, and improve tool life); (iii) corrosion preventives (used by steel and metalworking customers to protect metal during manufacture, storage, and shipment); (iv) hydraulic fluids (used by steel, metalworking, and other customers to operate hydraulic equipment); (v) specialty greases (used in automotive and aerospace production processes and applications, the manufacturing of steel, and various other applications); and (vi) metal finishing compounds (used to prepare metal surfaces for special treatments such as galvanizing and tin plating and to prepare metal for further processing).</w:t>
      </w:r>
    </w:p>
    <w:p>
      <w:pPr>
        <w:spacing w:after="0" w:line="28" w:lineRule="exact"/>
        <w:rPr>
          <w:sz w:val="20"/>
          <w:szCs w:val="20"/>
          <w:color w:val="auto"/>
        </w:rPr>
      </w:pPr>
    </w:p>
    <w:p>
      <w:pPr>
        <w:ind w:firstLine="216"/>
        <w:spacing w:after="0" w:line="279" w:lineRule="auto"/>
        <w:rPr>
          <w:sz w:val="20"/>
          <w:szCs w:val="20"/>
          <w:color w:val="auto"/>
        </w:rPr>
      </w:pPr>
      <w:r>
        <w:rPr>
          <w:rFonts w:ascii="Arial" w:cs="Arial" w:eastAsia="Arial" w:hAnsi="Arial"/>
          <w:sz w:val="11"/>
          <w:szCs w:val="11"/>
          <w:color w:val="auto"/>
        </w:rPr>
        <w:t>A substantial portion of the Company’s sales worldwide are made directly through its own employees and its CMS programs, with the balance being handled through distributors and agents. The Company’s employees visit the plants of customers regularly, work on site, and, through training and experience, identify production needs which can be resolved or alleviated either by adapting the Company’s existing products or by applying new formulations developed in its laboratories. The chemical specialty industry comprises many companies of similar size as well as companies larger and smaller than Quaker Chemical Corporation. The offerings of many of the Company’s competitors differ from those of Quaker Chemical Corporation; some offer a broad portfolio of fluids, including general lubricants, while others have a more specialized product range. All competitors provide different levels of technical services to individual customers. Competition in the industry is based primarily on the ability to provide products that meet the needs of the customer, render technical services and laboratory assistance to the customer and, to a lesser extent, on price.As part of the Company’s CMS, certain third-party product sales to customers are managed by the Company. Where the Company acts as a principal, revenues are recognized on a gross reporting basis at the selling price negotiated with its customers. Where the Company acts as an agent, revenue is recognized on a net reporting basis generally at the amount of the administrative fee earned by the Company for ordering the goods. In determining whether the Company is acting as a principal or an agent in each arrangement, the Company considers whether it is primarily responsible for fulfilling the promise to provide the specified good, has inventory risk before the specified good has been transferred to the customer and has discretion in establishing the prices for the specified goods. The Company transferred third-party products under arrangements recognized on a net reporting basis of $10.4 million and $20.8 million for the three and six months ended June 30, 2019, respectively, and $12.5 million and $24.1 million for the three and six months ended June 30, 2018, respectively.</w:t>
      </w:r>
    </w:p>
    <w:p>
      <w:pPr>
        <w:spacing w:after="0" w:line="43" w:lineRule="exact"/>
        <w:rPr>
          <w:sz w:val="20"/>
          <w:szCs w:val="20"/>
          <w:color w:val="auto"/>
        </w:rPr>
      </w:pPr>
    </w:p>
    <w:p>
      <w:pPr>
        <w:ind w:right="100" w:firstLine="216"/>
        <w:spacing w:after="0" w:line="286" w:lineRule="auto"/>
        <w:rPr>
          <w:sz w:val="20"/>
          <w:szCs w:val="20"/>
          <w:color w:val="auto"/>
        </w:rPr>
      </w:pPr>
      <w:r>
        <w:rPr>
          <w:rFonts w:ascii="Arial" w:cs="Arial" w:eastAsia="Arial" w:hAnsi="Arial"/>
          <w:sz w:val="11"/>
          <w:szCs w:val="11"/>
          <w:color w:val="auto"/>
        </w:rPr>
        <w:t>A significant portion of the Company’s revenues are realized from the sale of process fluids and services to manufacturers of steel, automobiles, aircraft, appliances, and durable goods, and, therefore, the Company is subject to the same business cycles as those experienced by these manufacturers and their customers. The Company’s financial performance is generally correlated to the volume of global production within the industries it serves, rather than discretely related to the financial performance of such industries. Furthermore, steel customers typically have limited manufacturing locations compared to metalworking customers and generally use higher volumes of products at a single location. As previously disclosed in its Annual Report filed on Form 10-K and 10-K/A for the year ended December 31, 2018, during 2018 the Company’s five largest customers (each composed of multiple subsidiaries or divisions with semiautonomous purchasing authority) accounted for approximately 17% of consolidated net sales, with its largest customer accounting for approximately 8% of consolidated net sales.</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 Recognition Model</w:t>
      </w:r>
    </w:p>
    <w:p>
      <w:pPr>
        <w:spacing w:after="0" w:line="78" w:lineRule="exact"/>
        <w:rPr>
          <w:sz w:val="20"/>
          <w:szCs w:val="20"/>
          <w:color w:val="auto"/>
        </w:rPr>
      </w:pPr>
    </w:p>
    <w:p>
      <w:pPr>
        <w:ind w:right="80" w:firstLine="216"/>
        <w:spacing w:after="0" w:line="298" w:lineRule="auto"/>
        <w:rPr>
          <w:sz w:val="20"/>
          <w:szCs w:val="20"/>
          <w:color w:val="auto"/>
        </w:rPr>
      </w:pPr>
      <w:r>
        <w:rPr>
          <w:rFonts w:ascii="Arial" w:cs="Arial" w:eastAsia="Arial" w:hAnsi="Arial"/>
          <w:sz w:val="11"/>
          <w:szCs w:val="11"/>
          <w:color w:val="auto"/>
        </w:rPr>
        <w:t>The Company applies the FASB’s guidance on revenue recognition which requires the Company to recognize revenue in an amount that reflects the consideration to which the Company expects to be entitled in exchange for goods or services transferred to its customers. To do this, the Company applies the five-step model in the FASB’s guidance, which requires the Company to: (i) identify the contract with a customer;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33" w:lineRule="exact"/>
        <w:rPr>
          <w:sz w:val="20"/>
          <w:szCs w:val="20"/>
          <w:color w:val="auto"/>
        </w:rPr>
      </w:pPr>
    </w:p>
    <w:p>
      <w:pPr>
        <w:ind w:right="20" w:firstLine="216"/>
        <w:spacing w:after="0" w:line="298" w:lineRule="auto"/>
        <w:rPr>
          <w:sz w:val="20"/>
          <w:szCs w:val="20"/>
          <w:color w:val="auto"/>
        </w:rPr>
      </w:pPr>
      <w:r>
        <w:rPr>
          <w:rFonts w:ascii="Arial" w:cs="Arial" w:eastAsia="Arial" w:hAnsi="Arial"/>
          <w:sz w:val="11"/>
          <w:szCs w:val="11"/>
          <w:color w:val="auto"/>
        </w:rPr>
        <w:t>The Company identifies a contract with a customer when a sales agreement indicates approval and commitment of the parties; identifies the rights of the parties; identifies the payment terms; has commercial substance; and it is probable that the Company will collect the consideration to which it will be entitled in exchange for the goods or services that will be transferred to the customer. In most instances, the Company’s contract with a customer is the customer’s purchase order. For certain customers, the Company may also enter into a sales agreement which outlines a framework of terms and conditions which apply to all future and subsequent</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0" w:name="page11"/>
    <w:bookmarkEnd w:id="10"/>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213"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purchase orders for that customer. In these situations, the Company’s contract with the customer is both the sales agreement as well as the specific customer purchase order. Because the Company’s contract with a customer is typically for a single transaction or customer purchase order, the duration of the contract is almost always one year or less. As a result, the Company has elected to apply certain practical expedients and omit certain disclosures of remaining performance obligations for contracts which have an initial term of one year or less as permitted by the FASB.</w:t>
      </w:r>
    </w:p>
    <w:p>
      <w:pPr>
        <w:spacing w:after="0" w:line="51" w:lineRule="exact"/>
        <w:rPr>
          <w:sz w:val="20"/>
          <w:szCs w:val="20"/>
          <w:color w:val="auto"/>
        </w:rPr>
      </w:pPr>
    </w:p>
    <w:p>
      <w:pPr>
        <w:ind w:right="20" w:firstLine="216"/>
        <w:spacing w:after="0" w:line="290" w:lineRule="auto"/>
        <w:rPr>
          <w:sz w:val="20"/>
          <w:szCs w:val="20"/>
          <w:color w:val="auto"/>
        </w:rPr>
      </w:pPr>
      <w:r>
        <w:rPr>
          <w:rFonts w:ascii="Arial" w:cs="Arial" w:eastAsia="Arial" w:hAnsi="Arial"/>
          <w:sz w:val="11"/>
          <w:szCs w:val="11"/>
          <w:color w:val="auto"/>
        </w:rPr>
        <w:t>The Company identifies a performance obligation in a contract for each promised good or service that is separately identifiable from other promises in the contract and for which the customer can benefit from the good or service either on its own or together with other resources that are readily available to the customer. The Company determines the transaction price as the amount of consideration it expects to be entitled to in exchange for fulfilling the performance obligations, including the effects of any variable consideration, significant financing elements, amounts payable to the customer or noncash consideration. For any contracts that have more than one performance obligation, the Company allocates the transaction price to each performance obligation in an amount that depicts the amount of consideration to which the Company expects to be entitled in exchange for satisfying each performance obligation.</w:t>
      </w:r>
    </w:p>
    <w:p>
      <w:pPr>
        <w:spacing w:after="0" w:line="37" w:lineRule="exact"/>
        <w:rPr>
          <w:sz w:val="20"/>
          <w:szCs w:val="20"/>
          <w:color w:val="auto"/>
        </w:rPr>
      </w:pPr>
    </w:p>
    <w:p>
      <w:pPr>
        <w:ind w:right="40" w:firstLine="216"/>
        <w:spacing w:after="0" w:line="255" w:lineRule="auto"/>
        <w:rPr>
          <w:sz w:val="20"/>
          <w:szCs w:val="20"/>
          <w:color w:val="auto"/>
        </w:rPr>
      </w:pPr>
      <w:r>
        <w:rPr>
          <w:rFonts w:ascii="Arial" w:cs="Arial" w:eastAsia="Arial" w:hAnsi="Arial"/>
          <w:sz w:val="12"/>
          <w:szCs w:val="12"/>
          <w:color w:val="auto"/>
        </w:rPr>
        <w:t>In accordance with the last step of the FASB’s guidance, the Company recognizes revenue when, or as, it satisfies the performance obligation in a contract by transferring control of a promised good or service to the customer. The Company recognizes revenue over time whenever the customer simultaneously receives and consumes the benefits provided by the Company’s performance; the Company’s performance creates or enhances an asset that the customer controls as the asset is created or enhanced; or the Company’s performance does not create an asset with an alternative use to the entity, and the entity has an enforceable right to payment, including a profit margin, for performance completed to date. For performance obligations not satisfied over time, the Company determines the point in time at which a customer obtains control of a promised asset and the Company satisfies a performance obligation by considering when the Company has a right to payment for the asset; the customer has legal title to the asset; the Company has transferred physical possession of the asset; the customer has the significant risks and rewards of ownership of the asset; or the customer has accepted the asset.</w:t>
      </w:r>
    </w:p>
    <w:p>
      <w:pPr>
        <w:spacing w:after="0" w:line="57" w:lineRule="exact"/>
        <w:rPr>
          <w:sz w:val="20"/>
          <w:szCs w:val="20"/>
          <w:color w:val="auto"/>
        </w:rPr>
      </w:pPr>
    </w:p>
    <w:p>
      <w:pPr>
        <w:ind w:firstLine="216"/>
        <w:spacing w:after="0" w:line="290" w:lineRule="auto"/>
        <w:rPr>
          <w:sz w:val="20"/>
          <w:szCs w:val="20"/>
          <w:color w:val="auto"/>
        </w:rPr>
      </w:pPr>
      <w:r>
        <w:rPr>
          <w:rFonts w:ascii="Arial" w:cs="Arial" w:eastAsia="Arial" w:hAnsi="Arial"/>
          <w:sz w:val="11"/>
          <w:szCs w:val="11"/>
          <w:color w:val="auto"/>
        </w:rPr>
        <w:t>The Company typically satisfies its performance obligations and recognizes revenue at a point in time for product sales, generally when products are shipped or delivered to the customer, depending on the terms underlying each arrangement. In circumstances where the Company’s products are on consignment, revenue is generally recognized upon usage or consumption by the customer. For any CMS or other services provided by the Company to the customer, the Company typically satisfies its performance obligations and recognizes revenue over time, as the promised services are performed. The Company uses input methods to recognize revenue over time related to these services, including labor costs and time incurred. The Company believes that these input methods represent the most indicative measure of the CMS or other service work performed by the Company.</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Considerations</w:t>
      </w:r>
    </w:p>
    <w:p>
      <w:pPr>
        <w:spacing w:after="0" w:line="78" w:lineRule="exact"/>
        <w:rPr>
          <w:sz w:val="20"/>
          <w:szCs w:val="20"/>
          <w:color w:val="auto"/>
        </w:rPr>
      </w:pPr>
    </w:p>
    <w:p>
      <w:pPr>
        <w:ind w:right="60" w:firstLine="216"/>
        <w:spacing w:after="0" w:line="327" w:lineRule="auto"/>
        <w:rPr>
          <w:sz w:val="20"/>
          <w:szCs w:val="20"/>
          <w:color w:val="auto"/>
        </w:rPr>
      </w:pPr>
      <w:r>
        <w:rPr>
          <w:rFonts w:ascii="Arial" w:cs="Arial" w:eastAsia="Arial" w:hAnsi="Arial"/>
          <w:sz w:val="10"/>
          <w:szCs w:val="10"/>
          <w:color w:val="auto"/>
        </w:rPr>
        <w:t>The Company does not have standard payment terms for all customers globally, however the Company’s general payment terms require customers to pay for products or services provided after the performance obligation is satisfied. The Company does not have significant financing arrangements with its customers. The Company does not have significant amounts of variable consideration in its contracts with customers and where applicable, the Company’s estimates of variable consideration are not constrained. The Company records certain third-party license fees in other income (expense), net, in its Condensed Consolidated Statements of Income, which generally include sales-based royalties in exchange for the license of intellectual property. These license fees are recognized in accordance with their agreed-upon terms and when performance obligations are satisfied, which is generally when the third party has a subsequent sale.</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Practical Expedients and Accounting Policy Elections</w:t>
      </w:r>
    </w:p>
    <w:p>
      <w:pPr>
        <w:spacing w:after="0" w:line="78" w:lineRule="exact"/>
        <w:rPr>
          <w:sz w:val="20"/>
          <w:szCs w:val="20"/>
          <w:color w:val="auto"/>
        </w:rPr>
      </w:pPr>
    </w:p>
    <w:p>
      <w:pPr>
        <w:ind w:right="60" w:firstLine="216"/>
        <w:spacing w:after="0" w:line="255" w:lineRule="auto"/>
        <w:rPr>
          <w:sz w:val="20"/>
          <w:szCs w:val="20"/>
          <w:color w:val="auto"/>
        </w:rPr>
      </w:pPr>
      <w:r>
        <w:rPr>
          <w:rFonts w:ascii="Arial" w:cs="Arial" w:eastAsia="Arial" w:hAnsi="Arial"/>
          <w:sz w:val="12"/>
          <w:szCs w:val="12"/>
          <w:color w:val="auto"/>
        </w:rPr>
        <w:t>The Company has made certain accounting policy elections and elected to use certain practical expedients as permitted by the FASB in applying the guidance on revenue recognition. It is the Company’s policy to not adjust the promised amount of consideration for the effects of a significant financing component as the Company expects, at contract inception, that the period between when the Company transfers a promised good or service to the customer and when the customer pays for that good or service will be one year or less. In addition, it is the Company’s policy to expense costs to obtain a contract as incurred when the expected period of benefit, and therefore the amortization period, is one year or less. It is also the Company’s accounting policy to exclude from the measurement of the transaction price all taxes assessed by a governmental authority that are both imposed on and concurrent with a specific revenue-producing transaction and collected by the entity from a customer, including sales, use, value added, excise and various other taxes. Lastly, the Company has elected to account for shipping and handling activities that occur after the customer has obtained control of a good as a fulfilment cost rather than an additional promised service.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1" w:name="page12"/>
    <w:bookmarkEnd w:id="11"/>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Contract Assets and Liabilities</w:t>
      </w:r>
    </w:p>
    <w:p>
      <w:pPr>
        <w:spacing w:after="0" w:line="78" w:lineRule="exact"/>
        <w:rPr>
          <w:sz w:val="20"/>
          <w:szCs w:val="20"/>
          <w:color w:val="auto"/>
        </w:rPr>
      </w:pPr>
    </w:p>
    <w:p>
      <w:pPr>
        <w:ind w:right="20" w:firstLine="216"/>
        <w:spacing w:after="0" w:line="254" w:lineRule="auto"/>
        <w:rPr>
          <w:sz w:val="20"/>
          <w:szCs w:val="20"/>
          <w:color w:val="auto"/>
        </w:rPr>
      </w:pPr>
      <w:r>
        <w:rPr>
          <w:rFonts w:ascii="Arial" w:cs="Arial" w:eastAsia="Arial" w:hAnsi="Arial"/>
          <w:sz w:val="12"/>
          <w:szCs w:val="12"/>
          <w:color w:val="auto"/>
        </w:rPr>
        <w:t>The Company recognizes a contract asset or receivable on its Condensed Consolidated Balance Sheet when the Company performs a service or transfers a good in advance of receiving consideration. A receivable is the Company’s right to consideration that is unconditional and only the passage of time is required before payment of that consideration is due. A contract asset is the Company’s right to consideration in exchange for goods or services that the Company has transferred to a customer. The Company had no material contract assets recorded on its Condensed Consolidated Balance Sheets as of June 30, 2019 or December 31, 2018.A contract liability is recognized when the Company receives consideration, or if it has the unconditional right to receive consideration, in advance of performance. A contract liability is the Company’s obligation to transfer goods or services to a customer for which the Company has received consideration, or a specified amount of consideration is due, from the customer. The Company’s contract liabilities primarily represent deferred revenue recorded for customer payments received by the Company prior to the Company satisfying the associated performance obligation. Deferred revenues are presented within other current liabilities in the Company’s Condensed Consolidated Balance Sheets. The Company had approximately $1.3 million of deferred revenue as of June 30, 2019 and December 31, 2018. During the six months ended June 30, 2019, the Company satisfied the associated performance obligations and recognized revenue of $1.3 million related to advance customer payments recorded as of December 31, 2018.</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Disaggregated Revenue</w:t>
      </w:r>
    </w:p>
    <w:p>
      <w:pPr>
        <w:spacing w:after="0" w:line="78" w:lineRule="exact"/>
        <w:rPr>
          <w:sz w:val="20"/>
          <w:szCs w:val="20"/>
          <w:color w:val="auto"/>
        </w:rPr>
      </w:pPr>
    </w:p>
    <w:p>
      <w:pPr>
        <w:ind w:right="20" w:firstLine="216"/>
        <w:spacing w:after="0" w:line="259" w:lineRule="auto"/>
        <w:rPr>
          <w:sz w:val="20"/>
          <w:szCs w:val="20"/>
          <w:color w:val="auto"/>
        </w:rPr>
      </w:pPr>
      <w:r>
        <w:rPr>
          <w:rFonts w:ascii="Arial" w:cs="Arial" w:eastAsia="Arial" w:hAnsi="Arial"/>
          <w:sz w:val="12"/>
          <w:szCs w:val="12"/>
          <w:color w:val="auto"/>
        </w:rPr>
        <w:t>The Company sells its various industrial process fluids, its chemical specialties and its technical expertise as a global product portfolio. The Company generally manages and evaluates its performance by geography first, and then by customer industry, rather than by individual product lines. The Company has provided annual net sales information for its product lines greater than 10% in its previously filed Form 10-K and 10-K/A for the year ended December 31, 2018, and those annual percentages are generally consistent with the current year’s net sales by product line. Also, net sales of each of the Company’s major product lines are generally spread throughout all four of the Company’s regions, and in most cases, approximately proportionate to the level of total sales in each region.</w:t>
      </w:r>
    </w:p>
    <w:p>
      <w:pPr>
        <w:spacing w:after="0" w:line="53" w:lineRule="exact"/>
        <w:rPr>
          <w:sz w:val="20"/>
          <w:szCs w:val="20"/>
          <w:color w:val="auto"/>
        </w:rPr>
      </w:pPr>
    </w:p>
    <w:p>
      <w:pPr>
        <w:ind w:right="120" w:firstLine="216"/>
        <w:spacing w:after="0" w:line="276" w:lineRule="auto"/>
        <w:rPr>
          <w:sz w:val="20"/>
          <w:szCs w:val="20"/>
          <w:color w:val="auto"/>
        </w:rPr>
      </w:pPr>
      <w:r>
        <w:rPr>
          <w:rFonts w:ascii="Arial" w:cs="Arial" w:eastAsia="Arial" w:hAnsi="Arial"/>
          <w:sz w:val="12"/>
          <w:szCs w:val="12"/>
          <w:color w:val="auto"/>
        </w:rPr>
        <w:t>The following tables disaggregate the Company’s net sales by region, customer industry, and timing of revenue recognized for the three and six months ended June 30, 2019 and 2018. The Company has made certain reclassifications of disaggregated customer industry disclosures for the three and six months ended June 30, 2018 to conform with the Company’s current period customer industry segmentation.</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2"/>
                <w:szCs w:val="12"/>
                <w:b w:val="1"/>
                <w:bCs w:val="1"/>
                <w:color w:val="auto"/>
              </w:rPr>
              <w:t>Three Months Ended June 30, 2019</w:t>
            </w: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920" w:type="dxa"/>
            <w:vAlign w:val="bottom"/>
          </w:tcPr>
          <w:p>
            <w:pPr>
              <w:jc w:val="right"/>
              <w:ind w:right="40"/>
              <w:spacing w:after="0" w:line="125" w:lineRule="exact"/>
              <w:rPr>
                <w:sz w:val="20"/>
                <w:szCs w:val="20"/>
                <w:color w:val="auto"/>
              </w:rPr>
            </w:pPr>
            <w:r>
              <w:rPr>
                <w:rFonts w:ascii="Arial" w:cs="Arial" w:eastAsia="Arial" w:hAnsi="Arial"/>
                <w:sz w:val="12"/>
                <w:szCs w:val="12"/>
                <w:b w:val="1"/>
                <w:bCs w:val="1"/>
                <w:color w:val="auto"/>
              </w:rPr>
              <w:t>North</w:t>
            </w: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right"/>
              <w:ind w:right="80"/>
              <w:spacing w:after="0" w:line="125" w:lineRule="exact"/>
              <w:rPr>
                <w:sz w:val="20"/>
                <w:szCs w:val="20"/>
                <w:color w:val="auto"/>
              </w:rPr>
            </w:pPr>
            <w:r>
              <w:rPr>
                <w:rFonts w:ascii="Arial" w:cs="Arial" w:eastAsia="Arial" w:hAnsi="Arial"/>
                <w:sz w:val="12"/>
                <w:szCs w:val="12"/>
                <w:b w:val="1"/>
                <w:bCs w:val="1"/>
                <w:color w:val="auto"/>
              </w:rPr>
              <w:t>South</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right"/>
              <w:ind w:right="280"/>
              <w:spacing w:after="0" w:line="125" w:lineRule="exact"/>
              <w:rPr>
                <w:sz w:val="20"/>
                <w:szCs w:val="20"/>
                <w:color w:val="auto"/>
              </w:rPr>
            </w:pPr>
            <w:r>
              <w:rPr>
                <w:rFonts w:ascii="Arial" w:cs="Arial" w:eastAsia="Arial" w:hAnsi="Arial"/>
                <w:sz w:val="12"/>
                <w:szCs w:val="12"/>
                <w:b w:val="1"/>
                <w:bCs w:val="1"/>
                <w:color w:val="auto"/>
              </w:rPr>
              <w:t>Consolidated</w:t>
            </w:r>
          </w:p>
        </w:tc>
      </w:tr>
      <w:tr>
        <w:trPr>
          <w:trHeight w:val="157"/>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rPr>
              <w:t>America</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EMEA</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ind w:left="140"/>
              <w:spacing w:after="0"/>
              <w:rPr>
                <w:sz w:val="20"/>
                <w:szCs w:val="20"/>
                <w:color w:val="auto"/>
              </w:rPr>
            </w:pPr>
            <w:r>
              <w:rPr>
                <w:rFonts w:ascii="Arial" w:cs="Arial" w:eastAsia="Arial" w:hAnsi="Arial"/>
                <w:sz w:val="12"/>
                <w:szCs w:val="12"/>
                <w:b w:val="1"/>
                <w:bCs w:val="1"/>
                <w:color w:val="auto"/>
              </w:rPr>
              <w:t>Asia/Pacific</w:t>
            </w: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rPr>
              <w:t>America</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480"/>
              <w:spacing w:after="0"/>
              <w:rPr>
                <w:sz w:val="20"/>
                <w:szCs w:val="20"/>
                <w:color w:val="auto"/>
              </w:rPr>
            </w:pPr>
            <w:r>
              <w:rPr>
                <w:rFonts w:ascii="Arial" w:cs="Arial" w:eastAsia="Arial" w:hAnsi="Arial"/>
                <w:sz w:val="12"/>
                <w:szCs w:val="12"/>
                <w:b w:val="1"/>
                <w:bCs w:val="1"/>
                <w:color w:val="auto"/>
              </w:rPr>
              <w:t>Total</w:t>
            </w:r>
          </w:p>
        </w:tc>
      </w:tr>
      <w:tr>
        <w:trPr>
          <w:trHeight w:val="133"/>
        </w:trPr>
        <w:tc>
          <w:tcPr>
            <w:tcW w:w="20" w:type="dxa"/>
            <w:vAlign w:val="bottom"/>
            <w:tcBorders>
              <w:top w:val="single" w:sz="8" w:color="B7E5FF"/>
            </w:tcBorders>
            <w:shd w:val="clear" w:color="auto" w:fill="B7E5FF"/>
          </w:tcPr>
          <w:p>
            <w:pPr>
              <w:spacing w:after="0"/>
              <w:rPr>
                <w:sz w:val="11"/>
                <w:szCs w:val="11"/>
                <w:color w:val="auto"/>
              </w:rPr>
            </w:pPr>
          </w:p>
        </w:tc>
        <w:tc>
          <w:tcPr>
            <w:tcW w:w="4340" w:type="dxa"/>
            <w:vAlign w:val="bottom"/>
            <w:tcBorders>
              <w:top w:val="single" w:sz="8" w:color="B7E5FF"/>
            </w:tcBorders>
            <w:gridSpan w:val="3"/>
            <w:shd w:val="clear" w:color="auto" w:fill="B7E5FF"/>
          </w:tcPr>
          <w:p>
            <w:pPr>
              <w:spacing w:after="0" w:line="133" w:lineRule="exact"/>
              <w:rPr>
                <w:sz w:val="20"/>
                <w:szCs w:val="20"/>
                <w:color w:val="auto"/>
              </w:rPr>
            </w:pPr>
            <w:r>
              <w:rPr>
                <w:rFonts w:ascii="Arial" w:cs="Arial" w:eastAsia="Arial" w:hAnsi="Arial"/>
                <w:sz w:val="12"/>
                <w:szCs w:val="12"/>
                <w:color w:val="auto"/>
              </w:rPr>
              <w:t>Net sales</w:t>
            </w:r>
          </w:p>
        </w:tc>
        <w:tc>
          <w:tcPr>
            <w:tcW w:w="920" w:type="dxa"/>
            <w:vAlign w:val="bottom"/>
            <w:tcBorders>
              <w:top w:val="single" w:sz="8" w:color="auto"/>
            </w:tcBorders>
            <w:shd w:val="clear" w:color="auto" w:fill="B7E5FF"/>
          </w:tcPr>
          <w:p>
            <w:pPr>
              <w:jc w:val="right"/>
              <w:ind w:right="760"/>
              <w:spacing w:after="0" w:line="133" w:lineRule="exact"/>
              <w:rPr>
                <w:sz w:val="20"/>
                <w:szCs w:val="20"/>
                <w:color w:val="auto"/>
              </w:rPr>
            </w:pPr>
            <w:r>
              <w:rPr>
                <w:rFonts w:ascii="Arial" w:cs="Arial" w:eastAsia="Arial" w:hAnsi="Arial"/>
                <w:sz w:val="12"/>
                <w:szCs w:val="12"/>
                <w:color w:val="auto"/>
              </w:rPr>
              <w:t>$</w:t>
            </w:r>
          </w:p>
        </w:tc>
        <w:tc>
          <w:tcPr>
            <w:tcW w:w="38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w w:val="87"/>
              </w:rPr>
              <w:t>94,383</w:t>
            </w:r>
          </w:p>
        </w:tc>
        <w:tc>
          <w:tcPr>
            <w:tcW w:w="20" w:type="dxa"/>
            <w:vAlign w:val="bottom"/>
            <w:tcBorders>
              <w:top w:val="single" w:sz="8" w:color="auto"/>
            </w:tcBorders>
            <w:shd w:val="clear" w:color="auto" w:fill="B7E5FF"/>
          </w:tcPr>
          <w:p>
            <w:pPr>
              <w:spacing w:after="0"/>
              <w:rPr>
                <w:sz w:val="11"/>
                <w:szCs w:val="11"/>
                <w:color w:val="auto"/>
              </w:rPr>
            </w:pPr>
          </w:p>
        </w:tc>
        <w:tc>
          <w:tcPr>
            <w:tcW w:w="120" w:type="dxa"/>
            <w:vAlign w:val="bottom"/>
            <w:tcBorders>
              <w:top w:val="single" w:sz="8" w:color="B7E5FF"/>
            </w:tcBorders>
            <w:shd w:val="clear" w:color="auto" w:fill="B7E5FF"/>
          </w:tcPr>
          <w:p>
            <w:pPr>
              <w:spacing w:after="0"/>
              <w:rPr>
                <w:sz w:val="11"/>
                <w:szCs w:val="11"/>
                <w:color w:val="auto"/>
              </w:rPr>
            </w:pPr>
          </w:p>
        </w:tc>
        <w:tc>
          <w:tcPr>
            <w:tcW w:w="880" w:type="dxa"/>
            <w:vAlign w:val="bottom"/>
            <w:tcBorders>
              <w:top w:val="single" w:sz="8" w:color="auto"/>
            </w:tcBorders>
            <w:shd w:val="clear" w:color="auto" w:fill="B7E5FF"/>
          </w:tcPr>
          <w:p>
            <w:pPr>
              <w:jc w:val="right"/>
              <w:ind w:right="740"/>
              <w:spacing w:after="0" w:line="133" w:lineRule="exact"/>
              <w:rPr>
                <w:sz w:val="20"/>
                <w:szCs w:val="20"/>
                <w:color w:val="auto"/>
              </w:rPr>
            </w:pPr>
            <w:r>
              <w:rPr>
                <w:rFonts w:ascii="Arial" w:cs="Arial" w:eastAsia="Arial" w:hAnsi="Arial"/>
                <w:sz w:val="12"/>
                <w:szCs w:val="12"/>
                <w:color w:val="auto"/>
                <w:w w:val="89"/>
              </w:rPr>
              <w:t>$</w:t>
            </w:r>
          </w:p>
        </w:tc>
        <w:tc>
          <w:tcPr>
            <w:tcW w:w="44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w w:val="97"/>
              </w:rPr>
              <w:t>53,150</w:t>
            </w:r>
          </w:p>
        </w:tc>
        <w:tc>
          <w:tcPr>
            <w:tcW w:w="100" w:type="dxa"/>
            <w:vAlign w:val="bottom"/>
            <w:tcBorders>
              <w:top w:val="single" w:sz="8" w:color="B7E5FF"/>
            </w:tcBorders>
            <w:shd w:val="clear" w:color="auto" w:fill="B7E5FF"/>
          </w:tcPr>
          <w:p>
            <w:pPr>
              <w:spacing w:after="0"/>
              <w:rPr>
                <w:sz w:val="11"/>
                <w:szCs w:val="11"/>
                <w:color w:val="auto"/>
              </w:rPr>
            </w:pPr>
          </w:p>
        </w:tc>
        <w:tc>
          <w:tcPr>
            <w:tcW w:w="220" w:type="dxa"/>
            <w:vAlign w:val="bottom"/>
            <w:tcBorders>
              <w:top w:val="single" w:sz="8" w:color="auto"/>
            </w:tcBorders>
            <w:shd w:val="clear" w:color="auto" w:fill="B7E5FF"/>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49,827</w:t>
            </w:r>
          </w:p>
        </w:tc>
        <w:tc>
          <w:tcPr>
            <w:tcW w:w="100" w:type="dxa"/>
            <w:vAlign w:val="bottom"/>
            <w:tcBorders>
              <w:top w:val="single" w:sz="8" w:color="B7E5FF"/>
            </w:tcBorders>
            <w:shd w:val="clear" w:color="auto" w:fill="B7E5FF"/>
          </w:tcPr>
          <w:p>
            <w:pPr>
              <w:spacing w:after="0"/>
              <w:rPr>
                <w:sz w:val="11"/>
                <w:szCs w:val="11"/>
                <w:color w:val="auto"/>
              </w:rPr>
            </w:pPr>
          </w:p>
        </w:tc>
        <w:tc>
          <w:tcPr>
            <w:tcW w:w="960" w:type="dxa"/>
            <w:vAlign w:val="bottom"/>
            <w:tcBorders>
              <w:top w:val="single" w:sz="8" w:color="auto"/>
            </w:tcBorders>
            <w:shd w:val="clear" w:color="auto" w:fill="B7E5FF"/>
          </w:tcPr>
          <w:p>
            <w:pPr>
              <w:jc w:val="right"/>
              <w:ind w:right="820"/>
              <w:spacing w:after="0" w:line="133" w:lineRule="exact"/>
              <w:rPr>
                <w:sz w:val="20"/>
                <w:szCs w:val="20"/>
                <w:color w:val="auto"/>
              </w:rPr>
            </w:pPr>
            <w:r>
              <w:rPr>
                <w:rFonts w:ascii="Arial" w:cs="Arial" w:eastAsia="Arial" w:hAnsi="Arial"/>
                <w:sz w:val="12"/>
                <w:szCs w:val="12"/>
                <w:color w:val="auto"/>
                <w:w w:val="89"/>
              </w:rPr>
              <w:t>$</w:t>
            </w:r>
          </w:p>
        </w:tc>
        <w:tc>
          <w:tcPr>
            <w:tcW w:w="38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w w:val="99"/>
              </w:rPr>
              <w:t>8,509</w:t>
            </w:r>
          </w:p>
        </w:tc>
        <w:tc>
          <w:tcPr>
            <w:tcW w:w="120" w:type="dxa"/>
            <w:vAlign w:val="bottom"/>
            <w:tcBorders>
              <w:top w:val="single" w:sz="8" w:color="B7E5FF"/>
            </w:tcBorders>
            <w:shd w:val="clear" w:color="auto" w:fill="B7E5FF"/>
          </w:tcPr>
          <w:p>
            <w:pPr>
              <w:spacing w:after="0"/>
              <w:rPr>
                <w:sz w:val="11"/>
                <w:szCs w:val="11"/>
                <w:color w:val="auto"/>
              </w:rPr>
            </w:pPr>
          </w:p>
        </w:tc>
        <w:tc>
          <w:tcPr>
            <w:tcW w:w="220" w:type="dxa"/>
            <w:vAlign w:val="bottom"/>
            <w:tcBorders>
              <w:top w:val="single" w:sz="8" w:color="auto"/>
            </w:tcBorders>
            <w:shd w:val="clear" w:color="auto" w:fill="B7E5FF"/>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205,869</w:t>
            </w:r>
          </w:p>
        </w:tc>
      </w:tr>
      <w:tr>
        <w:trPr>
          <w:trHeight w:val="153"/>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33"/>
        </w:trPr>
        <w:tc>
          <w:tcPr>
            <w:tcW w:w="20" w:type="dxa"/>
            <w:vAlign w:val="bottom"/>
            <w:tcBorders>
              <w:bottom w:val="single" w:sz="8" w:color="B7E5FF"/>
            </w:tcBorders>
            <w:shd w:val="clear" w:color="auto" w:fill="B7E5FF"/>
          </w:tcPr>
          <w:p>
            <w:pPr>
              <w:spacing w:after="0"/>
              <w:rPr>
                <w:sz w:val="11"/>
                <w:szCs w:val="11"/>
                <w:color w:val="auto"/>
              </w:rPr>
            </w:pPr>
          </w:p>
        </w:tc>
        <w:tc>
          <w:tcPr>
            <w:tcW w:w="1060" w:type="dxa"/>
            <w:vAlign w:val="bottom"/>
            <w:tcBorders>
              <w:bottom w:val="single" w:sz="8" w:color="auto"/>
            </w:tcBorders>
            <w:shd w:val="clear" w:color="auto" w:fill="B7E5FF"/>
          </w:tcPr>
          <w:p>
            <w:pPr>
              <w:spacing w:after="0" w:line="117" w:lineRule="exact"/>
              <w:rPr>
                <w:sz w:val="20"/>
                <w:szCs w:val="20"/>
                <w:color w:val="auto"/>
              </w:rPr>
            </w:pPr>
            <w:r>
              <w:rPr>
                <w:rFonts w:ascii="Arial" w:cs="Arial" w:eastAsia="Arial" w:hAnsi="Arial"/>
                <w:sz w:val="12"/>
                <w:szCs w:val="12"/>
                <w:b w:val="1"/>
                <w:bCs w:val="1"/>
                <w:color w:val="auto"/>
                <w:w w:val="89"/>
              </w:rPr>
              <w:t>Customer Industries</w:t>
            </w:r>
          </w:p>
        </w:tc>
        <w:tc>
          <w:tcPr>
            <w:tcW w:w="3280" w:type="dxa"/>
            <w:vAlign w:val="bottom"/>
            <w:tcBorders>
              <w:bottom w:val="single" w:sz="8" w:color="B7E5FF"/>
            </w:tcBorders>
            <w:gridSpan w:val="2"/>
            <w:shd w:val="clear" w:color="auto" w:fill="B7E5FF"/>
          </w:tcPr>
          <w:p>
            <w:pPr>
              <w:spacing w:after="0"/>
              <w:rPr>
                <w:sz w:val="11"/>
                <w:szCs w:val="11"/>
                <w:color w:val="auto"/>
              </w:rPr>
            </w:pPr>
          </w:p>
        </w:tc>
        <w:tc>
          <w:tcPr>
            <w:tcW w:w="920" w:type="dxa"/>
            <w:vAlign w:val="bottom"/>
            <w:tcBorders>
              <w:bottom w:val="single" w:sz="8" w:color="B7E5FF"/>
            </w:tcBorders>
            <w:shd w:val="clear" w:color="auto" w:fill="B7E5FF"/>
          </w:tcPr>
          <w:p>
            <w:pPr>
              <w:spacing w:after="0"/>
              <w:rPr>
                <w:sz w:val="11"/>
                <w:szCs w:val="11"/>
                <w:color w:val="auto"/>
              </w:rPr>
            </w:pPr>
          </w:p>
        </w:tc>
        <w:tc>
          <w:tcPr>
            <w:tcW w:w="380" w:type="dxa"/>
            <w:vAlign w:val="bottom"/>
            <w:tcBorders>
              <w:bottom w:val="single" w:sz="8" w:color="B7E5FF"/>
            </w:tcBorders>
            <w:shd w:val="clear" w:color="auto" w:fill="B7E5FF"/>
          </w:tcPr>
          <w:p>
            <w:pPr>
              <w:spacing w:after="0"/>
              <w:rPr>
                <w:sz w:val="11"/>
                <w:szCs w:val="11"/>
                <w:color w:val="auto"/>
              </w:rPr>
            </w:pPr>
          </w:p>
        </w:tc>
        <w:tc>
          <w:tcPr>
            <w:tcW w:w="20" w:type="dxa"/>
            <w:vAlign w:val="bottom"/>
            <w:tcBorders>
              <w:bottom w:val="single" w:sz="8" w:color="B7E5FF"/>
            </w:tcBorders>
            <w:shd w:val="clear" w:color="auto" w:fill="B7E5FF"/>
          </w:tcPr>
          <w:p>
            <w:pPr>
              <w:spacing w:after="0"/>
              <w:rPr>
                <w:sz w:val="11"/>
                <w:szCs w:val="11"/>
                <w:color w:val="auto"/>
              </w:rPr>
            </w:pPr>
          </w:p>
        </w:tc>
        <w:tc>
          <w:tcPr>
            <w:tcW w:w="120" w:type="dxa"/>
            <w:vAlign w:val="bottom"/>
            <w:tcBorders>
              <w:bottom w:val="single" w:sz="8" w:color="B7E5FF"/>
            </w:tcBorders>
            <w:shd w:val="clear" w:color="auto" w:fill="B7E5FF"/>
          </w:tcPr>
          <w:p>
            <w:pPr>
              <w:spacing w:after="0"/>
              <w:rPr>
                <w:sz w:val="11"/>
                <w:szCs w:val="11"/>
                <w:color w:val="auto"/>
              </w:rPr>
            </w:pPr>
          </w:p>
        </w:tc>
        <w:tc>
          <w:tcPr>
            <w:tcW w:w="880" w:type="dxa"/>
            <w:vAlign w:val="bottom"/>
            <w:tcBorders>
              <w:bottom w:val="single" w:sz="8" w:color="B7E5FF"/>
            </w:tcBorders>
            <w:shd w:val="clear" w:color="auto" w:fill="B7E5FF"/>
          </w:tcPr>
          <w:p>
            <w:pPr>
              <w:spacing w:after="0"/>
              <w:rPr>
                <w:sz w:val="11"/>
                <w:szCs w:val="11"/>
                <w:color w:val="auto"/>
              </w:rPr>
            </w:pPr>
          </w:p>
        </w:tc>
        <w:tc>
          <w:tcPr>
            <w:tcW w:w="440" w:type="dxa"/>
            <w:vAlign w:val="bottom"/>
            <w:tcBorders>
              <w:bottom w:val="single" w:sz="8" w:color="B7E5FF"/>
            </w:tcBorders>
            <w:shd w:val="clear" w:color="auto" w:fill="B7E5FF"/>
          </w:tcPr>
          <w:p>
            <w:pPr>
              <w:spacing w:after="0"/>
              <w:rPr>
                <w:sz w:val="11"/>
                <w:szCs w:val="11"/>
                <w:color w:val="auto"/>
              </w:rPr>
            </w:pPr>
          </w:p>
        </w:tc>
        <w:tc>
          <w:tcPr>
            <w:tcW w:w="100" w:type="dxa"/>
            <w:vAlign w:val="bottom"/>
            <w:tcBorders>
              <w:bottom w:val="single" w:sz="8" w:color="B7E5FF"/>
            </w:tcBorders>
            <w:shd w:val="clear" w:color="auto" w:fill="B7E5FF"/>
          </w:tcPr>
          <w:p>
            <w:pPr>
              <w:spacing w:after="0"/>
              <w:rPr>
                <w:sz w:val="11"/>
                <w:szCs w:val="11"/>
                <w:color w:val="auto"/>
              </w:rPr>
            </w:pPr>
          </w:p>
        </w:tc>
        <w:tc>
          <w:tcPr>
            <w:tcW w:w="220" w:type="dxa"/>
            <w:vAlign w:val="bottom"/>
            <w:tcBorders>
              <w:bottom w:val="single" w:sz="8" w:color="B7E5FF"/>
            </w:tcBorders>
            <w:shd w:val="clear" w:color="auto" w:fill="B7E5FF"/>
          </w:tcPr>
          <w:p>
            <w:pPr>
              <w:spacing w:after="0"/>
              <w:rPr>
                <w:sz w:val="11"/>
                <w:szCs w:val="11"/>
                <w:color w:val="auto"/>
              </w:rPr>
            </w:pPr>
          </w:p>
        </w:tc>
        <w:tc>
          <w:tcPr>
            <w:tcW w:w="1120" w:type="dxa"/>
            <w:vAlign w:val="bottom"/>
            <w:tcBorders>
              <w:bottom w:val="single" w:sz="8" w:color="B7E5FF"/>
            </w:tcBorders>
            <w:shd w:val="clear" w:color="auto" w:fill="B7E5FF"/>
          </w:tcPr>
          <w:p>
            <w:pPr>
              <w:spacing w:after="0"/>
              <w:rPr>
                <w:sz w:val="11"/>
                <w:szCs w:val="11"/>
                <w:color w:val="auto"/>
              </w:rPr>
            </w:pPr>
          </w:p>
        </w:tc>
        <w:tc>
          <w:tcPr>
            <w:tcW w:w="100" w:type="dxa"/>
            <w:vAlign w:val="bottom"/>
            <w:tcBorders>
              <w:bottom w:val="single" w:sz="8" w:color="B7E5FF"/>
            </w:tcBorders>
            <w:shd w:val="clear" w:color="auto" w:fill="B7E5FF"/>
          </w:tcPr>
          <w:p>
            <w:pPr>
              <w:spacing w:after="0"/>
              <w:rPr>
                <w:sz w:val="11"/>
                <w:szCs w:val="11"/>
                <w:color w:val="auto"/>
              </w:rPr>
            </w:pPr>
          </w:p>
        </w:tc>
        <w:tc>
          <w:tcPr>
            <w:tcW w:w="960" w:type="dxa"/>
            <w:vAlign w:val="bottom"/>
            <w:tcBorders>
              <w:bottom w:val="single" w:sz="8" w:color="B7E5FF"/>
            </w:tcBorders>
            <w:shd w:val="clear" w:color="auto" w:fill="B7E5FF"/>
          </w:tcPr>
          <w:p>
            <w:pPr>
              <w:spacing w:after="0"/>
              <w:rPr>
                <w:sz w:val="11"/>
                <w:szCs w:val="11"/>
                <w:color w:val="auto"/>
              </w:rPr>
            </w:pPr>
          </w:p>
        </w:tc>
        <w:tc>
          <w:tcPr>
            <w:tcW w:w="380" w:type="dxa"/>
            <w:vAlign w:val="bottom"/>
            <w:tcBorders>
              <w:bottom w:val="single" w:sz="8" w:color="B7E5FF"/>
            </w:tcBorders>
            <w:shd w:val="clear" w:color="auto" w:fill="B7E5FF"/>
          </w:tcPr>
          <w:p>
            <w:pPr>
              <w:spacing w:after="0"/>
              <w:rPr>
                <w:sz w:val="11"/>
                <w:szCs w:val="11"/>
                <w:color w:val="auto"/>
              </w:rPr>
            </w:pPr>
          </w:p>
        </w:tc>
        <w:tc>
          <w:tcPr>
            <w:tcW w:w="120" w:type="dxa"/>
            <w:vAlign w:val="bottom"/>
            <w:tcBorders>
              <w:bottom w:val="single" w:sz="8" w:color="B7E5FF"/>
            </w:tcBorders>
            <w:shd w:val="clear" w:color="auto" w:fill="B7E5FF"/>
          </w:tcPr>
          <w:p>
            <w:pPr>
              <w:spacing w:after="0"/>
              <w:rPr>
                <w:sz w:val="11"/>
                <w:szCs w:val="11"/>
                <w:color w:val="auto"/>
              </w:rPr>
            </w:pPr>
          </w:p>
        </w:tc>
        <w:tc>
          <w:tcPr>
            <w:tcW w:w="220" w:type="dxa"/>
            <w:vAlign w:val="bottom"/>
            <w:tcBorders>
              <w:bottom w:val="single" w:sz="8" w:color="B7E5FF"/>
            </w:tcBorders>
            <w:shd w:val="clear" w:color="auto" w:fill="B7E5FF"/>
          </w:tcPr>
          <w:p>
            <w:pPr>
              <w:spacing w:after="0"/>
              <w:rPr>
                <w:sz w:val="11"/>
                <w:szCs w:val="11"/>
                <w:color w:val="auto"/>
              </w:rPr>
            </w:pPr>
          </w:p>
        </w:tc>
        <w:tc>
          <w:tcPr>
            <w:tcW w:w="1140" w:type="dxa"/>
            <w:vAlign w:val="bottom"/>
            <w:tcBorders>
              <w:bottom w:val="single" w:sz="8" w:color="B7E5FF"/>
            </w:tcBorders>
            <w:shd w:val="clear" w:color="auto" w:fill="B7E5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4340" w:type="dxa"/>
            <w:vAlign w:val="bottom"/>
            <w:gridSpan w:val="3"/>
          </w:tcPr>
          <w:p>
            <w:pPr>
              <w:spacing w:after="0"/>
              <w:rPr>
                <w:sz w:val="20"/>
                <w:szCs w:val="20"/>
                <w:color w:val="auto"/>
              </w:rPr>
            </w:pPr>
            <w:r>
              <w:rPr>
                <w:rFonts w:ascii="Arial" w:cs="Arial" w:eastAsia="Arial" w:hAnsi="Arial"/>
                <w:sz w:val="12"/>
                <w:szCs w:val="12"/>
                <w:color w:val="auto"/>
              </w:rPr>
              <w:t>Primary metals</w:t>
            </w:r>
          </w:p>
        </w:tc>
        <w:tc>
          <w:tcPr>
            <w:tcW w:w="920" w:type="dxa"/>
            <w:vAlign w:val="bottom"/>
          </w:tcPr>
          <w:p>
            <w:pPr>
              <w:jc w:val="right"/>
              <w:ind w:right="760"/>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w w:val="87"/>
              </w:rPr>
              <w:t>38,918</w:t>
            </w:r>
          </w:p>
        </w:tc>
        <w:tc>
          <w:tcPr>
            <w:tcW w:w="1020" w:type="dxa"/>
            <w:vAlign w:val="bottom"/>
            <w:gridSpan w:val="3"/>
          </w:tcPr>
          <w:p>
            <w:pPr>
              <w:jc w:val="right"/>
              <w:ind w:right="740"/>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w w:val="97"/>
              </w:rPr>
              <w:t>24,723</w:t>
            </w:r>
          </w:p>
        </w:tc>
        <w:tc>
          <w:tcPr>
            <w:tcW w:w="10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31,041</w:t>
            </w:r>
          </w:p>
        </w:tc>
        <w:tc>
          <w:tcPr>
            <w:tcW w:w="100" w:type="dxa"/>
            <w:vAlign w:val="bottom"/>
          </w:tcPr>
          <w:p>
            <w:pPr>
              <w:spacing w:after="0"/>
              <w:rPr>
                <w:sz w:val="13"/>
                <w:szCs w:val="13"/>
                <w:color w:val="auto"/>
              </w:rPr>
            </w:pPr>
          </w:p>
        </w:tc>
        <w:tc>
          <w:tcPr>
            <w:tcW w:w="960" w:type="dxa"/>
            <w:vAlign w:val="bottom"/>
          </w:tcPr>
          <w:p>
            <w:pPr>
              <w:jc w:val="right"/>
              <w:ind w:right="820"/>
              <w:spacing w:after="0"/>
              <w:rPr>
                <w:sz w:val="20"/>
                <w:szCs w:val="20"/>
                <w:color w:val="auto"/>
              </w:rPr>
            </w:pPr>
            <w:r>
              <w:rPr>
                <w:rFonts w:ascii="Arial" w:cs="Arial" w:eastAsia="Arial" w:hAnsi="Arial"/>
                <w:sz w:val="12"/>
                <w:szCs w:val="12"/>
                <w:color w:val="auto"/>
                <w:w w:val="89"/>
              </w:rPr>
              <w:t>$</w:t>
            </w:r>
          </w:p>
        </w:tc>
        <w:tc>
          <w:tcPr>
            <w:tcW w:w="380" w:type="dxa"/>
            <w:vAlign w:val="bottom"/>
          </w:tcPr>
          <w:p>
            <w:pPr>
              <w:jc w:val="right"/>
              <w:spacing w:after="0"/>
              <w:rPr>
                <w:sz w:val="20"/>
                <w:szCs w:val="20"/>
                <w:color w:val="auto"/>
              </w:rPr>
            </w:pPr>
            <w:r>
              <w:rPr>
                <w:rFonts w:ascii="Arial" w:cs="Arial" w:eastAsia="Arial" w:hAnsi="Arial"/>
                <w:sz w:val="12"/>
                <w:szCs w:val="12"/>
                <w:color w:val="auto"/>
                <w:w w:val="99"/>
              </w:rPr>
              <w:t>4,479</w:t>
            </w:r>
          </w:p>
        </w:tc>
        <w:tc>
          <w:tcPr>
            <w:tcW w:w="12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99,161</w:t>
            </w:r>
          </w:p>
        </w:tc>
      </w:tr>
      <w:tr>
        <w:trPr>
          <w:trHeight w:val="153"/>
        </w:trPr>
        <w:tc>
          <w:tcPr>
            <w:tcW w:w="20" w:type="dxa"/>
            <w:vAlign w:val="bottom"/>
            <w:shd w:val="clear" w:color="auto" w:fill="B7E5FF"/>
          </w:tcPr>
          <w:p>
            <w:pPr>
              <w:spacing w:after="0"/>
              <w:rPr>
                <w:sz w:val="13"/>
                <w:szCs w:val="13"/>
                <w:color w:val="auto"/>
              </w:rPr>
            </w:pPr>
          </w:p>
        </w:tc>
        <w:tc>
          <w:tcPr>
            <w:tcW w:w="4340" w:type="dxa"/>
            <w:vAlign w:val="bottom"/>
            <w:gridSpan w:val="3"/>
            <w:shd w:val="clear" w:color="auto" w:fill="B7E5FF"/>
          </w:tcPr>
          <w:p>
            <w:pPr>
              <w:spacing w:after="0"/>
              <w:rPr>
                <w:sz w:val="20"/>
                <w:szCs w:val="20"/>
                <w:color w:val="auto"/>
              </w:rPr>
            </w:pPr>
            <w:r>
              <w:rPr>
                <w:rFonts w:ascii="Arial" w:cs="Arial" w:eastAsia="Arial" w:hAnsi="Arial"/>
                <w:sz w:val="12"/>
                <w:szCs w:val="12"/>
                <w:color w:val="auto"/>
              </w:rPr>
              <w:t>Metalworking</w:t>
            </w:r>
          </w:p>
        </w:tc>
        <w:tc>
          <w:tcPr>
            <w:tcW w:w="920" w:type="dxa"/>
            <w:vAlign w:val="bottom"/>
            <w:shd w:val="clear" w:color="auto" w:fill="B7E5FF"/>
          </w:tcPr>
          <w:p>
            <w:pPr>
              <w:spacing w:after="0"/>
              <w:rPr>
                <w:sz w:val="13"/>
                <w:szCs w:val="13"/>
                <w:color w:val="auto"/>
              </w:rPr>
            </w:pPr>
          </w:p>
        </w:tc>
        <w:tc>
          <w:tcPr>
            <w:tcW w:w="380" w:type="dxa"/>
            <w:vAlign w:val="bottom"/>
            <w:shd w:val="clear" w:color="auto" w:fill="B7E5FF"/>
          </w:tcPr>
          <w:p>
            <w:pPr>
              <w:jc w:val="right"/>
              <w:spacing w:after="0"/>
              <w:rPr>
                <w:sz w:val="20"/>
                <w:szCs w:val="20"/>
                <w:color w:val="auto"/>
              </w:rPr>
            </w:pPr>
            <w:r>
              <w:rPr>
                <w:rFonts w:ascii="Arial" w:cs="Arial" w:eastAsia="Arial" w:hAnsi="Arial"/>
                <w:sz w:val="12"/>
                <w:szCs w:val="12"/>
                <w:color w:val="auto"/>
                <w:w w:val="87"/>
              </w:rPr>
              <w:t>40,698</w:t>
            </w:r>
          </w:p>
        </w:tc>
        <w:tc>
          <w:tcPr>
            <w:tcW w:w="20" w:type="dxa"/>
            <w:vAlign w:val="bottom"/>
            <w:shd w:val="clear" w:color="auto" w:fill="B7E5FF"/>
          </w:tcPr>
          <w:p>
            <w:pPr>
              <w:spacing w:after="0"/>
              <w:rPr>
                <w:sz w:val="13"/>
                <w:szCs w:val="13"/>
                <w:color w:val="auto"/>
              </w:rPr>
            </w:pPr>
          </w:p>
        </w:tc>
        <w:tc>
          <w:tcPr>
            <w:tcW w:w="120" w:type="dxa"/>
            <w:vAlign w:val="bottom"/>
            <w:shd w:val="clear" w:color="auto" w:fill="B7E5FF"/>
          </w:tcPr>
          <w:p>
            <w:pPr>
              <w:spacing w:after="0"/>
              <w:rPr>
                <w:sz w:val="13"/>
                <w:szCs w:val="13"/>
                <w:color w:val="auto"/>
              </w:rPr>
            </w:pPr>
          </w:p>
        </w:tc>
        <w:tc>
          <w:tcPr>
            <w:tcW w:w="880" w:type="dxa"/>
            <w:vAlign w:val="bottom"/>
            <w:shd w:val="clear" w:color="auto" w:fill="B7E5FF"/>
          </w:tcPr>
          <w:p>
            <w:pPr>
              <w:spacing w:after="0"/>
              <w:rPr>
                <w:sz w:val="13"/>
                <w:szCs w:val="13"/>
                <w:color w:val="auto"/>
              </w:rPr>
            </w:pPr>
          </w:p>
        </w:tc>
        <w:tc>
          <w:tcPr>
            <w:tcW w:w="440" w:type="dxa"/>
            <w:vAlign w:val="bottom"/>
            <w:shd w:val="clear" w:color="auto" w:fill="B7E5FF"/>
          </w:tcPr>
          <w:p>
            <w:pPr>
              <w:jc w:val="right"/>
              <w:spacing w:after="0"/>
              <w:rPr>
                <w:sz w:val="20"/>
                <w:szCs w:val="20"/>
                <w:color w:val="auto"/>
              </w:rPr>
            </w:pPr>
            <w:r>
              <w:rPr>
                <w:rFonts w:ascii="Arial" w:cs="Arial" w:eastAsia="Arial" w:hAnsi="Arial"/>
                <w:sz w:val="12"/>
                <w:szCs w:val="12"/>
                <w:color w:val="auto"/>
                <w:w w:val="97"/>
              </w:rPr>
              <w:t>26,740</w:t>
            </w:r>
          </w:p>
        </w:tc>
        <w:tc>
          <w:tcPr>
            <w:tcW w:w="100" w:type="dxa"/>
            <w:vAlign w:val="bottom"/>
            <w:shd w:val="clear" w:color="auto" w:fill="B7E5FF"/>
          </w:tcPr>
          <w:p>
            <w:pPr>
              <w:spacing w:after="0"/>
              <w:rPr>
                <w:sz w:val="13"/>
                <w:szCs w:val="13"/>
                <w:color w:val="auto"/>
              </w:rPr>
            </w:pPr>
          </w:p>
        </w:tc>
        <w:tc>
          <w:tcPr>
            <w:tcW w:w="220" w:type="dxa"/>
            <w:vAlign w:val="bottom"/>
            <w:shd w:val="clear" w:color="auto" w:fill="B7E5FF"/>
          </w:tcPr>
          <w:p>
            <w:pPr>
              <w:spacing w:after="0"/>
              <w:rPr>
                <w:sz w:val="13"/>
                <w:szCs w:val="13"/>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16,470</w:t>
            </w:r>
          </w:p>
        </w:tc>
        <w:tc>
          <w:tcPr>
            <w:tcW w:w="100" w:type="dxa"/>
            <w:vAlign w:val="bottom"/>
            <w:shd w:val="clear" w:color="auto" w:fill="B7E5FF"/>
          </w:tcPr>
          <w:p>
            <w:pPr>
              <w:spacing w:after="0"/>
              <w:rPr>
                <w:sz w:val="13"/>
                <w:szCs w:val="13"/>
                <w:color w:val="auto"/>
              </w:rPr>
            </w:pPr>
          </w:p>
        </w:tc>
        <w:tc>
          <w:tcPr>
            <w:tcW w:w="960" w:type="dxa"/>
            <w:vAlign w:val="bottom"/>
            <w:shd w:val="clear" w:color="auto" w:fill="B7E5FF"/>
          </w:tcPr>
          <w:p>
            <w:pPr>
              <w:spacing w:after="0"/>
              <w:rPr>
                <w:sz w:val="13"/>
                <w:szCs w:val="13"/>
                <w:color w:val="auto"/>
              </w:rPr>
            </w:pPr>
          </w:p>
        </w:tc>
        <w:tc>
          <w:tcPr>
            <w:tcW w:w="380" w:type="dxa"/>
            <w:vAlign w:val="bottom"/>
            <w:shd w:val="clear" w:color="auto" w:fill="B7E5FF"/>
          </w:tcPr>
          <w:p>
            <w:pPr>
              <w:jc w:val="right"/>
              <w:spacing w:after="0"/>
              <w:rPr>
                <w:sz w:val="20"/>
                <w:szCs w:val="20"/>
                <w:color w:val="auto"/>
              </w:rPr>
            </w:pPr>
            <w:r>
              <w:rPr>
                <w:rFonts w:ascii="Arial" w:cs="Arial" w:eastAsia="Arial" w:hAnsi="Arial"/>
                <w:sz w:val="12"/>
                <w:szCs w:val="12"/>
                <w:color w:val="auto"/>
                <w:w w:val="99"/>
              </w:rPr>
              <w:t>3,628</w:t>
            </w:r>
          </w:p>
        </w:tc>
        <w:tc>
          <w:tcPr>
            <w:tcW w:w="120" w:type="dxa"/>
            <w:vAlign w:val="bottom"/>
            <w:shd w:val="clear" w:color="auto" w:fill="B7E5FF"/>
          </w:tcPr>
          <w:p>
            <w:pPr>
              <w:spacing w:after="0"/>
              <w:rPr>
                <w:sz w:val="13"/>
                <w:szCs w:val="13"/>
                <w:color w:val="auto"/>
              </w:rPr>
            </w:pPr>
          </w:p>
        </w:tc>
        <w:tc>
          <w:tcPr>
            <w:tcW w:w="220" w:type="dxa"/>
            <w:vAlign w:val="bottom"/>
            <w:shd w:val="clear" w:color="auto" w:fill="B7E5FF"/>
          </w:tcPr>
          <w:p>
            <w:pPr>
              <w:spacing w:after="0"/>
              <w:rPr>
                <w:sz w:val="13"/>
                <w:szCs w:val="13"/>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87,536</w:t>
            </w:r>
          </w:p>
        </w:tc>
      </w:tr>
      <w:tr>
        <w:trPr>
          <w:trHeight w:val="153"/>
        </w:trPr>
        <w:tc>
          <w:tcPr>
            <w:tcW w:w="20" w:type="dxa"/>
            <w:vAlign w:val="bottom"/>
            <w:tcBorders>
              <w:bottom w:val="single" w:sz="8" w:color="B7E5FF"/>
            </w:tcBorders>
          </w:tcPr>
          <w:p>
            <w:pPr>
              <w:spacing w:after="0"/>
              <w:rPr>
                <w:sz w:val="13"/>
                <w:szCs w:val="13"/>
                <w:color w:val="auto"/>
              </w:rPr>
            </w:pPr>
          </w:p>
        </w:tc>
        <w:tc>
          <w:tcPr>
            <w:tcW w:w="4340" w:type="dxa"/>
            <w:vAlign w:val="bottom"/>
            <w:tcBorders>
              <w:bottom w:val="single" w:sz="8" w:color="B7E5FF"/>
            </w:tcBorders>
            <w:gridSpan w:val="3"/>
          </w:tcPr>
          <w:p>
            <w:pPr>
              <w:spacing w:after="0"/>
              <w:rPr>
                <w:sz w:val="20"/>
                <w:szCs w:val="20"/>
                <w:color w:val="auto"/>
              </w:rPr>
            </w:pPr>
            <w:r>
              <w:rPr>
                <w:rFonts w:ascii="Arial" w:cs="Arial" w:eastAsia="Arial" w:hAnsi="Arial"/>
                <w:sz w:val="12"/>
                <w:szCs w:val="12"/>
                <w:color w:val="auto"/>
              </w:rPr>
              <w:t>Coatings and other</w:t>
            </w:r>
          </w:p>
        </w:tc>
        <w:tc>
          <w:tcPr>
            <w:tcW w:w="9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7"/>
              </w:rPr>
              <w:t>14,767</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B7E5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1,687</w:t>
            </w:r>
          </w:p>
        </w:tc>
        <w:tc>
          <w:tcPr>
            <w:tcW w:w="100" w:type="dxa"/>
            <w:vAlign w:val="bottom"/>
            <w:tcBorders>
              <w:bottom w:val="single" w:sz="8" w:color="B7E5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2,316</w:t>
            </w:r>
          </w:p>
        </w:tc>
        <w:tc>
          <w:tcPr>
            <w:tcW w:w="100" w:type="dxa"/>
            <w:vAlign w:val="bottom"/>
            <w:tcBorders>
              <w:bottom w:val="single" w:sz="8" w:color="B7E5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402</w:t>
            </w:r>
          </w:p>
        </w:tc>
        <w:tc>
          <w:tcPr>
            <w:tcW w:w="120" w:type="dxa"/>
            <w:vAlign w:val="bottom"/>
            <w:tcBorders>
              <w:bottom w:val="single" w:sz="8" w:color="B7E5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19,172</w:t>
            </w:r>
          </w:p>
        </w:tc>
      </w:tr>
      <w:tr>
        <w:trPr>
          <w:trHeight w:val="140"/>
        </w:trPr>
        <w:tc>
          <w:tcPr>
            <w:tcW w:w="20" w:type="dxa"/>
            <w:vAlign w:val="bottom"/>
            <w:tcBorders>
              <w:bottom w:val="single" w:sz="8" w:color="B7E5FF"/>
            </w:tcBorders>
            <w:shd w:val="clear" w:color="auto" w:fill="B7E5FF"/>
          </w:tcPr>
          <w:p>
            <w:pPr>
              <w:spacing w:after="0"/>
              <w:rPr>
                <w:sz w:val="12"/>
                <w:szCs w:val="12"/>
                <w:color w:val="auto"/>
              </w:rPr>
            </w:pPr>
          </w:p>
        </w:tc>
        <w:tc>
          <w:tcPr>
            <w:tcW w:w="1060" w:type="dxa"/>
            <w:vAlign w:val="bottom"/>
            <w:tcBorders>
              <w:bottom w:val="single" w:sz="8" w:color="B7E5FF"/>
            </w:tcBorders>
            <w:shd w:val="clear" w:color="auto" w:fill="B7E5FF"/>
          </w:tcPr>
          <w:p>
            <w:pPr>
              <w:spacing w:after="0"/>
              <w:rPr>
                <w:sz w:val="12"/>
                <w:szCs w:val="12"/>
                <w:color w:val="auto"/>
              </w:rPr>
            </w:pPr>
          </w:p>
        </w:tc>
        <w:tc>
          <w:tcPr>
            <w:tcW w:w="520" w:type="dxa"/>
            <w:vAlign w:val="bottom"/>
            <w:tcBorders>
              <w:bottom w:val="single" w:sz="8" w:color="B7E5FF"/>
            </w:tcBorders>
            <w:shd w:val="clear" w:color="auto" w:fill="B7E5FF"/>
          </w:tcPr>
          <w:p>
            <w:pPr>
              <w:spacing w:after="0"/>
              <w:rPr>
                <w:sz w:val="12"/>
                <w:szCs w:val="12"/>
                <w:color w:val="auto"/>
              </w:rPr>
            </w:pPr>
          </w:p>
        </w:tc>
        <w:tc>
          <w:tcPr>
            <w:tcW w:w="2760" w:type="dxa"/>
            <w:vAlign w:val="bottom"/>
            <w:tcBorders>
              <w:bottom w:val="single" w:sz="8" w:color="B7E5FF"/>
            </w:tcBorders>
            <w:shd w:val="clear" w:color="auto" w:fill="B7E5FF"/>
          </w:tcPr>
          <w:p>
            <w:pPr>
              <w:spacing w:after="0"/>
              <w:rPr>
                <w:sz w:val="12"/>
                <w:szCs w:val="12"/>
                <w:color w:val="auto"/>
              </w:rPr>
            </w:pPr>
          </w:p>
        </w:tc>
        <w:tc>
          <w:tcPr>
            <w:tcW w:w="920" w:type="dxa"/>
            <w:vAlign w:val="bottom"/>
            <w:tcBorders>
              <w:bottom w:val="single" w:sz="8" w:color="auto"/>
            </w:tcBorders>
            <w:shd w:val="clear" w:color="auto" w:fill="B7E5FF"/>
          </w:tcPr>
          <w:p>
            <w:pPr>
              <w:jc w:val="right"/>
              <w:ind w:right="760"/>
              <w:spacing w:after="0" w:line="133" w:lineRule="exact"/>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w w:val="87"/>
              </w:rPr>
              <w:t>94,383</w:t>
            </w:r>
          </w:p>
        </w:tc>
        <w:tc>
          <w:tcPr>
            <w:tcW w:w="20" w:type="dxa"/>
            <w:vAlign w:val="bottom"/>
            <w:tcBorders>
              <w:bottom w:val="single" w:sz="8" w:color="auto"/>
            </w:tcBorders>
            <w:shd w:val="clear" w:color="auto" w:fill="B7E5FF"/>
          </w:tcPr>
          <w:p>
            <w:pPr>
              <w:spacing w:after="0"/>
              <w:rPr>
                <w:sz w:val="12"/>
                <w:szCs w:val="12"/>
                <w:color w:val="auto"/>
              </w:rPr>
            </w:pPr>
          </w:p>
        </w:tc>
        <w:tc>
          <w:tcPr>
            <w:tcW w:w="120" w:type="dxa"/>
            <w:vAlign w:val="bottom"/>
            <w:tcBorders>
              <w:bottom w:val="single" w:sz="8" w:color="B7E5FF"/>
            </w:tcBorders>
            <w:shd w:val="clear" w:color="auto" w:fill="B7E5FF"/>
          </w:tcPr>
          <w:p>
            <w:pPr>
              <w:spacing w:after="0"/>
              <w:rPr>
                <w:sz w:val="12"/>
                <w:szCs w:val="12"/>
                <w:color w:val="auto"/>
              </w:rPr>
            </w:pPr>
          </w:p>
        </w:tc>
        <w:tc>
          <w:tcPr>
            <w:tcW w:w="880" w:type="dxa"/>
            <w:vAlign w:val="bottom"/>
            <w:tcBorders>
              <w:bottom w:val="single" w:sz="8" w:color="auto"/>
            </w:tcBorders>
            <w:shd w:val="clear" w:color="auto" w:fill="B7E5FF"/>
          </w:tcPr>
          <w:p>
            <w:pPr>
              <w:jc w:val="right"/>
              <w:ind w:right="740"/>
              <w:spacing w:after="0" w:line="133" w:lineRule="exact"/>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w w:val="97"/>
              </w:rPr>
              <w:t>53,150</w:t>
            </w:r>
          </w:p>
        </w:tc>
        <w:tc>
          <w:tcPr>
            <w:tcW w:w="100" w:type="dxa"/>
            <w:vAlign w:val="bottom"/>
            <w:tcBorders>
              <w:bottom w:val="single" w:sz="8" w:color="B7E5FF"/>
            </w:tcBorders>
            <w:shd w:val="clear" w:color="auto" w:fill="B7E5FF"/>
          </w:tcPr>
          <w:p>
            <w:pPr>
              <w:spacing w:after="0"/>
              <w:rPr>
                <w:sz w:val="12"/>
                <w:szCs w:val="12"/>
                <w:color w:val="auto"/>
              </w:rPr>
            </w:pPr>
          </w:p>
        </w:tc>
        <w:tc>
          <w:tcPr>
            <w:tcW w:w="220" w:type="dxa"/>
            <w:vAlign w:val="bottom"/>
            <w:tcBorders>
              <w:bottom w:val="single" w:sz="8" w:color="auto"/>
            </w:tcBorders>
            <w:shd w:val="clear" w:color="auto" w:fill="B7E5FF"/>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49,827</w:t>
            </w:r>
          </w:p>
        </w:tc>
        <w:tc>
          <w:tcPr>
            <w:tcW w:w="100" w:type="dxa"/>
            <w:vAlign w:val="bottom"/>
            <w:tcBorders>
              <w:bottom w:val="single" w:sz="8" w:color="B7E5FF"/>
            </w:tcBorders>
            <w:shd w:val="clear" w:color="auto" w:fill="B7E5FF"/>
          </w:tcPr>
          <w:p>
            <w:pPr>
              <w:spacing w:after="0"/>
              <w:rPr>
                <w:sz w:val="12"/>
                <w:szCs w:val="12"/>
                <w:color w:val="auto"/>
              </w:rPr>
            </w:pPr>
          </w:p>
        </w:tc>
        <w:tc>
          <w:tcPr>
            <w:tcW w:w="960" w:type="dxa"/>
            <w:vAlign w:val="bottom"/>
            <w:tcBorders>
              <w:bottom w:val="single" w:sz="8" w:color="auto"/>
            </w:tcBorders>
            <w:shd w:val="clear" w:color="auto" w:fill="B7E5FF"/>
          </w:tcPr>
          <w:p>
            <w:pPr>
              <w:jc w:val="right"/>
              <w:ind w:right="820"/>
              <w:spacing w:after="0" w:line="133" w:lineRule="exact"/>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w w:val="99"/>
              </w:rPr>
              <w:t>8,509</w:t>
            </w:r>
          </w:p>
        </w:tc>
        <w:tc>
          <w:tcPr>
            <w:tcW w:w="120" w:type="dxa"/>
            <w:vAlign w:val="bottom"/>
            <w:tcBorders>
              <w:bottom w:val="single" w:sz="8" w:color="B7E5FF"/>
            </w:tcBorders>
            <w:shd w:val="clear" w:color="auto" w:fill="B7E5FF"/>
          </w:tcPr>
          <w:p>
            <w:pPr>
              <w:spacing w:after="0"/>
              <w:rPr>
                <w:sz w:val="12"/>
                <w:szCs w:val="12"/>
                <w:color w:val="auto"/>
              </w:rPr>
            </w:pPr>
          </w:p>
        </w:tc>
        <w:tc>
          <w:tcPr>
            <w:tcW w:w="220" w:type="dxa"/>
            <w:vAlign w:val="bottom"/>
            <w:tcBorders>
              <w:bottom w:val="single" w:sz="8" w:color="auto"/>
            </w:tcBorders>
            <w:shd w:val="clear" w:color="auto" w:fill="B7E5FF"/>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205,869</w:t>
            </w:r>
          </w:p>
        </w:tc>
      </w:tr>
      <w:tr>
        <w:trPr>
          <w:trHeight w:val="144"/>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33"/>
        </w:trPr>
        <w:tc>
          <w:tcPr>
            <w:tcW w:w="20" w:type="dxa"/>
            <w:vAlign w:val="bottom"/>
            <w:shd w:val="clear" w:color="auto" w:fill="B7E5FF"/>
          </w:tcPr>
          <w:p>
            <w:pPr>
              <w:spacing w:after="0"/>
              <w:rPr>
                <w:sz w:val="11"/>
                <w:szCs w:val="11"/>
                <w:color w:val="auto"/>
              </w:rPr>
            </w:pPr>
          </w:p>
        </w:tc>
        <w:tc>
          <w:tcPr>
            <w:tcW w:w="4340" w:type="dxa"/>
            <w:vAlign w:val="bottom"/>
            <w:gridSpan w:val="3"/>
            <w:shd w:val="clear" w:color="auto" w:fill="B7E5FF"/>
          </w:tcPr>
          <w:p>
            <w:pPr>
              <w:spacing w:after="0" w:line="117" w:lineRule="exact"/>
              <w:rPr>
                <w:sz w:val="20"/>
                <w:szCs w:val="20"/>
                <w:color w:val="auto"/>
              </w:rPr>
            </w:pPr>
            <w:r>
              <w:rPr>
                <w:rFonts w:ascii="Arial" w:cs="Arial" w:eastAsia="Arial" w:hAnsi="Arial"/>
                <w:sz w:val="12"/>
                <w:szCs w:val="12"/>
                <w:b w:val="1"/>
                <w:bCs w:val="1"/>
                <w:color w:val="auto"/>
              </w:rPr>
              <w:t>Timing of Revenue Recognized</w:t>
            </w:r>
          </w:p>
        </w:tc>
        <w:tc>
          <w:tcPr>
            <w:tcW w:w="920" w:type="dxa"/>
            <w:vAlign w:val="bottom"/>
            <w:shd w:val="clear" w:color="auto" w:fill="B7E5FF"/>
          </w:tcPr>
          <w:p>
            <w:pPr>
              <w:spacing w:after="0"/>
              <w:rPr>
                <w:sz w:val="11"/>
                <w:szCs w:val="11"/>
                <w:color w:val="auto"/>
              </w:rPr>
            </w:pPr>
          </w:p>
        </w:tc>
        <w:tc>
          <w:tcPr>
            <w:tcW w:w="380" w:type="dxa"/>
            <w:vAlign w:val="bottom"/>
            <w:shd w:val="clear" w:color="auto" w:fill="B7E5FF"/>
          </w:tcPr>
          <w:p>
            <w:pPr>
              <w:spacing w:after="0"/>
              <w:rPr>
                <w:sz w:val="11"/>
                <w:szCs w:val="11"/>
                <w:color w:val="auto"/>
              </w:rPr>
            </w:pPr>
          </w:p>
        </w:tc>
        <w:tc>
          <w:tcPr>
            <w:tcW w:w="20" w:type="dxa"/>
            <w:vAlign w:val="bottom"/>
            <w:shd w:val="clear" w:color="auto" w:fill="B7E5FF"/>
          </w:tcPr>
          <w:p>
            <w:pPr>
              <w:spacing w:after="0"/>
              <w:rPr>
                <w:sz w:val="11"/>
                <w:szCs w:val="11"/>
                <w:color w:val="auto"/>
              </w:rPr>
            </w:pPr>
          </w:p>
        </w:tc>
        <w:tc>
          <w:tcPr>
            <w:tcW w:w="120" w:type="dxa"/>
            <w:vAlign w:val="bottom"/>
            <w:shd w:val="clear" w:color="auto" w:fill="B7E5FF"/>
          </w:tcPr>
          <w:p>
            <w:pPr>
              <w:spacing w:after="0"/>
              <w:rPr>
                <w:sz w:val="11"/>
                <w:szCs w:val="11"/>
                <w:color w:val="auto"/>
              </w:rPr>
            </w:pPr>
          </w:p>
        </w:tc>
        <w:tc>
          <w:tcPr>
            <w:tcW w:w="880" w:type="dxa"/>
            <w:vAlign w:val="bottom"/>
            <w:shd w:val="clear" w:color="auto" w:fill="B7E5FF"/>
          </w:tcPr>
          <w:p>
            <w:pPr>
              <w:spacing w:after="0"/>
              <w:rPr>
                <w:sz w:val="11"/>
                <w:szCs w:val="11"/>
                <w:color w:val="auto"/>
              </w:rPr>
            </w:pPr>
          </w:p>
        </w:tc>
        <w:tc>
          <w:tcPr>
            <w:tcW w:w="440" w:type="dxa"/>
            <w:vAlign w:val="bottom"/>
            <w:shd w:val="clear" w:color="auto" w:fill="B7E5FF"/>
          </w:tcPr>
          <w:p>
            <w:pPr>
              <w:spacing w:after="0"/>
              <w:rPr>
                <w:sz w:val="11"/>
                <w:szCs w:val="11"/>
                <w:color w:val="auto"/>
              </w:rPr>
            </w:pPr>
          </w:p>
        </w:tc>
        <w:tc>
          <w:tcPr>
            <w:tcW w:w="100" w:type="dxa"/>
            <w:vAlign w:val="bottom"/>
            <w:shd w:val="clear" w:color="auto" w:fill="B7E5FF"/>
          </w:tcPr>
          <w:p>
            <w:pPr>
              <w:spacing w:after="0"/>
              <w:rPr>
                <w:sz w:val="11"/>
                <w:szCs w:val="11"/>
                <w:color w:val="auto"/>
              </w:rPr>
            </w:pPr>
          </w:p>
        </w:tc>
        <w:tc>
          <w:tcPr>
            <w:tcW w:w="220" w:type="dxa"/>
            <w:vAlign w:val="bottom"/>
            <w:shd w:val="clear" w:color="auto" w:fill="B7E5FF"/>
          </w:tcPr>
          <w:p>
            <w:pPr>
              <w:spacing w:after="0"/>
              <w:rPr>
                <w:sz w:val="11"/>
                <w:szCs w:val="11"/>
                <w:color w:val="auto"/>
              </w:rPr>
            </w:pPr>
          </w:p>
        </w:tc>
        <w:tc>
          <w:tcPr>
            <w:tcW w:w="1120" w:type="dxa"/>
            <w:vAlign w:val="bottom"/>
            <w:shd w:val="clear" w:color="auto" w:fill="B7E5FF"/>
          </w:tcPr>
          <w:p>
            <w:pPr>
              <w:spacing w:after="0"/>
              <w:rPr>
                <w:sz w:val="11"/>
                <w:szCs w:val="11"/>
                <w:color w:val="auto"/>
              </w:rPr>
            </w:pPr>
          </w:p>
        </w:tc>
        <w:tc>
          <w:tcPr>
            <w:tcW w:w="100" w:type="dxa"/>
            <w:vAlign w:val="bottom"/>
            <w:shd w:val="clear" w:color="auto" w:fill="B7E5FF"/>
          </w:tcPr>
          <w:p>
            <w:pPr>
              <w:spacing w:after="0"/>
              <w:rPr>
                <w:sz w:val="11"/>
                <w:szCs w:val="11"/>
                <w:color w:val="auto"/>
              </w:rPr>
            </w:pPr>
          </w:p>
        </w:tc>
        <w:tc>
          <w:tcPr>
            <w:tcW w:w="960" w:type="dxa"/>
            <w:vAlign w:val="bottom"/>
            <w:shd w:val="clear" w:color="auto" w:fill="B7E5FF"/>
          </w:tcPr>
          <w:p>
            <w:pPr>
              <w:spacing w:after="0"/>
              <w:rPr>
                <w:sz w:val="11"/>
                <w:szCs w:val="11"/>
                <w:color w:val="auto"/>
              </w:rPr>
            </w:pPr>
          </w:p>
        </w:tc>
        <w:tc>
          <w:tcPr>
            <w:tcW w:w="380" w:type="dxa"/>
            <w:vAlign w:val="bottom"/>
            <w:shd w:val="clear" w:color="auto" w:fill="B7E5FF"/>
          </w:tcPr>
          <w:p>
            <w:pPr>
              <w:spacing w:after="0"/>
              <w:rPr>
                <w:sz w:val="11"/>
                <w:szCs w:val="11"/>
                <w:color w:val="auto"/>
              </w:rPr>
            </w:pPr>
          </w:p>
        </w:tc>
        <w:tc>
          <w:tcPr>
            <w:tcW w:w="120" w:type="dxa"/>
            <w:vAlign w:val="bottom"/>
            <w:shd w:val="clear" w:color="auto" w:fill="B7E5FF"/>
          </w:tcPr>
          <w:p>
            <w:pPr>
              <w:spacing w:after="0"/>
              <w:rPr>
                <w:sz w:val="11"/>
                <w:szCs w:val="11"/>
                <w:color w:val="auto"/>
              </w:rPr>
            </w:pPr>
          </w:p>
        </w:tc>
        <w:tc>
          <w:tcPr>
            <w:tcW w:w="220" w:type="dxa"/>
            <w:vAlign w:val="bottom"/>
            <w:shd w:val="clear" w:color="auto" w:fill="B7E5FF"/>
          </w:tcPr>
          <w:p>
            <w:pPr>
              <w:spacing w:after="0"/>
              <w:rPr>
                <w:sz w:val="11"/>
                <w:szCs w:val="11"/>
                <w:color w:val="auto"/>
              </w:rPr>
            </w:pPr>
          </w:p>
        </w:tc>
        <w:tc>
          <w:tcPr>
            <w:tcW w:w="1140" w:type="dxa"/>
            <w:vAlign w:val="bottom"/>
            <w:shd w:val="clear" w:color="auto" w:fill="B7E5FF"/>
          </w:tcPr>
          <w:p>
            <w:pPr>
              <w:spacing w:after="0"/>
              <w:rPr>
                <w:sz w:val="11"/>
                <w:szCs w:val="11"/>
                <w:color w:val="auto"/>
              </w:rPr>
            </w:pPr>
          </w:p>
        </w:tc>
      </w:tr>
      <w:tr>
        <w:trPr>
          <w:trHeight w:val="153"/>
        </w:trPr>
        <w:tc>
          <w:tcPr>
            <w:tcW w:w="20" w:type="dxa"/>
            <w:vAlign w:val="bottom"/>
            <w:tcBorders>
              <w:top w:val="single" w:sz="8" w:color="B7E5FF"/>
            </w:tcBorders>
          </w:tcPr>
          <w:p>
            <w:pPr>
              <w:spacing w:after="0"/>
              <w:rPr>
                <w:sz w:val="13"/>
                <w:szCs w:val="13"/>
                <w:color w:val="auto"/>
              </w:rPr>
            </w:pPr>
          </w:p>
        </w:tc>
        <w:tc>
          <w:tcPr>
            <w:tcW w:w="1580" w:type="dxa"/>
            <w:vAlign w:val="bottom"/>
            <w:tcBorders>
              <w:top w:val="single" w:sz="8" w:color="auto"/>
            </w:tcBorders>
            <w:gridSpan w:val="2"/>
          </w:tcPr>
          <w:p>
            <w:pPr>
              <w:spacing w:after="0"/>
              <w:rPr>
                <w:sz w:val="20"/>
                <w:szCs w:val="20"/>
                <w:color w:val="auto"/>
              </w:rPr>
            </w:pPr>
            <w:r>
              <w:rPr>
                <w:rFonts w:ascii="Arial" w:cs="Arial" w:eastAsia="Arial" w:hAnsi="Arial"/>
                <w:sz w:val="12"/>
                <w:szCs w:val="12"/>
                <w:color w:val="auto"/>
                <w:w w:val="95"/>
              </w:rPr>
              <w:t>Product sales at a point in time</w:t>
            </w:r>
          </w:p>
        </w:tc>
        <w:tc>
          <w:tcPr>
            <w:tcW w:w="2760" w:type="dxa"/>
            <w:vAlign w:val="bottom"/>
            <w:tcBorders>
              <w:top w:val="single" w:sz="8" w:color="B7E5FF"/>
            </w:tcBorders>
          </w:tcPr>
          <w:p>
            <w:pPr>
              <w:spacing w:after="0"/>
              <w:rPr>
                <w:sz w:val="13"/>
                <w:szCs w:val="13"/>
                <w:color w:val="auto"/>
              </w:rPr>
            </w:pPr>
          </w:p>
        </w:tc>
        <w:tc>
          <w:tcPr>
            <w:tcW w:w="920" w:type="dxa"/>
            <w:vAlign w:val="bottom"/>
            <w:tcBorders>
              <w:top w:val="single" w:sz="8" w:color="B7E5FF"/>
            </w:tcBorders>
          </w:tcPr>
          <w:p>
            <w:pPr>
              <w:jc w:val="right"/>
              <w:ind w:right="760"/>
              <w:spacing w:after="0"/>
              <w:rPr>
                <w:sz w:val="20"/>
                <w:szCs w:val="20"/>
                <w:color w:val="auto"/>
              </w:rPr>
            </w:pPr>
            <w:r>
              <w:rPr>
                <w:rFonts w:ascii="Arial" w:cs="Arial" w:eastAsia="Arial" w:hAnsi="Arial"/>
                <w:sz w:val="12"/>
                <w:szCs w:val="12"/>
                <w:color w:val="auto"/>
              </w:rPr>
              <w:t>$</w:t>
            </w:r>
          </w:p>
        </w:tc>
        <w:tc>
          <w:tcPr>
            <w:tcW w:w="380" w:type="dxa"/>
            <w:vAlign w:val="bottom"/>
            <w:tcBorders>
              <w:top w:val="single" w:sz="8" w:color="B7E5FF"/>
            </w:tcBorders>
          </w:tcPr>
          <w:p>
            <w:pPr>
              <w:jc w:val="right"/>
              <w:spacing w:after="0"/>
              <w:rPr>
                <w:sz w:val="20"/>
                <w:szCs w:val="20"/>
                <w:color w:val="auto"/>
              </w:rPr>
            </w:pPr>
            <w:r>
              <w:rPr>
                <w:rFonts w:ascii="Arial" w:cs="Arial" w:eastAsia="Arial" w:hAnsi="Arial"/>
                <w:sz w:val="12"/>
                <w:szCs w:val="12"/>
                <w:color w:val="auto"/>
                <w:w w:val="87"/>
              </w:rPr>
              <w:t>91,612</w:t>
            </w:r>
          </w:p>
        </w:tc>
        <w:tc>
          <w:tcPr>
            <w:tcW w:w="1020" w:type="dxa"/>
            <w:vAlign w:val="bottom"/>
            <w:tcBorders>
              <w:top w:val="single" w:sz="8" w:color="B7E5FF"/>
            </w:tcBorders>
            <w:gridSpan w:val="3"/>
          </w:tcPr>
          <w:p>
            <w:pPr>
              <w:jc w:val="right"/>
              <w:ind w:right="740"/>
              <w:spacing w:after="0"/>
              <w:rPr>
                <w:sz w:val="20"/>
                <w:szCs w:val="20"/>
                <w:color w:val="auto"/>
              </w:rPr>
            </w:pPr>
            <w:r>
              <w:rPr>
                <w:rFonts w:ascii="Arial" w:cs="Arial" w:eastAsia="Arial" w:hAnsi="Arial"/>
                <w:sz w:val="12"/>
                <w:szCs w:val="12"/>
                <w:color w:val="auto"/>
              </w:rPr>
              <w:t>$</w:t>
            </w:r>
          </w:p>
        </w:tc>
        <w:tc>
          <w:tcPr>
            <w:tcW w:w="440" w:type="dxa"/>
            <w:vAlign w:val="bottom"/>
            <w:tcBorders>
              <w:top w:val="single" w:sz="8" w:color="B7E5FF"/>
            </w:tcBorders>
          </w:tcPr>
          <w:p>
            <w:pPr>
              <w:jc w:val="right"/>
              <w:spacing w:after="0"/>
              <w:rPr>
                <w:sz w:val="20"/>
                <w:szCs w:val="20"/>
                <w:color w:val="auto"/>
              </w:rPr>
            </w:pPr>
            <w:r>
              <w:rPr>
                <w:rFonts w:ascii="Arial" w:cs="Arial" w:eastAsia="Arial" w:hAnsi="Arial"/>
                <w:sz w:val="12"/>
                <w:szCs w:val="12"/>
                <w:color w:val="auto"/>
                <w:w w:val="97"/>
              </w:rPr>
              <w:t>53,098</w:t>
            </w:r>
          </w:p>
        </w:tc>
        <w:tc>
          <w:tcPr>
            <w:tcW w:w="100" w:type="dxa"/>
            <w:vAlign w:val="bottom"/>
            <w:tcBorders>
              <w:top w:val="single" w:sz="8" w:color="B7E5FF"/>
            </w:tcBorders>
          </w:tcPr>
          <w:p>
            <w:pPr>
              <w:spacing w:after="0"/>
              <w:rPr>
                <w:sz w:val="13"/>
                <w:szCs w:val="13"/>
                <w:color w:val="auto"/>
              </w:rPr>
            </w:pPr>
          </w:p>
        </w:tc>
        <w:tc>
          <w:tcPr>
            <w:tcW w:w="220" w:type="dxa"/>
            <w:vAlign w:val="bottom"/>
            <w:tcBorders>
              <w:top w:val="single" w:sz="8" w:color="B7E5FF"/>
            </w:tcBorders>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B7E5FF"/>
            </w:tcBorders>
          </w:tcPr>
          <w:p>
            <w:pPr>
              <w:jc w:val="right"/>
              <w:spacing w:after="0"/>
              <w:rPr>
                <w:sz w:val="20"/>
                <w:szCs w:val="20"/>
                <w:color w:val="auto"/>
              </w:rPr>
            </w:pPr>
            <w:r>
              <w:rPr>
                <w:rFonts w:ascii="Arial" w:cs="Arial" w:eastAsia="Arial" w:hAnsi="Arial"/>
                <w:sz w:val="12"/>
                <w:szCs w:val="12"/>
                <w:color w:val="auto"/>
              </w:rPr>
              <w:t>48,406</w:t>
            </w:r>
          </w:p>
        </w:tc>
        <w:tc>
          <w:tcPr>
            <w:tcW w:w="100" w:type="dxa"/>
            <w:vAlign w:val="bottom"/>
            <w:tcBorders>
              <w:top w:val="single" w:sz="8" w:color="B7E5FF"/>
            </w:tcBorders>
          </w:tcPr>
          <w:p>
            <w:pPr>
              <w:spacing w:after="0"/>
              <w:rPr>
                <w:sz w:val="13"/>
                <w:szCs w:val="13"/>
                <w:color w:val="auto"/>
              </w:rPr>
            </w:pPr>
          </w:p>
        </w:tc>
        <w:tc>
          <w:tcPr>
            <w:tcW w:w="960" w:type="dxa"/>
            <w:vAlign w:val="bottom"/>
            <w:tcBorders>
              <w:top w:val="single" w:sz="8" w:color="B7E5FF"/>
            </w:tcBorders>
          </w:tcPr>
          <w:p>
            <w:pPr>
              <w:jc w:val="right"/>
              <w:ind w:right="820"/>
              <w:spacing w:after="0"/>
              <w:rPr>
                <w:sz w:val="20"/>
                <w:szCs w:val="20"/>
                <w:color w:val="auto"/>
              </w:rPr>
            </w:pPr>
            <w:r>
              <w:rPr>
                <w:rFonts w:ascii="Arial" w:cs="Arial" w:eastAsia="Arial" w:hAnsi="Arial"/>
                <w:sz w:val="12"/>
                <w:szCs w:val="12"/>
                <w:color w:val="auto"/>
                <w:w w:val="89"/>
              </w:rPr>
              <w:t>$</w:t>
            </w:r>
          </w:p>
        </w:tc>
        <w:tc>
          <w:tcPr>
            <w:tcW w:w="380" w:type="dxa"/>
            <w:vAlign w:val="bottom"/>
            <w:tcBorders>
              <w:top w:val="single" w:sz="8" w:color="B7E5FF"/>
            </w:tcBorders>
          </w:tcPr>
          <w:p>
            <w:pPr>
              <w:jc w:val="right"/>
              <w:spacing w:after="0"/>
              <w:rPr>
                <w:sz w:val="20"/>
                <w:szCs w:val="20"/>
                <w:color w:val="auto"/>
              </w:rPr>
            </w:pPr>
            <w:r>
              <w:rPr>
                <w:rFonts w:ascii="Arial" w:cs="Arial" w:eastAsia="Arial" w:hAnsi="Arial"/>
                <w:sz w:val="12"/>
                <w:szCs w:val="12"/>
                <w:color w:val="auto"/>
                <w:w w:val="99"/>
              </w:rPr>
              <w:t>8,441</w:t>
            </w:r>
          </w:p>
        </w:tc>
        <w:tc>
          <w:tcPr>
            <w:tcW w:w="120" w:type="dxa"/>
            <w:vAlign w:val="bottom"/>
            <w:tcBorders>
              <w:top w:val="single" w:sz="8" w:color="B7E5FF"/>
            </w:tcBorders>
          </w:tcPr>
          <w:p>
            <w:pPr>
              <w:spacing w:after="0"/>
              <w:rPr>
                <w:sz w:val="13"/>
                <w:szCs w:val="13"/>
                <w:color w:val="auto"/>
              </w:rPr>
            </w:pPr>
          </w:p>
        </w:tc>
        <w:tc>
          <w:tcPr>
            <w:tcW w:w="220" w:type="dxa"/>
            <w:vAlign w:val="bottom"/>
            <w:tcBorders>
              <w:top w:val="single" w:sz="8" w:color="B7E5FF"/>
            </w:tcBorders>
          </w:tcPr>
          <w:p>
            <w:pPr>
              <w:jc w:val="right"/>
              <w:ind w:right="80"/>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B7E5FF"/>
            </w:tcBorders>
          </w:tcPr>
          <w:p>
            <w:pPr>
              <w:jc w:val="right"/>
              <w:spacing w:after="0"/>
              <w:rPr>
                <w:sz w:val="20"/>
                <w:szCs w:val="20"/>
                <w:color w:val="auto"/>
              </w:rPr>
            </w:pPr>
            <w:r>
              <w:rPr>
                <w:rFonts w:ascii="Arial" w:cs="Arial" w:eastAsia="Arial" w:hAnsi="Arial"/>
                <w:sz w:val="12"/>
                <w:szCs w:val="12"/>
                <w:color w:val="auto"/>
              </w:rPr>
              <w:t>201,557</w:t>
            </w:r>
          </w:p>
        </w:tc>
      </w:tr>
      <w:tr>
        <w:trPr>
          <w:trHeight w:val="153"/>
        </w:trPr>
        <w:tc>
          <w:tcPr>
            <w:tcW w:w="20" w:type="dxa"/>
            <w:vAlign w:val="bottom"/>
            <w:shd w:val="clear" w:color="auto" w:fill="B7E5FF"/>
          </w:tcPr>
          <w:p>
            <w:pPr>
              <w:spacing w:after="0"/>
              <w:rPr>
                <w:sz w:val="13"/>
                <w:szCs w:val="13"/>
                <w:color w:val="auto"/>
              </w:rPr>
            </w:pPr>
          </w:p>
        </w:tc>
        <w:tc>
          <w:tcPr>
            <w:tcW w:w="4340" w:type="dxa"/>
            <w:vAlign w:val="bottom"/>
            <w:gridSpan w:val="3"/>
            <w:shd w:val="clear" w:color="auto" w:fill="B7E5FF"/>
          </w:tcPr>
          <w:p>
            <w:pPr>
              <w:spacing w:after="0"/>
              <w:rPr>
                <w:sz w:val="20"/>
                <w:szCs w:val="20"/>
                <w:color w:val="auto"/>
              </w:rPr>
            </w:pPr>
            <w:r>
              <w:rPr>
                <w:rFonts w:ascii="Arial" w:cs="Arial" w:eastAsia="Arial" w:hAnsi="Arial"/>
                <w:sz w:val="12"/>
                <w:szCs w:val="12"/>
                <w:color w:val="auto"/>
              </w:rPr>
              <w:t>Services transferred over time</w:t>
            </w:r>
          </w:p>
        </w:tc>
        <w:tc>
          <w:tcPr>
            <w:tcW w:w="920" w:type="dxa"/>
            <w:vAlign w:val="bottom"/>
            <w:tcBorders>
              <w:bottom w:val="single" w:sz="8" w:color="auto"/>
            </w:tcBorders>
            <w:shd w:val="clear" w:color="auto" w:fill="B7E5FF"/>
          </w:tcPr>
          <w:p>
            <w:pPr>
              <w:spacing w:after="0"/>
              <w:rPr>
                <w:sz w:val="13"/>
                <w:szCs w:val="13"/>
                <w:color w:val="auto"/>
              </w:rPr>
            </w:pPr>
          </w:p>
        </w:tc>
        <w:tc>
          <w:tcPr>
            <w:tcW w:w="3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2,771</w:t>
            </w:r>
          </w:p>
        </w:tc>
        <w:tc>
          <w:tcPr>
            <w:tcW w:w="20" w:type="dxa"/>
            <w:vAlign w:val="bottom"/>
            <w:tcBorders>
              <w:bottom w:val="single" w:sz="8" w:color="auto"/>
            </w:tcBorders>
            <w:shd w:val="clear" w:color="auto" w:fill="B7E5FF"/>
          </w:tcPr>
          <w:p>
            <w:pPr>
              <w:spacing w:after="0"/>
              <w:rPr>
                <w:sz w:val="13"/>
                <w:szCs w:val="13"/>
                <w:color w:val="auto"/>
              </w:rPr>
            </w:pPr>
          </w:p>
        </w:tc>
        <w:tc>
          <w:tcPr>
            <w:tcW w:w="120" w:type="dxa"/>
            <w:vAlign w:val="bottom"/>
            <w:shd w:val="clear" w:color="auto" w:fill="B7E5FF"/>
          </w:tcPr>
          <w:p>
            <w:pPr>
              <w:spacing w:after="0"/>
              <w:rPr>
                <w:sz w:val="13"/>
                <w:szCs w:val="13"/>
                <w:color w:val="auto"/>
              </w:rPr>
            </w:pPr>
          </w:p>
        </w:tc>
        <w:tc>
          <w:tcPr>
            <w:tcW w:w="880" w:type="dxa"/>
            <w:vAlign w:val="bottom"/>
            <w:tcBorders>
              <w:bottom w:val="single" w:sz="8" w:color="auto"/>
            </w:tcBorders>
            <w:shd w:val="clear" w:color="auto" w:fill="B7E5FF"/>
          </w:tcPr>
          <w:p>
            <w:pPr>
              <w:spacing w:after="0"/>
              <w:rPr>
                <w:sz w:val="13"/>
                <w:szCs w:val="13"/>
                <w:color w:val="auto"/>
              </w:rPr>
            </w:pPr>
          </w:p>
        </w:tc>
        <w:tc>
          <w:tcPr>
            <w:tcW w:w="4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52</w:t>
            </w:r>
          </w:p>
        </w:tc>
        <w:tc>
          <w:tcPr>
            <w:tcW w:w="100" w:type="dxa"/>
            <w:vAlign w:val="bottom"/>
            <w:shd w:val="clear" w:color="auto" w:fill="B7E5FF"/>
          </w:tcPr>
          <w:p>
            <w:pPr>
              <w:spacing w:after="0"/>
              <w:rPr>
                <w:sz w:val="13"/>
                <w:szCs w:val="13"/>
                <w:color w:val="auto"/>
              </w:rPr>
            </w:pPr>
          </w:p>
        </w:tc>
        <w:tc>
          <w:tcPr>
            <w:tcW w:w="220" w:type="dxa"/>
            <w:vAlign w:val="bottom"/>
            <w:tcBorders>
              <w:bottom w:val="single" w:sz="8" w:color="auto"/>
            </w:tcBorders>
            <w:shd w:val="clear" w:color="auto" w:fill="B7E5FF"/>
          </w:tcPr>
          <w:p>
            <w:pPr>
              <w:spacing w:after="0"/>
              <w:rPr>
                <w:sz w:val="13"/>
                <w:szCs w:val="13"/>
                <w:color w:val="auto"/>
              </w:rPr>
            </w:pPr>
          </w:p>
        </w:tc>
        <w:tc>
          <w:tcPr>
            <w:tcW w:w="1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1,421</w:t>
            </w:r>
          </w:p>
        </w:tc>
        <w:tc>
          <w:tcPr>
            <w:tcW w:w="100" w:type="dxa"/>
            <w:vAlign w:val="bottom"/>
            <w:shd w:val="clear" w:color="auto" w:fill="B7E5FF"/>
          </w:tcPr>
          <w:p>
            <w:pPr>
              <w:spacing w:after="0"/>
              <w:rPr>
                <w:sz w:val="13"/>
                <w:szCs w:val="13"/>
                <w:color w:val="auto"/>
              </w:rPr>
            </w:pPr>
          </w:p>
        </w:tc>
        <w:tc>
          <w:tcPr>
            <w:tcW w:w="960" w:type="dxa"/>
            <w:vAlign w:val="bottom"/>
            <w:tcBorders>
              <w:bottom w:val="single" w:sz="8" w:color="auto"/>
            </w:tcBorders>
            <w:shd w:val="clear" w:color="auto" w:fill="B7E5FF"/>
          </w:tcPr>
          <w:p>
            <w:pPr>
              <w:spacing w:after="0"/>
              <w:rPr>
                <w:sz w:val="13"/>
                <w:szCs w:val="13"/>
                <w:color w:val="auto"/>
              </w:rPr>
            </w:pPr>
          </w:p>
        </w:tc>
        <w:tc>
          <w:tcPr>
            <w:tcW w:w="3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68</w:t>
            </w:r>
          </w:p>
        </w:tc>
        <w:tc>
          <w:tcPr>
            <w:tcW w:w="120" w:type="dxa"/>
            <w:vAlign w:val="bottom"/>
            <w:shd w:val="clear" w:color="auto" w:fill="B7E5FF"/>
          </w:tcPr>
          <w:p>
            <w:pPr>
              <w:spacing w:after="0"/>
              <w:rPr>
                <w:sz w:val="13"/>
                <w:szCs w:val="13"/>
                <w:color w:val="auto"/>
              </w:rPr>
            </w:pPr>
          </w:p>
        </w:tc>
        <w:tc>
          <w:tcPr>
            <w:tcW w:w="220" w:type="dxa"/>
            <w:vAlign w:val="bottom"/>
            <w:tcBorders>
              <w:bottom w:val="single" w:sz="8" w:color="auto"/>
            </w:tcBorders>
            <w:shd w:val="clear" w:color="auto" w:fill="B7E5FF"/>
          </w:tcPr>
          <w:p>
            <w:pPr>
              <w:spacing w:after="0"/>
              <w:rPr>
                <w:sz w:val="13"/>
                <w:szCs w:val="13"/>
                <w:color w:val="auto"/>
              </w:rPr>
            </w:pP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4,312</w:t>
            </w:r>
          </w:p>
        </w:tc>
      </w:tr>
      <w:tr>
        <w:trPr>
          <w:trHeight w:val="140"/>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20" w:type="dxa"/>
            <w:vAlign w:val="bottom"/>
            <w:tcBorders>
              <w:bottom w:val="single" w:sz="8" w:color="auto"/>
            </w:tcBorders>
          </w:tcPr>
          <w:p>
            <w:pPr>
              <w:jc w:val="right"/>
              <w:ind w:right="760"/>
              <w:spacing w:after="0" w:line="133" w:lineRule="exact"/>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87"/>
              </w:rPr>
              <w:t>94,383</w:t>
            </w: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bottom w:val="single" w:sz="8" w:color="auto"/>
            </w:tcBorders>
          </w:tcPr>
          <w:p>
            <w:pPr>
              <w:jc w:val="right"/>
              <w:ind w:right="740"/>
              <w:spacing w:after="0" w:line="133" w:lineRule="exact"/>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97"/>
              </w:rPr>
              <w:t>53,150</w:t>
            </w: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49,827</w:t>
            </w:r>
          </w:p>
        </w:tc>
        <w:tc>
          <w:tcPr>
            <w:tcW w:w="100" w:type="dxa"/>
            <w:vAlign w:val="bottom"/>
          </w:tcPr>
          <w:p>
            <w:pPr>
              <w:spacing w:after="0"/>
              <w:rPr>
                <w:sz w:val="12"/>
                <w:szCs w:val="12"/>
                <w:color w:val="auto"/>
              </w:rPr>
            </w:pPr>
          </w:p>
        </w:tc>
        <w:tc>
          <w:tcPr>
            <w:tcW w:w="960" w:type="dxa"/>
            <w:vAlign w:val="bottom"/>
            <w:tcBorders>
              <w:bottom w:val="single" w:sz="8" w:color="auto"/>
            </w:tcBorders>
          </w:tcPr>
          <w:p>
            <w:pPr>
              <w:jc w:val="right"/>
              <w:ind w:right="820"/>
              <w:spacing w:after="0" w:line="133" w:lineRule="exact"/>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99"/>
              </w:rPr>
              <w:t>8,509</w:t>
            </w:r>
          </w:p>
        </w:tc>
        <w:tc>
          <w:tcPr>
            <w:tcW w:w="12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205,869</w:t>
            </w:r>
          </w:p>
        </w:tc>
      </w:tr>
      <w:tr>
        <w:trPr>
          <w:trHeight w:val="288"/>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2"/>
                <w:szCs w:val="12"/>
                <w:color w:val="auto"/>
                <w:w w:val="89"/>
              </w:rPr>
              <w:t>11</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2"/>
        </w:trPr>
        <w:tc>
          <w:tcPr>
            <w:tcW w:w="2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276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-23495</wp:posOffset>
            </wp:positionV>
            <wp:extent cx="31115"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i w:val="1"/>
          <w:iCs w:val="1"/>
          <w:color w:val="auto"/>
        </w:rPr>
        <w:t>(Unaudited)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7"/>
          </w:tcPr>
          <w:p>
            <w:pPr>
              <w:jc w:val="right"/>
              <w:ind w:right="680"/>
              <w:spacing w:after="0"/>
              <w:rPr>
                <w:sz w:val="20"/>
                <w:szCs w:val="20"/>
                <w:color w:val="auto"/>
              </w:rPr>
            </w:pPr>
            <w:r>
              <w:rPr>
                <w:rFonts w:ascii="Arial" w:cs="Arial" w:eastAsia="Arial" w:hAnsi="Arial"/>
                <w:sz w:val="12"/>
                <w:szCs w:val="12"/>
                <w:b w:val="1"/>
                <w:bCs w:val="1"/>
                <w:color w:val="auto"/>
              </w:rPr>
              <w:t>Three Months Ended June 30, 2018</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jc w:val="center"/>
              <w:ind w:right="160"/>
              <w:spacing w:after="0" w:line="125" w:lineRule="exact"/>
              <w:rPr>
                <w:sz w:val="20"/>
                <w:szCs w:val="20"/>
                <w:color w:val="auto"/>
              </w:rPr>
            </w:pPr>
            <w:r>
              <w:rPr>
                <w:rFonts w:ascii="Arial" w:cs="Arial" w:eastAsia="Arial" w:hAnsi="Arial"/>
                <w:sz w:val="12"/>
                <w:szCs w:val="12"/>
                <w:b w:val="1"/>
                <w:bCs w:val="1"/>
                <w:color w:val="auto"/>
                <w:w w:val="93"/>
              </w:rPr>
              <w:t>North</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center"/>
              <w:ind w:left="360"/>
              <w:spacing w:after="0" w:line="125" w:lineRule="exact"/>
              <w:rPr>
                <w:sz w:val="20"/>
                <w:szCs w:val="20"/>
                <w:color w:val="auto"/>
              </w:rPr>
            </w:pPr>
            <w:r>
              <w:rPr>
                <w:rFonts w:ascii="Arial" w:cs="Arial" w:eastAsia="Arial" w:hAnsi="Arial"/>
                <w:sz w:val="12"/>
                <w:szCs w:val="12"/>
                <w:b w:val="1"/>
                <w:bCs w:val="1"/>
                <w:color w:val="auto"/>
                <w:w w:val="88"/>
              </w:rPr>
              <w:t>South</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160"/>
              <w:spacing w:after="0" w:line="125" w:lineRule="exact"/>
              <w:rPr>
                <w:sz w:val="20"/>
                <w:szCs w:val="20"/>
                <w:color w:val="auto"/>
              </w:rPr>
            </w:pPr>
            <w:r>
              <w:rPr>
                <w:rFonts w:ascii="Arial" w:cs="Arial" w:eastAsia="Arial" w:hAnsi="Arial"/>
                <w:sz w:val="12"/>
                <w:szCs w:val="12"/>
                <w:b w:val="1"/>
                <w:bCs w:val="1"/>
                <w:color w:val="auto"/>
                <w:w w:val="89"/>
              </w:rPr>
              <w:t>Consolidated</w:t>
            </w:r>
          </w:p>
        </w:tc>
      </w:tr>
      <w:tr>
        <w:trPr>
          <w:trHeight w:val="157"/>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center"/>
              <w:ind w:right="180"/>
              <w:spacing w:after="0"/>
              <w:rPr>
                <w:sz w:val="20"/>
                <w:szCs w:val="20"/>
                <w:color w:val="auto"/>
              </w:rPr>
            </w:pPr>
            <w:r>
              <w:rPr>
                <w:rFonts w:ascii="Arial" w:cs="Arial" w:eastAsia="Arial" w:hAnsi="Arial"/>
                <w:sz w:val="12"/>
                <w:szCs w:val="12"/>
                <w:b w:val="1"/>
                <w:bCs w:val="1"/>
                <w:color w:val="auto"/>
                <w:w w:val="92"/>
              </w:rPr>
              <w:t>America</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ind w:right="380"/>
              <w:spacing w:after="0"/>
              <w:rPr>
                <w:sz w:val="20"/>
                <w:szCs w:val="20"/>
                <w:color w:val="auto"/>
              </w:rPr>
            </w:pPr>
            <w:r>
              <w:rPr>
                <w:rFonts w:ascii="Arial" w:cs="Arial" w:eastAsia="Arial" w:hAnsi="Arial"/>
                <w:sz w:val="12"/>
                <w:szCs w:val="12"/>
                <w:b w:val="1"/>
                <w:bCs w:val="1"/>
                <w:color w:val="auto"/>
              </w:rPr>
              <w:t>EMEA</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ind w:left="140"/>
              <w:spacing w:after="0"/>
              <w:rPr>
                <w:sz w:val="20"/>
                <w:szCs w:val="20"/>
                <w:color w:val="auto"/>
              </w:rPr>
            </w:pPr>
            <w:r>
              <w:rPr>
                <w:rFonts w:ascii="Arial" w:cs="Arial" w:eastAsia="Arial" w:hAnsi="Arial"/>
                <w:sz w:val="12"/>
                <w:szCs w:val="12"/>
                <w:b w:val="1"/>
                <w:bCs w:val="1"/>
                <w:color w:val="auto"/>
              </w:rPr>
              <w:t>Asia/Pacific</w:t>
            </w:r>
          </w:p>
        </w:tc>
        <w:tc>
          <w:tcPr>
            <w:tcW w:w="920" w:type="dxa"/>
            <w:vAlign w:val="bottom"/>
          </w:tcPr>
          <w:p>
            <w:pPr>
              <w:jc w:val="center"/>
              <w:ind w:left="380"/>
              <w:spacing w:after="0"/>
              <w:rPr>
                <w:sz w:val="20"/>
                <w:szCs w:val="20"/>
                <w:color w:val="auto"/>
              </w:rPr>
            </w:pPr>
            <w:r>
              <w:rPr>
                <w:rFonts w:ascii="Arial" w:cs="Arial" w:eastAsia="Arial" w:hAnsi="Arial"/>
                <w:sz w:val="12"/>
                <w:szCs w:val="12"/>
                <w:b w:val="1"/>
                <w:bCs w:val="1"/>
                <w:color w:val="auto"/>
                <w:w w:val="92"/>
              </w:rPr>
              <w:t>America</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center"/>
              <w:ind w:right="160"/>
              <w:spacing w:after="0"/>
              <w:rPr>
                <w:sz w:val="20"/>
                <w:szCs w:val="20"/>
                <w:color w:val="auto"/>
              </w:rPr>
            </w:pPr>
            <w:r>
              <w:rPr>
                <w:rFonts w:ascii="Arial" w:cs="Arial" w:eastAsia="Arial" w:hAnsi="Arial"/>
                <w:sz w:val="12"/>
                <w:szCs w:val="12"/>
                <w:b w:val="1"/>
                <w:bCs w:val="1"/>
                <w:color w:val="auto"/>
                <w:w w:val="97"/>
              </w:rPr>
              <w:t>Total</w:t>
            </w:r>
          </w:p>
        </w:tc>
      </w:tr>
      <w:tr>
        <w:trPr>
          <w:trHeight w:val="133"/>
        </w:trPr>
        <w:tc>
          <w:tcPr>
            <w:tcW w:w="20" w:type="dxa"/>
            <w:vAlign w:val="bottom"/>
            <w:tcBorders>
              <w:top w:val="single" w:sz="8" w:color="B7E5FF"/>
            </w:tcBorders>
            <w:shd w:val="clear" w:color="auto" w:fill="B7E5FF"/>
          </w:tcPr>
          <w:p>
            <w:pPr>
              <w:spacing w:after="0"/>
              <w:rPr>
                <w:sz w:val="11"/>
                <w:szCs w:val="11"/>
                <w:color w:val="auto"/>
              </w:rPr>
            </w:pPr>
          </w:p>
        </w:tc>
        <w:tc>
          <w:tcPr>
            <w:tcW w:w="4340" w:type="dxa"/>
            <w:vAlign w:val="bottom"/>
            <w:tcBorders>
              <w:top w:val="single" w:sz="8" w:color="B7E5FF"/>
            </w:tcBorders>
            <w:gridSpan w:val="3"/>
            <w:shd w:val="clear" w:color="auto" w:fill="B7E5FF"/>
          </w:tcPr>
          <w:p>
            <w:pPr>
              <w:spacing w:after="0" w:line="133" w:lineRule="exact"/>
              <w:rPr>
                <w:sz w:val="20"/>
                <w:szCs w:val="20"/>
                <w:color w:val="auto"/>
              </w:rPr>
            </w:pPr>
            <w:r>
              <w:rPr>
                <w:rFonts w:ascii="Arial" w:cs="Arial" w:eastAsia="Arial" w:hAnsi="Arial"/>
                <w:sz w:val="12"/>
                <w:szCs w:val="12"/>
                <w:color w:val="auto"/>
              </w:rPr>
              <w:t>Net sales</w:t>
            </w:r>
          </w:p>
        </w:tc>
        <w:tc>
          <w:tcPr>
            <w:tcW w:w="280" w:type="dxa"/>
            <w:vAlign w:val="bottom"/>
            <w:tcBorders>
              <w:top w:val="single" w:sz="8" w:color="auto"/>
            </w:tcBorders>
            <w:shd w:val="clear" w:color="auto" w:fill="B7E5FF"/>
          </w:tcPr>
          <w:p>
            <w:pPr>
              <w:jc w:val="right"/>
              <w:ind w:right="120"/>
              <w:spacing w:after="0" w:line="133" w:lineRule="exact"/>
              <w:rPr>
                <w:sz w:val="20"/>
                <w:szCs w:val="20"/>
                <w:color w:val="auto"/>
              </w:rPr>
            </w:pPr>
            <w:r>
              <w:rPr>
                <w:rFonts w:ascii="Arial" w:cs="Arial" w:eastAsia="Arial" w:hAnsi="Arial"/>
                <w:sz w:val="12"/>
                <w:szCs w:val="12"/>
                <w:color w:val="auto"/>
              </w:rPr>
              <w:t>$</w:t>
            </w:r>
          </w:p>
        </w:tc>
        <w:tc>
          <w:tcPr>
            <w:tcW w:w="100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97,392</w:t>
            </w:r>
          </w:p>
        </w:tc>
        <w:tc>
          <w:tcPr>
            <w:tcW w:w="40" w:type="dxa"/>
            <w:vAlign w:val="bottom"/>
            <w:tcBorders>
              <w:top w:val="single" w:sz="8" w:color="auto"/>
            </w:tcBorders>
            <w:shd w:val="clear" w:color="auto" w:fill="B7E5FF"/>
          </w:tcPr>
          <w:p>
            <w:pPr>
              <w:spacing w:after="0"/>
              <w:rPr>
                <w:sz w:val="11"/>
                <w:szCs w:val="11"/>
                <w:color w:val="auto"/>
              </w:rPr>
            </w:pPr>
          </w:p>
        </w:tc>
        <w:tc>
          <w:tcPr>
            <w:tcW w:w="120" w:type="dxa"/>
            <w:vAlign w:val="bottom"/>
            <w:tcBorders>
              <w:top w:val="single" w:sz="8" w:color="B7E5FF"/>
            </w:tcBorders>
            <w:shd w:val="clear" w:color="auto" w:fill="B7E5FF"/>
          </w:tcPr>
          <w:p>
            <w:pPr>
              <w:spacing w:after="0"/>
              <w:rPr>
                <w:sz w:val="11"/>
                <w:szCs w:val="11"/>
                <w:color w:val="auto"/>
              </w:rPr>
            </w:pPr>
          </w:p>
        </w:tc>
        <w:tc>
          <w:tcPr>
            <w:tcW w:w="280" w:type="dxa"/>
            <w:vAlign w:val="bottom"/>
            <w:tcBorders>
              <w:top w:val="single" w:sz="8" w:color="auto"/>
            </w:tcBorders>
            <w:shd w:val="clear" w:color="auto" w:fill="B7E5FF"/>
          </w:tcPr>
          <w:p>
            <w:pPr>
              <w:jc w:val="right"/>
              <w:ind w:right="140"/>
              <w:spacing w:after="0" w:line="133" w:lineRule="exact"/>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60,166</w:t>
            </w:r>
          </w:p>
        </w:tc>
        <w:tc>
          <w:tcPr>
            <w:tcW w:w="40" w:type="dxa"/>
            <w:vAlign w:val="bottom"/>
            <w:tcBorders>
              <w:top w:val="single" w:sz="8" w:color="auto"/>
            </w:tcBorders>
            <w:shd w:val="clear" w:color="auto" w:fill="B7E5FF"/>
          </w:tcPr>
          <w:p>
            <w:pPr>
              <w:spacing w:after="0"/>
              <w:rPr>
                <w:sz w:val="11"/>
                <w:szCs w:val="11"/>
                <w:color w:val="auto"/>
              </w:rPr>
            </w:pPr>
          </w:p>
        </w:tc>
        <w:tc>
          <w:tcPr>
            <w:tcW w:w="100" w:type="dxa"/>
            <w:vAlign w:val="bottom"/>
            <w:tcBorders>
              <w:top w:val="single" w:sz="8" w:color="B7E5FF"/>
            </w:tcBorders>
            <w:shd w:val="clear" w:color="auto" w:fill="B7E5FF"/>
          </w:tcPr>
          <w:p>
            <w:pPr>
              <w:spacing w:after="0"/>
              <w:rPr>
                <w:sz w:val="11"/>
                <w:szCs w:val="11"/>
                <w:color w:val="auto"/>
              </w:rPr>
            </w:pPr>
          </w:p>
        </w:tc>
        <w:tc>
          <w:tcPr>
            <w:tcW w:w="220" w:type="dxa"/>
            <w:vAlign w:val="bottom"/>
            <w:tcBorders>
              <w:top w:val="single" w:sz="8" w:color="auto"/>
            </w:tcBorders>
            <w:shd w:val="clear" w:color="auto" w:fill="B7E5FF"/>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55,348</w:t>
            </w:r>
          </w:p>
        </w:tc>
        <w:tc>
          <w:tcPr>
            <w:tcW w:w="100" w:type="dxa"/>
            <w:vAlign w:val="bottom"/>
            <w:tcBorders>
              <w:top w:val="single" w:sz="8" w:color="B7E5FF"/>
            </w:tcBorders>
            <w:shd w:val="clear" w:color="auto" w:fill="B7E5FF"/>
          </w:tcPr>
          <w:p>
            <w:pPr>
              <w:spacing w:after="0"/>
              <w:rPr>
                <w:sz w:val="11"/>
                <w:szCs w:val="11"/>
                <w:color w:val="auto"/>
              </w:rPr>
            </w:pPr>
          </w:p>
        </w:tc>
        <w:tc>
          <w:tcPr>
            <w:tcW w:w="920" w:type="dxa"/>
            <w:vAlign w:val="bottom"/>
            <w:tcBorders>
              <w:top w:val="single" w:sz="8" w:color="auto"/>
            </w:tcBorders>
            <w:shd w:val="clear" w:color="auto" w:fill="B7E5FF"/>
          </w:tcPr>
          <w:p>
            <w:pPr>
              <w:jc w:val="right"/>
              <w:ind w:right="780"/>
              <w:spacing w:after="0" w:line="133" w:lineRule="exact"/>
              <w:rPr>
                <w:sz w:val="20"/>
                <w:szCs w:val="20"/>
                <w:color w:val="auto"/>
              </w:rPr>
            </w:pPr>
            <w:r>
              <w:rPr>
                <w:rFonts w:ascii="Arial" w:cs="Arial" w:eastAsia="Arial" w:hAnsi="Arial"/>
                <w:sz w:val="12"/>
                <w:szCs w:val="12"/>
                <w:color w:val="auto"/>
                <w:w w:val="89"/>
              </w:rPr>
              <w:t>$</w:t>
            </w:r>
          </w:p>
        </w:tc>
        <w:tc>
          <w:tcPr>
            <w:tcW w:w="42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9,056</w:t>
            </w:r>
          </w:p>
        </w:tc>
        <w:tc>
          <w:tcPr>
            <w:tcW w:w="120" w:type="dxa"/>
            <w:vAlign w:val="bottom"/>
            <w:tcBorders>
              <w:top w:val="single" w:sz="8" w:color="B7E5FF"/>
            </w:tcBorders>
            <w:shd w:val="clear" w:color="auto" w:fill="B7E5FF"/>
          </w:tcPr>
          <w:p>
            <w:pPr>
              <w:spacing w:after="0"/>
              <w:rPr>
                <w:sz w:val="11"/>
                <w:szCs w:val="11"/>
                <w:color w:val="auto"/>
              </w:rPr>
            </w:pPr>
          </w:p>
        </w:tc>
        <w:tc>
          <w:tcPr>
            <w:tcW w:w="220" w:type="dxa"/>
            <w:vAlign w:val="bottom"/>
            <w:tcBorders>
              <w:top w:val="single" w:sz="8" w:color="auto"/>
            </w:tcBorders>
            <w:shd w:val="clear" w:color="auto" w:fill="B7E5FF"/>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221,962</w:t>
            </w:r>
          </w:p>
        </w:tc>
      </w:tr>
      <w:tr>
        <w:trPr>
          <w:trHeight w:val="153"/>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33"/>
        </w:trPr>
        <w:tc>
          <w:tcPr>
            <w:tcW w:w="20" w:type="dxa"/>
            <w:vAlign w:val="bottom"/>
            <w:tcBorders>
              <w:bottom w:val="single" w:sz="8" w:color="B7E5FF"/>
            </w:tcBorders>
            <w:shd w:val="clear" w:color="auto" w:fill="B7E5FF"/>
          </w:tcPr>
          <w:p>
            <w:pPr>
              <w:spacing w:after="0"/>
              <w:rPr>
                <w:sz w:val="11"/>
                <w:szCs w:val="11"/>
                <w:color w:val="auto"/>
              </w:rPr>
            </w:pPr>
          </w:p>
        </w:tc>
        <w:tc>
          <w:tcPr>
            <w:tcW w:w="1060" w:type="dxa"/>
            <w:vAlign w:val="bottom"/>
            <w:tcBorders>
              <w:bottom w:val="single" w:sz="8" w:color="auto"/>
            </w:tcBorders>
            <w:shd w:val="clear" w:color="auto" w:fill="B7E5FF"/>
          </w:tcPr>
          <w:p>
            <w:pPr>
              <w:spacing w:after="0" w:line="117" w:lineRule="exact"/>
              <w:rPr>
                <w:sz w:val="20"/>
                <w:szCs w:val="20"/>
                <w:color w:val="auto"/>
              </w:rPr>
            </w:pPr>
            <w:r>
              <w:rPr>
                <w:rFonts w:ascii="Arial" w:cs="Arial" w:eastAsia="Arial" w:hAnsi="Arial"/>
                <w:sz w:val="12"/>
                <w:szCs w:val="12"/>
                <w:b w:val="1"/>
                <w:bCs w:val="1"/>
                <w:color w:val="auto"/>
                <w:w w:val="89"/>
              </w:rPr>
              <w:t>Customer Industries</w:t>
            </w:r>
          </w:p>
        </w:tc>
        <w:tc>
          <w:tcPr>
            <w:tcW w:w="3280" w:type="dxa"/>
            <w:vAlign w:val="bottom"/>
            <w:tcBorders>
              <w:bottom w:val="single" w:sz="8" w:color="B7E5FF"/>
            </w:tcBorders>
            <w:gridSpan w:val="2"/>
            <w:shd w:val="clear" w:color="auto" w:fill="B7E5FF"/>
          </w:tcPr>
          <w:p>
            <w:pPr>
              <w:spacing w:after="0"/>
              <w:rPr>
                <w:sz w:val="11"/>
                <w:szCs w:val="11"/>
                <w:color w:val="auto"/>
              </w:rPr>
            </w:pPr>
          </w:p>
        </w:tc>
        <w:tc>
          <w:tcPr>
            <w:tcW w:w="280" w:type="dxa"/>
            <w:vAlign w:val="bottom"/>
            <w:tcBorders>
              <w:bottom w:val="single" w:sz="8" w:color="B7E5FF"/>
            </w:tcBorders>
            <w:shd w:val="clear" w:color="auto" w:fill="B7E5FF"/>
          </w:tcPr>
          <w:p>
            <w:pPr>
              <w:spacing w:after="0"/>
              <w:rPr>
                <w:sz w:val="11"/>
                <w:szCs w:val="11"/>
                <w:color w:val="auto"/>
              </w:rPr>
            </w:pPr>
          </w:p>
        </w:tc>
        <w:tc>
          <w:tcPr>
            <w:tcW w:w="1000" w:type="dxa"/>
            <w:vAlign w:val="bottom"/>
            <w:tcBorders>
              <w:bottom w:val="single" w:sz="8" w:color="B7E5FF"/>
            </w:tcBorders>
            <w:shd w:val="clear" w:color="auto" w:fill="B7E5FF"/>
          </w:tcPr>
          <w:p>
            <w:pPr>
              <w:spacing w:after="0"/>
              <w:rPr>
                <w:sz w:val="11"/>
                <w:szCs w:val="11"/>
                <w:color w:val="auto"/>
              </w:rPr>
            </w:pPr>
          </w:p>
        </w:tc>
        <w:tc>
          <w:tcPr>
            <w:tcW w:w="40" w:type="dxa"/>
            <w:vAlign w:val="bottom"/>
            <w:tcBorders>
              <w:bottom w:val="single" w:sz="8" w:color="B7E5FF"/>
            </w:tcBorders>
            <w:shd w:val="clear" w:color="auto" w:fill="B7E5FF"/>
          </w:tcPr>
          <w:p>
            <w:pPr>
              <w:spacing w:after="0"/>
              <w:rPr>
                <w:sz w:val="11"/>
                <w:szCs w:val="11"/>
                <w:color w:val="auto"/>
              </w:rPr>
            </w:pPr>
          </w:p>
        </w:tc>
        <w:tc>
          <w:tcPr>
            <w:tcW w:w="120" w:type="dxa"/>
            <w:vAlign w:val="bottom"/>
            <w:tcBorders>
              <w:bottom w:val="single" w:sz="8" w:color="B7E5FF"/>
            </w:tcBorders>
            <w:shd w:val="clear" w:color="auto" w:fill="B7E5FF"/>
          </w:tcPr>
          <w:p>
            <w:pPr>
              <w:spacing w:after="0"/>
              <w:rPr>
                <w:sz w:val="11"/>
                <w:szCs w:val="11"/>
                <w:color w:val="auto"/>
              </w:rPr>
            </w:pPr>
          </w:p>
        </w:tc>
        <w:tc>
          <w:tcPr>
            <w:tcW w:w="280" w:type="dxa"/>
            <w:vAlign w:val="bottom"/>
            <w:tcBorders>
              <w:bottom w:val="single" w:sz="8" w:color="B7E5FF"/>
            </w:tcBorders>
            <w:shd w:val="clear" w:color="auto" w:fill="B7E5FF"/>
          </w:tcPr>
          <w:p>
            <w:pPr>
              <w:spacing w:after="0"/>
              <w:rPr>
                <w:sz w:val="11"/>
                <w:szCs w:val="11"/>
                <w:color w:val="auto"/>
              </w:rPr>
            </w:pPr>
          </w:p>
        </w:tc>
        <w:tc>
          <w:tcPr>
            <w:tcW w:w="1000" w:type="dxa"/>
            <w:vAlign w:val="bottom"/>
            <w:tcBorders>
              <w:bottom w:val="single" w:sz="8" w:color="B7E5FF"/>
            </w:tcBorders>
            <w:shd w:val="clear" w:color="auto" w:fill="B7E5FF"/>
          </w:tcPr>
          <w:p>
            <w:pPr>
              <w:spacing w:after="0"/>
              <w:rPr>
                <w:sz w:val="11"/>
                <w:szCs w:val="11"/>
                <w:color w:val="auto"/>
              </w:rPr>
            </w:pPr>
          </w:p>
        </w:tc>
        <w:tc>
          <w:tcPr>
            <w:tcW w:w="40" w:type="dxa"/>
            <w:vAlign w:val="bottom"/>
            <w:tcBorders>
              <w:bottom w:val="single" w:sz="8" w:color="B7E5FF"/>
            </w:tcBorders>
            <w:shd w:val="clear" w:color="auto" w:fill="B7E5FF"/>
          </w:tcPr>
          <w:p>
            <w:pPr>
              <w:spacing w:after="0"/>
              <w:rPr>
                <w:sz w:val="11"/>
                <w:szCs w:val="11"/>
                <w:color w:val="auto"/>
              </w:rPr>
            </w:pPr>
          </w:p>
        </w:tc>
        <w:tc>
          <w:tcPr>
            <w:tcW w:w="100" w:type="dxa"/>
            <w:vAlign w:val="bottom"/>
            <w:tcBorders>
              <w:bottom w:val="single" w:sz="8" w:color="B7E5FF"/>
            </w:tcBorders>
            <w:shd w:val="clear" w:color="auto" w:fill="B7E5FF"/>
          </w:tcPr>
          <w:p>
            <w:pPr>
              <w:spacing w:after="0"/>
              <w:rPr>
                <w:sz w:val="11"/>
                <w:szCs w:val="11"/>
                <w:color w:val="auto"/>
              </w:rPr>
            </w:pPr>
          </w:p>
        </w:tc>
        <w:tc>
          <w:tcPr>
            <w:tcW w:w="220" w:type="dxa"/>
            <w:vAlign w:val="bottom"/>
            <w:tcBorders>
              <w:bottom w:val="single" w:sz="8" w:color="B7E5FF"/>
            </w:tcBorders>
            <w:shd w:val="clear" w:color="auto" w:fill="B7E5FF"/>
          </w:tcPr>
          <w:p>
            <w:pPr>
              <w:spacing w:after="0"/>
              <w:rPr>
                <w:sz w:val="11"/>
                <w:szCs w:val="11"/>
                <w:color w:val="auto"/>
              </w:rPr>
            </w:pPr>
          </w:p>
        </w:tc>
        <w:tc>
          <w:tcPr>
            <w:tcW w:w="1120" w:type="dxa"/>
            <w:vAlign w:val="bottom"/>
            <w:tcBorders>
              <w:bottom w:val="single" w:sz="8" w:color="B7E5FF"/>
            </w:tcBorders>
            <w:shd w:val="clear" w:color="auto" w:fill="B7E5FF"/>
          </w:tcPr>
          <w:p>
            <w:pPr>
              <w:spacing w:after="0"/>
              <w:rPr>
                <w:sz w:val="11"/>
                <w:szCs w:val="11"/>
                <w:color w:val="auto"/>
              </w:rPr>
            </w:pPr>
          </w:p>
        </w:tc>
        <w:tc>
          <w:tcPr>
            <w:tcW w:w="100" w:type="dxa"/>
            <w:vAlign w:val="bottom"/>
            <w:tcBorders>
              <w:bottom w:val="single" w:sz="8" w:color="B7E5FF"/>
            </w:tcBorders>
            <w:shd w:val="clear" w:color="auto" w:fill="B7E5FF"/>
          </w:tcPr>
          <w:p>
            <w:pPr>
              <w:spacing w:after="0"/>
              <w:rPr>
                <w:sz w:val="11"/>
                <w:szCs w:val="11"/>
                <w:color w:val="auto"/>
              </w:rPr>
            </w:pPr>
          </w:p>
        </w:tc>
        <w:tc>
          <w:tcPr>
            <w:tcW w:w="920" w:type="dxa"/>
            <w:vAlign w:val="bottom"/>
            <w:tcBorders>
              <w:bottom w:val="single" w:sz="8" w:color="B7E5FF"/>
            </w:tcBorders>
            <w:shd w:val="clear" w:color="auto" w:fill="B7E5FF"/>
          </w:tcPr>
          <w:p>
            <w:pPr>
              <w:spacing w:after="0"/>
              <w:rPr>
                <w:sz w:val="11"/>
                <w:szCs w:val="11"/>
                <w:color w:val="auto"/>
              </w:rPr>
            </w:pPr>
          </w:p>
        </w:tc>
        <w:tc>
          <w:tcPr>
            <w:tcW w:w="420" w:type="dxa"/>
            <w:vAlign w:val="bottom"/>
            <w:tcBorders>
              <w:bottom w:val="single" w:sz="8" w:color="B7E5FF"/>
            </w:tcBorders>
            <w:shd w:val="clear" w:color="auto" w:fill="B7E5FF"/>
          </w:tcPr>
          <w:p>
            <w:pPr>
              <w:spacing w:after="0"/>
              <w:rPr>
                <w:sz w:val="11"/>
                <w:szCs w:val="11"/>
                <w:color w:val="auto"/>
              </w:rPr>
            </w:pPr>
          </w:p>
        </w:tc>
        <w:tc>
          <w:tcPr>
            <w:tcW w:w="120" w:type="dxa"/>
            <w:vAlign w:val="bottom"/>
            <w:tcBorders>
              <w:bottom w:val="single" w:sz="8" w:color="B7E5FF"/>
            </w:tcBorders>
            <w:shd w:val="clear" w:color="auto" w:fill="B7E5FF"/>
          </w:tcPr>
          <w:p>
            <w:pPr>
              <w:spacing w:after="0"/>
              <w:rPr>
                <w:sz w:val="11"/>
                <w:szCs w:val="11"/>
                <w:color w:val="auto"/>
              </w:rPr>
            </w:pPr>
          </w:p>
        </w:tc>
        <w:tc>
          <w:tcPr>
            <w:tcW w:w="220" w:type="dxa"/>
            <w:vAlign w:val="bottom"/>
            <w:tcBorders>
              <w:bottom w:val="single" w:sz="8" w:color="B7E5FF"/>
            </w:tcBorders>
            <w:shd w:val="clear" w:color="auto" w:fill="B7E5FF"/>
          </w:tcPr>
          <w:p>
            <w:pPr>
              <w:spacing w:after="0"/>
              <w:rPr>
                <w:sz w:val="11"/>
                <w:szCs w:val="11"/>
                <w:color w:val="auto"/>
              </w:rPr>
            </w:pPr>
          </w:p>
        </w:tc>
        <w:tc>
          <w:tcPr>
            <w:tcW w:w="1140" w:type="dxa"/>
            <w:vAlign w:val="bottom"/>
            <w:tcBorders>
              <w:bottom w:val="single" w:sz="8" w:color="B7E5FF"/>
            </w:tcBorders>
            <w:shd w:val="clear" w:color="auto" w:fill="B7E5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4340" w:type="dxa"/>
            <w:vAlign w:val="bottom"/>
            <w:gridSpan w:val="3"/>
          </w:tcPr>
          <w:p>
            <w:pPr>
              <w:spacing w:after="0"/>
              <w:rPr>
                <w:sz w:val="20"/>
                <w:szCs w:val="20"/>
                <w:color w:val="auto"/>
              </w:rPr>
            </w:pPr>
            <w:r>
              <w:rPr>
                <w:rFonts w:ascii="Arial" w:cs="Arial" w:eastAsia="Arial" w:hAnsi="Arial"/>
                <w:sz w:val="12"/>
                <w:szCs w:val="12"/>
                <w:color w:val="auto"/>
              </w:rPr>
              <w:t>Primary metals</w:t>
            </w:r>
          </w:p>
        </w:tc>
        <w:tc>
          <w:tcPr>
            <w:tcW w:w="2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39,144</w:t>
            </w:r>
          </w:p>
        </w:tc>
        <w:tc>
          <w:tcPr>
            <w:tcW w:w="44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26,173</w:t>
            </w:r>
          </w:p>
        </w:tc>
        <w:tc>
          <w:tcPr>
            <w:tcW w:w="36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35,017</w:t>
            </w:r>
          </w:p>
        </w:tc>
        <w:tc>
          <w:tcPr>
            <w:tcW w:w="100" w:type="dxa"/>
            <w:vAlign w:val="bottom"/>
          </w:tcPr>
          <w:p>
            <w:pPr>
              <w:spacing w:after="0"/>
              <w:rPr>
                <w:sz w:val="13"/>
                <w:szCs w:val="13"/>
                <w:color w:val="auto"/>
              </w:rPr>
            </w:pPr>
          </w:p>
        </w:tc>
        <w:tc>
          <w:tcPr>
            <w:tcW w:w="920" w:type="dxa"/>
            <w:vAlign w:val="bottom"/>
          </w:tcPr>
          <w:p>
            <w:pPr>
              <w:jc w:val="right"/>
              <w:ind w:right="780"/>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5,035</w:t>
            </w:r>
          </w:p>
        </w:tc>
        <w:tc>
          <w:tcPr>
            <w:tcW w:w="12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105,369</w:t>
            </w:r>
          </w:p>
        </w:tc>
      </w:tr>
      <w:tr>
        <w:trPr>
          <w:trHeight w:val="153"/>
        </w:trPr>
        <w:tc>
          <w:tcPr>
            <w:tcW w:w="20" w:type="dxa"/>
            <w:vAlign w:val="bottom"/>
            <w:shd w:val="clear" w:color="auto" w:fill="B7E5FF"/>
          </w:tcPr>
          <w:p>
            <w:pPr>
              <w:spacing w:after="0"/>
              <w:rPr>
                <w:sz w:val="13"/>
                <w:szCs w:val="13"/>
                <w:color w:val="auto"/>
              </w:rPr>
            </w:pPr>
          </w:p>
        </w:tc>
        <w:tc>
          <w:tcPr>
            <w:tcW w:w="4340" w:type="dxa"/>
            <w:vAlign w:val="bottom"/>
            <w:gridSpan w:val="3"/>
            <w:shd w:val="clear" w:color="auto" w:fill="B7E5FF"/>
          </w:tcPr>
          <w:p>
            <w:pPr>
              <w:spacing w:after="0"/>
              <w:rPr>
                <w:sz w:val="20"/>
                <w:szCs w:val="20"/>
                <w:color w:val="auto"/>
              </w:rPr>
            </w:pPr>
            <w:r>
              <w:rPr>
                <w:rFonts w:ascii="Arial" w:cs="Arial" w:eastAsia="Arial" w:hAnsi="Arial"/>
                <w:sz w:val="12"/>
                <w:szCs w:val="12"/>
                <w:color w:val="auto"/>
              </w:rPr>
              <w:t>Metalworking</w:t>
            </w:r>
          </w:p>
        </w:tc>
        <w:tc>
          <w:tcPr>
            <w:tcW w:w="280" w:type="dxa"/>
            <w:vAlign w:val="bottom"/>
            <w:shd w:val="clear" w:color="auto" w:fill="B7E5FF"/>
          </w:tcPr>
          <w:p>
            <w:pPr>
              <w:spacing w:after="0"/>
              <w:rPr>
                <w:sz w:val="13"/>
                <w:szCs w:val="13"/>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42,929</w:t>
            </w:r>
          </w:p>
        </w:tc>
        <w:tc>
          <w:tcPr>
            <w:tcW w:w="40" w:type="dxa"/>
            <w:vAlign w:val="bottom"/>
            <w:shd w:val="clear" w:color="auto" w:fill="B7E5FF"/>
          </w:tcPr>
          <w:p>
            <w:pPr>
              <w:spacing w:after="0"/>
              <w:rPr>
                <w:sz w:val="13"/>
                <w:szCs w:val="13"/>
                <w:color w:val="auto"/>
              </w:rPr>
            </w:pPr>
          </w:p>
        </w:tc>
        <w:tc>
          <w:tcPr>
            <w:tcW w:w="120" w:type="dxa"/>
            <w:vAlign w:val="bottom"/>
            <w:shd w:val="clear" w:color="auto" w:fill="B7E5FF"/>
          </w:tcPr>
          <w:p>
            <w:pPr>
              <w:spacing w:after="0"/>
              <w:rPr>
                <w:sz w:val="13"/>
                <w:szCs w:val="13"/>
                <w:color w:val="auto"/>
              </w:rPr>
            </w:pPr>
          </w:p>
        </w:tc>
        <w:tc>
          <w:tcPr>
            <w:tcW w:w="280" w:type="dxa"/>
            <w:vAlign w:val="bottom"/>
            <w:shd w:val="clear" w:color="auto" w:fill="B7E5FF"/>
          </w:tcPr>
          <w:p>
            <w:pPr>
              <w:spacing w:after="0"/>
              <w:rPr>
                <w:sz w:val="13"/>
                <w:szCs w:val="13"/>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29,813</w:t>
            </w:r>
          </w:p>
        </w:tc>
        <w:tc>
          <w:tcPr>
            <w:tcW w:w="40" w:type="dxa"/>
            <w:vAlign w:val="bottom"/>
            <w:shd w:val="clear" w:color="auto" w:fill="B7E5FF"/>
          </w:tcPr>
          <w:p>
            <w:pPr>
              <w:spacing w:after="0"/>
              <w:rPr>
                <w:sz w:val="13"/>
                <w:szCs w:val="13"/>
                <w:color w:val="auto"/>
              </w:rPr>
            </w:pPr>
          </w:p>
        </w:tc>
        <w:tc>
          <w:tcPr>
            <w:tcW w:w="100" w:type="dxa"/>
            <w:vAlign w:val="bottom"/>
            <w:shd w:val="clear" w:color="auto" w:fill="B7E5FF"/>
          </w:tcPr>
          <w:p>
            <w:pPr>
              <w:spacing w:after="0"/>
              <w:rPr>
                <w:sz w:val="13"/>
                <w:szCs w:val="13"/>
                <w:color w:val="auto"/>
              </w:rPr>
            </w:pPr>
          </w:p>
        </w:tc>
        <w:tc>
          <w:tcPr>
            <w:tcW w:w="220" w:type="dxa"/>
            <w:vAlign w:val="bottom"/>
            <w:shd w:val="clear" w:color="auto" w:fill="B7E5FF"/>
          </w:tcPr>
          <w:p>
            <w:pPr>
              <w:spacing w:after="0"/>
              <w:rPr>
                <w:sz w:val="13"/>
                <w:szCs w:val="13"/>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19,324</w:t>
            </w:r>
          </w:p>
        </w:tc>
        <w:tc>
          <w:tcPr>
            <w:tcW w:w="100" w:type="dxa"/>
            <w:vAlign w:val="bottom"/>
            <w:shd w:val="clear" w:color="auto" w:fill="B7E5FF"/>
          </w:tcPr>
          <w:p>
            <w:pPr>
              <w:spacing w:after="0"/>
              <w:rPr>
                <w:sz w:val="13"/>
                <w:szCs w:val="13"/>
                <w:color w:val="auto"/>
              </w:rPr>
            </w:pPr>
          </w:p>
        </w:tc>
        <w:tc>
          <w:tcPr>
            <w:tcW w:w="920" w:type="dxa"/>
            <w:vAlign w:val="bottom"/>
            <w:shd w:val="clear" w:color="auto" w:fill="B7E5FF"/>
          </w:tcPr>
          <w:p>
            <w:pPr>
              <w:spacing w:after="0"/>
              <w:rPr>
                <w:sz w:val="13"/>
                <w:szCs w:val="13"/>
                <w:color w:val="auto"/>
              </w:rPr>
            </w:pPr>
          </w:p>
        </w:tc>
        <w:tc>
          <w:tcPr>
            <w:tcW w:w="4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3,865</w:t>
            </w:r>
          </w:p>
        </w:tc>
        <w:tc>
          <w:tcPr>
            <w:tcW w:w="120" w:type="dxa"/>
            <w:vAlign w:val="bottom"/>
            <w:shd w:val="clear" w:color="auto" w:fill="B7E5FF"/>
          </w:tcPr>
          <w:p>
            <w:pPr>
              <w:spacing w:after="0"/>
              <w:rPr>
                <w:sz w:val="13"/>
                <w:szCs w:val="13"/>
                <w:color w:val="auto"/>
              </w:rPr>
            </w:pPr>
          </w:p>
        </w:tc>
        <w:tc>
          <w:tcPr>
            <w:tcW w:w="220" w:type="dxa"/>
            <w:vAlign w:val="bottom"/>
            <w:shd w:val="clear" w:color="auto" w:fill="B7E5FF"/>
          </w:tcPr>
          <w:p>
            <w:pPr>
              <w:spacing w:after="0"/>
              <w:rPr>
                <w:sz w:val="13"/>
                <w:szCs w:val="13"/>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95,931</w:t>
            </w:r>
          </w:p>
        </w:tc>
      </w:tr>
      <w:tr>
        <w:trPr>
          <w:trHeight w:val="153"/>
        </w:trPr>
        <w:tc>
          <w:tcPr>
            <w:tcW w:w="20" w:type="dxa"/>
            <w:vAlign w:val="bottom"/>
            <w:tcBorders>
              <w:bottom w:val="single" w:sz="8" w:color="B7E5FF"/>
            </w:tcBorders>
          </w:tcPr>
          <w:p>
            <w:pPr>
              <w:spacing w:after="0"/>
              <w:rPr>
                <w:sz w:val="13"/>
                <w:szCs w:val="13"/>
                <w:color w:val="auto"/>
              </w:rPr>
            </w:pPr>
          </w:p>
        </w:tc>
        <w:tc>
          <w:tcPr>
            <w:tcW w:w="4340" w:type="dxa"/>
            <w:vAlign w:val="bottom"/>
            <w:tcBorders>
              <w:bottom w:val="single" w:sz="8" w:color="B7E5FF"/>
            </w:tcBorders>
            <w:gridSpan w:val="3"/>
          </w:tcPr>
          <w:p>
            <w:pPr>
              <w:spacing w:after="0"/>
              <w:rPr>
                <w:sz w:val="20"/>
                <w:szCs w:val="20"/>
                <w:color w:val="auto"/>
              </w:rPr>
            </w:pPr>
            <w:r>
              <w:rPr>
                <w:rFonts w:ascii="Arial" w:cs="Arial" w:eastAsia="Arial" w:hAnsi="Arial"/>
                <w:sz w:val="12"/>
                <w:szCs w:val="12"/>
                <w:color w:val="auto"/>
              </w:rPr>
              <w:t>Coatings and other</w:t>
            </w: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15,319</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B7E5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4,180</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B7E5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1,007</w:t>
            </w:r>
          </w:p>
        </w:tc>
        <w:tc>
          <w:tcPr>
            <w:tcW w:w="100" w:type="dxa"/>
            <w:vAlign w:val="bottom"/>
            <w:tcBorders>
              <w:bottom w:val="single" w:sz="8" w:color="B7E5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156</w:t>
            </w:r>
          </w:p>
        </w:tc>
        <w:tc>
          <w:tcPr>
            <w:tcW w:w="120" w:type="dxa"/>
            <w:vAlign w:val="bottom"/>
            <w:tcBorders>
              <w:bottom w:val="single" w:sz="8" w:color="B7E5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20,662</w:t>
            </w:r>
          </w:p>
        </w:tc>
      </w:tr>
      <w:tr>
        <w:trPr>
          <w:trHeight w:val="140"/>
        </w:trPr>
        <w:tc>
          <w:tcPr>
            <w:tcW w:w="20" w:type="dxa"/>
            <w:vAlign w:val="bottom"/>
            <w:tcBorders>
              <w:bottom w:val="single" w:sz="8" w:color="B7E5FF"/>
            </w:tcBorders>
            <w:shd w:val="clear" w:color="auto" w:fill="B7E5FF"/>
          </w:tcPr>
          <w:p>
            <w:pPr>
              <w:spacing w:after="0"/>
              <w:rPr>
                <w:sz w:val="12"/>
                <w:szCs w:val="12"/>
                <w:color w:val="auto"/>
              </w:rPr>
            </w:pPr>
          </w:p>
        </w:tc>
        <w:tc>
          <w:tcPr>
            <w:tcW w:w="1060" w:type="dxa"/>
            <w:vAlign w:val="bottom"/>
            <w:tcBorders>
              <w:bottom w:val="single" w:sz="8" w:color="B7E5FF"/>
            </w:tcBorders>
            <w:shd w:val="clear" w:color="auto" w:fill="B7E5FF"/>
          </w:tcPr>
          <w:p>
            <w:pPr>
              <w:spacing w:after="0"/>
              <w:rPr>
                <w:sz w:val="12"/>
                <w:szCs w:val="12"/>
                <w:color w:val="auto"/>
              </w:rPr>
            </w:pPr>
          </w:p>
        </w:tc>
        <w:tc>
          <w:tcPr>
            <w:tcW w:w="520" w:type="dxa"/>
            <w:vAlign w:val="bottom"/>
            <w:tcBorders>
              <w:bottom w:val="single" w:sz="8" w:color="B7E5FF"/>
            </w:tcBorders>
            <w:shd w:val="clear" w:color="auto" w:fill="B7E5FF"/>
          </w:tcPr>
          <w:p>
            <w:pPr>
              <w:spacing w:after="0"/>
              <w:rPr>
                <w:sz w:val="12"/>
                <w:szCs w:val="12"/>
                <w:color w:val="auto"/>
              </w:rPr>
            </w:pPr>
          </w:p>
        </w:tc>
        <w:tc>
          <w:tcPr>
            <w:tcW w:w="2760" w:type="dxa"/>
            <w:vAlign w:val="bottom"/>
            <w:tcBorders>
              <w:bottom w:val="single" w:sz="8" w:color="B7E5FF"/>
            </w:tcBorders>
            <w:shd w:val="clear" w:color="auto" w:fill="B7E5FF"/>
          </w:tcPr>
          <w:p>
            <w:pPr>
              <w:spacing w:after="0"/>
              <w:rPr>
                <w:sz w:val="12"/>
                <w:szCs w:val="12"/>
                <w:color w:val="auto"/>
              </w:rPr>
            </w:pPr>
          </w:p>
        </w:tc>
        <w:tc>
          <w:tcPr>
            <w:tcW w:w="280" w:type="dxa"/>
            <w:vAlign w:val="bottom"/>
            <w:tcBorders>
              <w:bottom w:val="single" w:sz="8" w:color="auto"/>
            </w:tcBorders>
            <w:shd w:val="clear" w:color="auto" w:fill="B7E5FF"/>
          </w:tcPr>
          <w:p>
            <w:pPr>
              <w:jc w:val="right"/>
              <w:ind w:right="120"/>
              <w:spacing w:after="0" w:line="133" w:lineRule="exact"/>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97,392</w:t>
            </w:r>
          </w:p>
        </w:tc>
        <w:tc>
          <w:tcPr>
            <w:tcW w:w="40" w:type="dxa"/>
            <w:vAlign w:val="bottom"/>
            <w:tcBorders>
              <w:bottom w:val="single" w:sz="8" w:color="auto"/>
            </w:tcBorders>
            <w:shd w:val="clear" w:color="auto" w:fill="B7E5FF"/>
          </w:tcPr>
          <w:p>
            <w:pPr>
              <w:spacing w:after="0"/>
              <w:rPr>
                <w:sz w:val="12"/>
                <w:szCs w:val="12"/>
                <w:color w:val="auto"/>
              </w:rPr>
            </w:pPr>
          </w:p>
        </w:tc>
        <w:tc>
          <w:tcPr>
            <w:tcW w:w="120" w:type="dxa"/>
            <w:vAlign w:val="bottom"/>
            <w:tcBorders>
              <w:bottom w:val="single" w:sz="8" w:color="B7E5FF"/>
            </w:tcBorders>
            <w:shd w:val="clear" w:color="auto" w:fill="B7E5FF"/>
          </w:tcPr>
          <w:p>
            <w:pPr>
              <w:spacing w:after="0"/>
              <w:rPr>
                <w:sz w:val="12"/>
                <w:szCs w:val="12"/>
                <w:color w:val="auto"/>
              </w:rPr>
            </w:pPr>
          </w:p>
        </w:tc>
        <w:tc>
          <w:tcPr>
            <w:tcW w:w="280" w:type="dxa"/>
            <w:vAlign w:val="bottom"/>
            <w:tcBorders>
              <w:bottom w:val="single" w:sz="8" w:color="auto"/>
            </w:tcBorders>
            <w:shd w:val="clear" w:color="auto" w:fill="B7E5FF"/>
          </w:tcPr>
          <w:p>
            <w:pPr>
              <w:jc w:val="right"/>
              <w:ind w:right="140"/>
              <w:spacing w:after="0" w:line="133" w:lineRule="exact"/>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60,166</w:t>
            </w:r>
          </w:p>
        </w:tc>
        <w:tc>
          <w:tcPr>
            <w:tcW w:w="40" w:type="dxa"/>
            <w:vAlign w:val="bottom"/>
            <w:tcBorders>
              <w:bottom w:val="single" w:sz="8" w:color="auto"/>
            </w:tcBorders>
            <w:shd w:val="clear" w:color="auto" w:fill="B7E5FF"/>
          </w:tcPr>
          <w:p>
            <w:pPr>
              <w:spacing w:after="0"/>
              <w:rPr>
                <w:sz w:val="12"/>
                <w:szCs w:val="12"/>
                <w:color w:val="auto"/>
              </w:rPr>
            </w:pPr>
          </w:p>
        </w:tc>
        <w:tc>
          <w:tcPr>
            <w:tcW w:w="100" w:type="dxa"/>
            <w:vAlign w:val="bottom"/>
            <w:tcBorders>
              <w:bottom w:val="single" w:sz="8" w:color="B7E5FF"/>
            </w:tcBorders>
            <w:shd w:val="clear" w:color="auto" w:fill="B7E5FF"/>
          </w:tcPr>
          <w:p>
            <w:pPr>
              <w:spacing w:after="0"/>
              <w:rPr>
                <w:sz w:val="12"/>
                <w:szCs w:val="12"/>
                <w:color w:val="auto"/>
              </w:rPr>
            </w:pPr>
          </w:p>
        </w:tc>
        <w:tc>
          <w:tcPr>
            <w:tcW w:w="220" w:type="dxa"/>
            <w:vAlign w:val="bottom"/>
            <w:tcBorders>
              <w:bottom w:val="single" w:sz="8" w:color="auto"/>
            </w:tcBorders>
            <w:shd w:val="clear" w:color="auto" w:fill="B7E5FF"/>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55,348</w:t>
            </w:r>
          </w:p>
        </w:tc>
        <w:tc>
          <w:tcPr>
            <w:tcW w:w="100" w:type="dxa"/>
            <w:vAlign w:val="bottom"/>
            <w:tcBorders>
              <w:bottom w:val="single" w:sz="8" w:color="B7E5FF"/>
            </w:tcBorders>
            <w:shd w:val="clear" w:color="auto" w:fill="B7E5FF"/>
          </w:tcPr>
          <w:p>
            <w:pPr>
              <w:spacing w:after="0"/>
              <w:rPr>
                <w:sz w:val="12"/>
                <w:szCs w:val="12"/>
                <w:color w:val="auto"/>
              </w:rPr>
            </w:pPr>
          </w:p>
        </w:tc>
        <w:tc>
          <w:tcPr>
            <w:tcW w:w="920" w:type="dxa"/>
            <w:vAlign w:val="bottom"/>
            <w:tcBorders>
              <w:bottom w:val="single" w:sz="8" w:color="auto"/>
            </w:tcBorders>
            <w:shd w:val="clear" w:color="auto" w:fill="B7E5FF"/>
          </w:tcPr>
          <w:p>
            <w:pPr>
              <w:jc w:val="right"/>
              <w:ind w:right="780"/>
              <w:spacing w:after="0" w:line="133" w:lineRule="exact"/>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9,056</w:t>
            </w:r>
          </w:p>
        </w:tc>
        <w:tc>
          <w:tcPr>
            <w:tcW w:w="120" w:type="dxa"/>
            <w:vAlign w:val="bottom"/>
            <w:tcBorders>
              <w:bottom w:val="single" w:sz="8" w:color="B7E5FF"/>
            </w:tcBorders>
            <w:shd w:val="clear" w:color="auto" w:fill="B7E5FF"/>
          </w:tcPr>
          <w:p>
            <w:pPr>
              <w:spacing w:after="0"/>
              <w:rPr>
                <w:sz w:val="12"/>
                <w:szCs w:val="12"/>
                <w:color w:val="auto"/>
              </w:rPr>
            </w:pPr>
          </w:p>
        </w:tc>
        <w:tc>
          <w:tcPr>
            <w:tcW w:w="220" w:type="dxa"/>
            <w:vAlign w:val="bottom"/>
            <w:tcBorders>
              <w:bottom w:val="single" w:sz="8" w:color="auto"/>
            </w:tcBorders>
            <w:shd w:val="clear" w:color="auto" w:fill="B7E5FF"/>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221,962</w:t>
            </w:r>
          </w:p>
        </w:tc>
      </w:tr>
      <w:tr>
        <w:trPr>
          <w:trHeight w:val="144"/>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33"/>
        </w:trPr>
        <w:tc>
          <w:tcPr>
            <w:tcW w:w="20" w:type="dxa"/>
            <w:vAlign w:val="bottom"/>
            <w:shd w:val="clear" w:color="auto" w:fill="B7E5FF"/>
          </w:tcPr>
          <w:p>
            <w:pPr>
              <w:spacing w:after="0"/>
              <w:rPr>
                <w:sz w:val="11"/>
                <w:szCs w:val="11"/>
                <w:color w:val="auto"/>
              </w:rPr>
            </w:pPr>
          </w:p>
        </w:tc>
        <w:tc>
          <w:tcPr>
            <w:tcW w:w="4340" w:type="dxa"/>
            <w:vAlign w:val="bottom"/>
            <w:gridSpan w:val="3"/>
            <w:shd w:val="clear" w:color="auto" w:fill="B7E5FF"/>
          </w:tcPr>
          <w:p>
            <w:pPr>
              <w:spacing w:after="0" w:line="117" w:lineRule="exact"/>
              <w:rPr>
                <w:sz w:val="20"/>
                <w:szCs w:val="20"/>
                <w:color w:val="auto"/>
              </w:rPr>
            </w:pPr>
            <w:r>
              <w:rPr>
                <w:rFonts w:ascii="Arial" w:cs="Arial" w:eastAsia="Arial" w:hAnsi="Arial"/>
                <w:sz w:val="12"/>
                <w:szCs w:val="12"/>
                <w:b w:val="1"/>
                <w:bCs w:val="1"/>
                <w:color w:val="auto"/>
              </w:rPr>
              <w:t>Timing of Revenue Recognized</w:t>
            </w:r>
          </w:p>
        </w:tc>
        <w:tc>
          <w:tcPr>
            <w:tcW w:w="280" w:type="dxa"/>
            <w:vAlign w:val="bottom"/>
            <w:shd w:val="clear" w:color="auto" w:fill="B7E5FF"/>
          </w:tcPr>
          <w:p>
            <w:pPr>
              <w:spacing w:after="0"/>
              <w:rPr>
                <w:sz w:val="11"/>
                <w:szCs w:val="11"/>
                <w:color w:val="auto"/>
              </w:rPr>
            </w:pPr>
          </w:p>
        </w:tc>
        <w:tc>
          <w:tcPr>
            <w:tcW w:w="1000" w:type="dxa"/>
            <w:vAlign w:val="bottom"/>
            <w:shd w:val="clear" w:color="auto" w:fill="B7E5FF"/>
          </w:tcPr>
          <w:p>
            <w:pPr>
              <w:spacing w:after="0"/>
              <w:rPr>
                <w:sz w:val="11"/>
                <w:szCs w:val="11"/>
                <w:color w:val="auto"/>
              </w:rPr>
            </w:pPr>
          </w:p>
        </w:tc>
        <w:tc>
          <w:tcPr>
            <w:tcW w:w="40" w:type="dxa"/>
            <w:vAlign w:val="bottom"/>
            <w:shd w:val="clear" w:color="auto" w:fill="B7E5FF"/>
          </w:tcPr>
          <w:p>
            <w:pPr>
              <w:spacing w:after="0"/>
              <w:rPr>
                <w:sz w:val="11"/>
                <w:szCs w:val="11"/>
                <w:color w:val="auto"/>
              </w:rPr>
            </w:pPr>
          </w:p>
        </w:tc>
        <w:tc>
          <w:tcPr>
            <w:tcW w:w="120" w:type="dxa"/>
            <w:vAlign w:val="bottom"/>
            <w:shd w:val="clear" w:color="auto" w:fill="B7E5FF"/>
          </w:tcPr>
          <w:p>
            <w:pPr>
              <w:spacing w:after="0"/>
              <w:rPr>
                <w:sz w:val="11"/>
                <w:szCs w:val="11"/>
                <w:color w:val="auto"/>
              </w:rPr>
            </w:pPr>
          </w:p>
        </w:tc>
        <w:tc>
          <w:tcPr>
            <w:tcW w:w="280" w:type="dxa"/>
            <w:vAlign w:val="bottom"/>
            <w:shd w:val="clear" w:color="auto" w:fill="B7E5FF"/>
          </w:tcPr>
          <w:p>
            <w:pPr>
              <w:spacing w:after="0"/>
              <w:rPr>
                <w:sz w:val="11"/>
                <w:szCs w:val="11"/>
                <w:color w:val="auto"/>
              </w:rPr>
            </w:pPr>
          </w:p>
        </w:tc>
        <w:tc>
          <w:tcPr>
            <w:tcW w:w="1000" w:type="dxa"/>
            <w:vAlign w:val="bottom"/>
            <w:shd w:val="clear" w:color="auto" w:fill="B7E5FF"/>
          </w:tcPr>
          <w:p>
            <w:pPr>
              <w:spacing w:after="0"/>
              <w:rPr>
                <w:sz w:val="11"/>
                <w:szCs w:val="11"/>
                <w:color w:val="auto"/>
              </w:rPr>
            </w:pPr>
          </w:p>
        </w:tc>
        <w:tc>
          <w:tcPr>
            <w:tcW w:w="40" w:type="dxa"/>
            <w:vAlign w:val="bottom"/>
            <w:shd w:val="clear" w:color="auto" w:fill="B7E5FF"/>
          </w:tcPr>
          <w:p>
            <w:pPr>
              <w:spacing w:after="0"/>
              <w:rPr>
                <w:sz w:val="11"/>
                <w:szCs w:val="11"/>
                <w:color w:val="auto"/>
              </w:rPr>
            </w:pPr>
          </w:p>
        </w:tc>
        <w:tc>
          <w:tcPr>
            <w:tcW w:w="100" w:type="dxa"/>
            <w:vAlign w:val="bottom"/>
            <w:shd w:val="clear" w:color="auto" w:fill="B7E5FF"/>
          </w:tcPr>
          <w:p>
            <w:pPr>
              <w:spacing w:after="0"/>
              <w:rPr>
                <w:sz w:val="11"/>
                <w:szCs w:val="11"/>
                <w:color w:val="auto"/>
              </w:rPr>
            </w:pPr>
          </w:p>
        </w:tc>
        <w:tc>
          <w:tcPr>
            <w:tcW w:w="220" w:type="dxa"/>
            <w:vAlign w:val="bottom"/>
            <w:shd w:val="clear" w:color="auto" w:fill="B7E5FF"/>
          </w:tcPr>
          <w:p>
            <w:pPr>
              <w:spacing w:after="0"/>
              <w:rPr>
                <w:sz w:val="11"/>
                <w:szCs w:val="11"/>
                <w:color w:val="auto"/>
              </w:rPr>
            </w:pPr>
          </w:p>
        </w:tc>
        <w:tc>
          <w:tcPr>
            <w:tcW w:w="1120" w:type="dxa"/>
            <w:vAlign w:val="bottom"/>
            <w:shd w:val="clear" w:color="auto" w:fill="B7E5FF"/>
          </w:tcPr>
          <w:p>
            <w:pPr>
              <w:spacing w:after="0"/>
              <w:rPr>
                <w:sz w:val="11"/>
                <w:szCs w:val="11"/>
                <w:color w:val="auto"/>
              </w:rPr>
            </w:pPr>
          </w:p>
        </w:tc>
        <w:tc>
          <w:tcPr>
            <w:tcW w:w="100" w:type="dxa"/>
            <w:vAlign w:val="bottom"/>
            <w:shd w:val="clear" w:color="auto" w:fill="B7E5FF"/>
          </w:tcPr>
          <w:p>
            <w:pPr>
              <w:spacing w:after="0"/>
              <w:rPr>
                <w:sz w:val="11"/>
                <w:szCs w:val="11"/>
                <w:color w:val="auto"/>
              </w:rPr>
            </w:pPr>
          </w:p>
        </w:tc>
        <w:tc>
          <w:tcPr>
            <w:tcW w:w="920" w:type="dxa"/>
            <w:vAlign w:val="bottom"/>
            <w:shd w:val="clear" w:color="auto" w:fill="B7E5FF"/>
          </w:tcPr>
          <w:p>
            <w:pPr>
              <w:spacing w:after="0"/>
              <w:rPr>
                <w:sz w:val="11"/>
                <w:szCs w:val="11"/>
                <w:color w:val="auto"/>
              </w:rPr>
            </w:pPr>
          </w:p>
        </w:tc>
        <w:tc>
          <w:tcPr>
            <w:tcW w:w="420" w:type="dxa"/>
            <w:vAlign w:val="bottom"/>
            <w:shd w:val="clear" w:color="auto" w:fill="B7E5FF"/>
          </w:tcPr>
          <w:p>
            <w:pPr>
              <w:spacing w:after="0"/>
              <w:rPr>
                <w:sz w:val="11"/>
                <w:szCs w:val="11"/>
                <w:color w:val="auto"/>
              </w:rPr>
            </w:pPr>
          </w:p>
        </w:tc>
        <w:tc>
          <w:tcPr>
            <w:tcW w:w="120" w:type="dxa"/>
            <w:vAlign w:val="bottom"/>
            <w:shd w:val="clear" w:color="auto" w:fill="B7E5FF"/>
          </w:tcPr>
          <w:p>
            <w:pPr>
              <w:spacing w:after="0"/>
              <w:rPr>
                <w:sz w:val="11"/>
                <w:szCs w:val="11"/>
                <w:color w:val="auto"/>
              </w:rPr>
            </w:pPr>
          </w:p>
        </w:tc>
        <w:tc>
          <w:tcPr>
            <w:tcW w:w="220" w:type="dxa"/>
            <w:vAlign w:val="bottom"/>
            <w:shd w:val="clear" w:color="auto" w:fill="B7E5FF"/>
          </w:tcPr>
          <w:p>
            <w:pPr>
              <w:spacing w:after="0"/>
              <w:rPr>
                <w:sz w:val="11"/>
                <w:szCs w:val="11"/>
                <w:color w:val="auto"/>
              </w:rPr>
            </w:pPr>
          </w:p>
        </w:tc>
        <w:tc>
          <w:tcPr>
            <w:tcW w:w="1140" w:type="dxa"/>
            <w:vAlign w:val="bottom"/>
            <w:shd w:val="clear" w:color="auto" w:fill="B7E5FF"/>
          </w:tcPr>
          <w:p>
            <w:pPr>
              <w:spacing w:after="0"/>
              <w:rPr>
                <w:sz w:val="11"/>
                <w:szCs w:val="11"/>
                <w:color w:val="auto"/>
              </w:rPr>
            </w:pPr>
          </w:p>
        </w:tc>
      </w:tr>
      <w:tr>
        <w:trPr>
          <w:trHeight w:val="153"/>
        </w:trPr>
        <w:tc>
          <w:tcPr>
            <w:tcW w:w="20" w:type="dxa"/>
            <w:vAlign w:val="bottom"/>
            <w:tcBorders>
              <w:top w:val="single" w:sz="8" w:color="B7E5FF"/>
            </w:tcBorders>
          </w:tcPr>
          <w:p>
            <w:pPr>
              <w:spacing w:after="0"/>
              <w:rPr>
                <w:sz w:val="13"/>
                <w:szCs w:val="13"/>
                <w:color w:val="auto"/>
              </w:rPr>
            </w:pPr>
          </w:p>
        </w:tc>
        <w:tc>
          <w:tcPr>
            <w:tcW w:w="1580" w:type="dxa"/>
            <w:vAlign w:val="bottom"/>
            <w:tcBorders>
              <w:top w:val="single" w:sz="8" w:color="auto"/>
            </w:tcBorders>
            <w:gridSpan w:val="2"/>
          </w:tcPr>
          <w:p>
            <w:pPr>
              <w:spacing w:after="0"/>
              <w:rPr>
                <w:sz w:val="20"/>
                <w:szCs w:val="20"/>
                <w:color w:val="auto"/>
              </w:rPr>
            </w:pPr>
            <w:r>
              <w:rPr>
                <w:rFonts w:ascii="Arial" w:cs="Arial" w:eastAsia="Arial" w:hAnsi="Arial"/>
                <w:sz w:val="12"/>
                <w:szCs w:val="12"/>
                <w:color w:val="auto"/>
                <w:w w:val="95"/>
              </w:rPr>
              <w:t>Product sales at a point in time</w:t>
            </w:r>
          </w:p>
        </w:tc>
        <w:tc>
          <w:tcPr>
            <w:tcW w:w="2760" w:type="dxa"/>
            <w:vAlign w:val="bottom"/>
            <w:tcBorders>
              <w:top w:val="single" w:sz="8" w:color="B7E5FF"/>
            </w:tcBorders>
          </w:tcPr>
          <w:p>
            <w:pPr>
              <w:spacing w:after="0"/>
              <w:rPr>
                <w:sz w:val="13"/>
                <w:szCs w:val="13"/>
                <w:color w:val="auto"/>
              </w:rPr>
            </w:pPr>
          </w:p>
        </w:tc>
        <w:tc>
          <w:tcPr>
            <w:tcW w:w="280" w:type="dxa"/>
            <w:vAlign w:val="bottom"/>
            <w:tcBorders>
              <w:top w:val="single" w:sz="8" w:color="B7E5FF"/>
            </w:tcBorders>
          </w:tcPr>
          <w:p>
            <w:pPr>
              <w:jc w:val="right"/>
              <w:ind w:right="120"/>
              <w:spacing w:after="0"/>
              <w:rPr>
                <w:sz w:val="20"/>
                <w:szCs w:val="20"/>
                <w:color w:val="auto"/>
              </w:rPr>
            </w:pPr>
            <w:r>
              <w:rPr>
                <w:rFonts w:ascii="Arial" w:cs="Arial" w:eastAsia="Arial" w:hAnsi="Arial"/>
                <w:sz w:val="12"/>
                <w:szCs w:val="12"/>
                <w:color w:val="auto"/>
              </w:rPr>
              <w:t>$</w:t>
            </w:r>
          </w:p>
        </w:tc>
        <w:tc>
          <w:tcPr>
            <w:tcW w:w="1000" w:type="dxa"/>
            <w:vAlign w:val="bottom"/>
            <w:tcBorders>
              <w:top w:val="single" w:sz="8" w:color="B7E5FF"/>
            </w:tcBorders>
          </w:tcPr>
          <w:p>
            <w:pPr>
              <w:jc w:val="right"/>
              <w:spacing w:after="0"/>
              <w:rPr>
                <w:sz w:val="20"/>
                <w:szCs w:val="20"/>
                <w:color w:val="auto"/>
              </w:rPr>
            </w:pPr>
            <w:r>
              <w:rPr>
                <w:rFonts w:ascii="Arial" w:cs="Arial" w:eastAsia="Arial" w:hAnsi="Arial"/>
                <w:sz w:val="12"/>
                <w:szCs w:val="12"/>
                <w:color w:val="auto"/>
              </w:rPr>
              <w:t>94,562</w:t>
            </w:r>
          </w:p>
        </w:tc>
        <w:tc>
          <w:tcPr>
            <w:tcW w:w="440" w:type="dxa"/>
            <w:vAlign w:val="bottom"/>
            <w:tcBorders>
              <w:top w:val="single" w:sz="8" w:color="B7E5FF"/>
            </w:tcBorders>
            <w:gridSpan w:val="3"/>
          </w:tcPr>
          <w:p>
            <w:pPr>
              <w:jc w:val="right"/>
              <w:ind w:right="140"/>
              <w:spacing w:after="0"/>
              <w:rPr>
                <w:sz w:val="20"/>
                <w:szCs w:val="20"/>
                <w:color w:val="auto"/>
              </w:rPr>
            </w:pPr>
            <w:r>
              <w:rPr>
                <w:rFonts w:ascii="Arial" w:cs="Arial" w:eastAsia="Arial" w:hAnsi="Arial"/>
                <w:sz w:val="12"/>
                <w:szCs w:val="12"/>
                <w:color w:val="auto"/>
              </w:rPr>
              <w:t>$</w:t>
            </w:r>
          </w:p>
        </w:tc>
        <w:tc>
          <w:tcPr>
            <w:tcW w:w="1000" w:type="dxa"/>
            <w:vAlign w:val="bottom"/>
            <w:tcBorders>
              <w:top w:val="single" w:sz="8" w:color="B7E5FF"/>
            </w:tcBorders>
          </w:tcPr>
          <w:p>
            <w:pPr>
              <w:jc w:val="right"/>
              <w:spacing w:after="0"/>
              <w:rPr>
                <w:sz w:val="20"/>
                <w:szCs w:val="20"/>
                <w:color w:val="auto"/>
              </w:rPr>
            </w:pPr>
            <w:r>
              <w:rPr>
                <w:rFonts w:ascii="Arial" w:cs="Arial" w:eastAsia="Arial" w:hAnsi="Arial"/>
                <w:sz w:val="12"/>
                <w:szCs w:val="12"/>
                <w:color w:val="auto"/>
              </w:rPr>
              <w:t>60,110</w:t>
            </w:r>
          </w:p>
        </w:tc>
        <w:tc>
          <w:tcPr>
            <w:tcW w:w="360" w:type="dxa"/>
            <w:vAlign w:val="bottom"/>
            <w:tcBorders>
              <w:top w:val="single" w:sz="8" w:color="B7E5FF"/>
            </w:tcBorders>
            <w:gridSpan w:val="3"/>
          </w:tcPr>
          <w:p>
            <w:pPr>
              <w:jc w:val="right"/>
              <w:ind w:right="80"/>
              <w:spacing w:after="0"/>
              <w:rPr>
                <w:sz w:val="20"/>
                <w:szCs w:val="20"/>
                <w:color w:val="auto"/>
              </w:rPr>
            </w:pPr>
            <w:r>
              <w:rPr>
                <w:rFonts w:ascii="Arial" w:cs="Arial" w:eastAsia="Arial" w:hAnsi="Arial"/>
                <w:sz w:val="12"/>
                <w:szCs w:val="12"/>
                <w:color w:val="auto"/>
              </w:rPr>
              <w:t>$</w:t>
            </w:r>
          </w:p>
        </w:tc>
        <w:tc>
          <w:tcPr>
            <w:tcW w:w="1120" w:type="dxa"/>
            <w:vAlign w:val="bottom"/>
            <w:tcBorders>
              <w:top w:val="single" w:sz="8" w:color="B7E5FF"/>
            </w:tcBorders>
          </w:tcPr>
          <w:p>
            <w:pPr>
              <w:jc w:val="right"/>
              <w:spacing w:after="0"/>
              <w:rPr>
                <w:sz w:val="20"/>
                <w:szCs w:val="20"/>
                <w:color w:val="auto"/>
              </w:rPr>
            </w:pPr>
            <w:r>
              <w:rPr>
                <w:rFonts w:ascii="Arial" w:cs="Arial" w:eastAsia="Arial" w:hAnsi="Arial"/>
                <w:sz w:val="12"/>
                <w:szCs w:val="12"/>
                <w:color w:val="auto"/>
              </w:rPr>
              <w:t>53,017</w:t>
            </w:r>
          </w:p>
        </w:tc>
        <w:tc>
          <w:tcPr>
            <w:tcW w:w="100" w:type="dxa"/>
            <w:vAlign w:val="bottom"/>
            <w:tcBorders>
              <w:top w:val="single" w:sz="8" w:color="B7E5FF"/>
            </w:tcBorders>
          </w:tcPr>
          <w:p>
            <w:pPr>
              <w:spacing w:after="0"/>
              <w:rPr>
                <w:sz w:val="13"/>
                <w:szCs w:val="13"/>
                <w:color w:val="auto"/>
              </w:rPr>
            </w:pPr>
          </w:p>
        </w:tc>
        <w:tc>
          <w:tcPr>
            <w:tcW w:w="920" w:type="dxa"/>
            <w:vAlign w:val="bottom"/>
            <w:tcBorders>
              <w:top w:val="single" w:sz="8" w:color="B7E5FF"/>
            </w:tcBorders>
          </w:tcPr>
          <w:p>
            <w:pPr>
              <w:jc w:val="right"/>
              <w:ind w:right="780"/>
              <w:spacing w:after="0"/>
              <w:rPr>
                <w:sz w:val="20"/>
                <w:szCs w:val="20"/>
                <w:color w:val="auto"/>
              </w:rPr>
            </w:pPr>
            <w:r>
              <w:rPr>
                <w:rFonts w:ascii="Arial" w:cs="Arial" w:eastAsia="Arial" w:hAnsi="Arial"/>
                <w:sz w:val="12"/>
                <w:szCs w:val="12"/>
                <w:color w:val="auto"/>
                <w:w w:val="89"/>
              </w:rPr>
              <w:t>$</w:t>
            </w:r>
          </w:p>
        </w:tc>
        <w:tc>
          <w:tcPr>
            <w:tcW w:w="420" w:type="dxa"/>
            <w:vAlign w:val="bottom"/>
            <w:tcBorders>
              <w:top w:val="single" w:sz="8" w:color="B7E5FF"/>
            </w:tcBorders>
          </w:tcPr>
          <w:p>
            <w:pPr>
              <w:jc w:val="right"/>
              <w:spacing w:after="0"/>
              <w:rPr>
                <w:sz w:val="20"/>
                <w:szCs w:val="20"/>
                <w:color w:val="auto"/>
              </w:rPr>
            </w:pPr>
            <w:r>
              <w:rPr>
                <w:rFonts w:ascii="Arial" w:cs="Arial" w:eastAsia="Arial" w:hAnsi="Arial"/>
                <w:sz w:val="12"/>
                <w:szCs w:val="12"/>
                <w:color w:val="auto"/>
              </w:rPr>
              <w:t>8,987</w:t>
            </w:r>
          </w:p>
        </w:tc>
        <w:tc>
          <w:tcPr>
            <w:tcW w:w="120" w:type="dxa"/>
            <w:vAlign w:val="bottom"/>
            <w:tcBorders>
              <w:top w:val="single" w:sz="8" w:color="B7E5FF"/>
            </w:tcBorders>
          </w:tcPr>
          <w:p>
            <w:pPr>
              <w:spacing w:after="0"/>
              <w:rPr>
                <w:sz w:val="13"/>
                <w:szCs w:val="13"/>
                <w:color w:val="auto"/>
              </w:rPr>
            </w:pPr>
          </w:p>
        </w:tc>
        <w:tc>
          <w:tcPr>
            <w:tcW w:w="220" w:type="dxa"/>
            <w:vAlign w:val="bottom"/>
            <w:tcBorders>
              <w:top w:val="single" w:sz="8" w:color="B7E5FF"/>
            </w:tcBorders>
          </w:tcPr>
          <w:p>
            <w:pPr>
              <w:jc w:val="right"/>
              <w:ind w:right="80"/>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B7E5FF"/>
            </w:tcBorders>
          </w:tcPr>
          <w:p>
            <w:pPr>
              <w:jc w:val="right"/>
              <w:spacing w:after="0"/>
              <w:rPr>
                <w:sz w:val="20"/>
                <w:szCs w:val="20"/>
                <w:color w:val="auto"/>
              </w:rPr>
            </w:pPr>
            <w:r>
              <w:rPr>
                <w:rFonts w:ascii="Arial" w:cs="Arial" w:eastAsia="Arial" w:hAnsi="Arial"/>
                <w:sz w:val="12"/>
                <w:szCs w:val="12"/>
                <w:color w:val="auto"/>
              </w:rPr>
              <w:t>216,676</w:t>
            </w:r>
          </w:p>
        </w:tc>
      </w:tr>
      <w:tr>
        <w:trPr>
          <w:trHeight w:val="153"/>
        </w:trPr>
        <w:tc>
          <w:tcPr>
            <w:tcW w:w="20" w:type="dxa"/>
            <w:vAlign w:val="bottom"/>
            <w:shd w:val="clear" w:color="auto" w:fill="B7E5FF"/>
          </w:tcPr>
          <w:p>
            <w:pPr>
              <w:spacing w:after="0"/>
              <w:rPr>
                <w:sz w:val="13"/>
                <w:szCs w:val="13"/>
                <w:color w:val="auto"/>
              </w:rPr>
            </w:pPr>
          </w:p>
        </w:tc>
        <w:tc>
          <w:tcPr>
            <w:tcW w:w="4340" w:type="dxa"/>
            <w:vAlign w:val="bottom"/>
            <w:gridSpan w:val="3"/>
            <w:shd w:val="clear" w:color="auto" w:fill="B7E5FF"/>
          </w:tcPr>
          <w:p>
            <w:pPr>
              <w:spacing w:after="0"/>
              <w:rPr>
                <w:sz w:val="20"/>
                <w:szCs w:val="20"/>
                <w:color w:val="auto"/>
              </w:rPr>
            </w:pPr>
            <w:r>
              <w:rPr>
                <w:rFonts w:ascii="Arial" w:cs="Arial" w:eastAsia="Arial" w:hAnsi="Arial"/>
                <w:sz w:val="12"/>
                <w:szCs w:val="12"/>
                <w:color w:val="auto"/>
              </w:rPr>
              <w:t>Services transferred over time</w:t>
            </w:r>
          </w:p>
        </w:tc>
        <w:tc>
          <w:tcPr>
            <w:tcW w:w="280" w:type="dxa"/>
            <w:vAlign w:val="bottom"/>
            <w:tcBorders>
              <w:bottom w:val="single" w:sz="8" w:color="auto"/>
            </w:tcBorders>
            <w:shd w:val="clear" w:color="auto" w:fill="B7E5FF"/>
          </w:tcPr>
          <w:p>
            <w:pPr>
              <w:spacing w:after="0"/>
              <w:rPr>
                <w:sz w:val="13"/>
                <w:szCs w:val="13"/>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2,830</w:t>
            </w:r>
          </w:p>
        </w:tc>
        <w:tc>
          <w:tcPr>
            <w:tcW w:w="40" w:type="dxa"/>
            <w:vAlign w:val="bottom"/>
            <w:tcBorders>
              <w:bottom w:val="single" w:sz="8" w:color="auto"/>
            </w:tcBorders>
            <w:shd w:val="clear" w:color="auto" w:fill="B7E5FF"/>
          </w:tcPr>
          <w:p>
            <w:pPr>
              <w:spacing w:after="0"/>
              <w:rPr>
                <w:sz w:val="13"/>
                <w:szCs w:val="13"/>
                <w:color w:val="auto"/>
              </w:rPr>
            </w:pPr>
          </w:p>
        </w:tc>
        <w:tc>
          <w:tcPr>
            <w:tcW w:w="120" w:type="dxa"/>
            <w:vAlign w:val="bottom"/>
            <w:shd w:val="clear" w:color="auto" w:fill="B7E5FF"/>
          </w:tcPr>
          <w:p>
            <w:pPr>
              <w:spacing w:after="0"/>
              <w:rPr>
                <w:sz w:val="13"/>
                <w:szCs w:val="13"/>
                <w:color w:val="auto"/>
              </w:rPr>
            </w:pPr>
          </w:p>
        </w:tc>
        <w:tc>
          <w:tcPr>
            <w:tcW w:w="280" w:type="dxa"/>
            <w:vAlign w:val="bottom"/>
            <w:tcBorders>
              <w:bottom w:val="single" w:sz="8" w:color="auto"/>
            </w:tcBorders>
            <w:shd w:val="clear" w:color="auto" w:fill="B7E5FF"/>
          </w:tcPr>
          <w:p>
            <w:pPr>
              <w:spacing w:after="0"/>
              <w:rPr>
                <w:sz w:val="13"/>
                <w:szCs w:val="13"/>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56</w:t>
            </w:r>
          </w:p>
        </w:tc>
        <w:tc>
          <w:tcPr>
            <w:tcW w:w="40" w:type="dxa"/>
            <w:vAlign w:val="bottom"/>
            <w:tcBorders>
              <w:bottom w:val="single" w:sz="8" w:color="auto"/>
            </w:tcBorders>
            <w:shd w:val="clear" w:color="auto" w:fill="B7E5FF"/>
          </w:tcPr>
          <w:p>
            <w:pPr>
              <w:spacing w:after="0"/>
              <w:rPr>
                <w:sz w:val="13"/>
                <w:szCs w:val="13"/>
                <w:color w:val="auto"/>
              </w:rPr>
            </w:pPr>
          </w:p>
        </w:tc>
        <w:tc>
          <w:tcPr>
            <w:tcW w:w="100" w:type="dxa"/>
            <w:vAlign w:val="bottom"/>
            <w:shd w:val="clear" w:color="auto" w:fill="B7E5FF"/>
          </w:tcPr>
          <w:p>
            <w:pPr>
              <w:spacing w:after="0"/>
              <w:rPr>
                <w:sz w:val="13"/>
                <w:szCs w:val="13"/>
                <w:color w:val="auto"/>
              </w:rPr>
            </w:pPr>
          </w:p>
        </w:tc>
        <w:tc>
          <w:tcPr>
            <w:tcW w:w="220" w:type="dxa"/>
            <w:vAlign w:val="bottom"/>
            <w:tcBorders>
              <w:bottom w:val="single" w:sz="8" w:color="auto"/>
            </w:tcBorders>
            <w:shd w:val="clear" w:color="auto" w:fill="B7E5FF"/>
          </w:tcPr>
          <w:p>
            <w:pPr>
              <w:spacing w:after="0"/>
              <w:rPr>
                <w:sz w:val="13"/>
                <w:szCs w:val="13"/>
                <w:color w:val="auto"/>
              </w:rPr>
            </w:pPr>
          </w:p>
        </w:tc>
        <w:tc>
          <w:tcPr>
            <w:tcW w:w="1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2,331</w:t>
            </w:r>
          </w:p>
        </w:tc>
        <w:tc>
          <w:tcPr>
            <w:tcW w:w="100" w:type="dxa"/>
            <w:vAlign w:val="bottom"/>
            <w:shd w:val="clear" w:color="auto" w:fill="B7E5FF"/>
          </w:tcPr>
          <w:p>
            <w:pPr>
              <w:spacing w:after="0"/>
              <w:rPr>
                <w:sz w:val="13"/>
                <w:szCs w:val="13"/>
                <w:color w:val="auto"/>
              </w:rPr>
            </w:pPr>
          </w:p>
        </w:tc>
        <w:tc>
          <w:tcPr>
            <w:tcW w:w="920" w:type="dxa"/>
            <w:vAlign w:val="bottom"/>
            <w:tcBorders>
              <w:bottom w:val="single" w:sz="8" w:color="auto"/>
            </w:tcBorders>
            <w:shd w:val="clear" w:color="auto" w:fill="B7E5FF"/>
          </w:tcPr>
          <w:p>
            <w:pPr>
              <w:spacing w:after="0"/>
              <w:rPr>
                <w:sz w:val="13"/>
                <w:szCs w:val="13"/>
                <w:color w:val="auto"/>
              </w:rPr>
            </w:pPr>
          </w:p>
        </w:tc>
        <w:tc>
          <w:tcPr>
            <w:tcW w:w="4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69</w:t>
            </w:r>
          </w:p>
        </w:tc>
        <w:tc>
          <w:tcPr>
            <w:tcW w:w="120" w:type="dxa"/>
            <w:vAlign w:val="bottom"/>
            <w:shd w:val="clear" w:color="auto" w:fill="B7E5FF"/>
          </w:tcPr>
          <w:p>
            <w:pPr>
              <w:spacing w:after="0"/>
              <w:rPr>
                <w:sz w:val="13"/>
                <w:szCs w:val="13"/>
                <w:color w:val="auto"/>
              </w:rPr>
            </w:pPr>
          </w:p>
        </w:tc>
        <w:tc>
          <w:tcPr>
            <w:tcW w:w="220" w:type="dxa"/>
            <w:vAlign w:val="bottom"/>
            <w:tcBorders>
              <w:bottom w:val="single" w:sz="8" w:color="auto"/>
            </w:tcBorders>
            <w:shd w:val="clear" w:color="auto" w:fill="B7E5FF"/>
          </w:tcPr>
          <w:p>
            <w:pPr>
              <w:spacing w:after="0"/>
              <w:rPr>
                <w:sz w:val="13"/>
                <w:szCs w:val="13"/>
                <w:color w:val="auto"/>
              </w:rPr>
            </w:pP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5,286</w:t>
            </w:r>
          </w:p>
        </w:tc>
      </w:tr>
      <w:tr>
        <w:trPr>
          <w:trHeight w:val="140"/>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80" w:type="dxa"/>
            <w:vAlign w:val="bottom"/>
            <w:tcBorders>
              <w:bottom w:val="single" w:sz="8" w:color="auto"/>
            </w:tcBorders>
          </w:tcPr>
          <w:p>
            <w:pPr>
              <w:jc w:val="right"/>
              <w:ind w:right="120"/>
              <w:spacing w:after="0" w:line="133" w:lineRule="exact"/>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97,392</w:t>
            </w:r>
          </w:p>
        </w:tc>
        <w:tc>
          <w:tcPr>
            <w:tcW w:w="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bottom w:val="single" w:sz="8" w:color="auto"/>
            </w:tcBorders>
          </w:tcPr>
          <w:p>
            <w:pPr>
              <w:jc w:val="right"/>
              <w:ind w:right="140"/>
              <w:spacing w:after="0" w:line="133" w:lineRule="exact"/>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60,166</w:t>
            </w:r>
          </w:p>
        </w:tc>
        <w:tc>
          <w:tcPr>
            <w:tcW w:w="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55,348</w:t>
            </w:r>
          </w:p>
        </w:tc>
        <w:tc>
          <w:tcPr>
            <w:tcW w:w="100" w:type="dxa"/>
            <w:vAlign w:val="bottom"/>
          </w:tcPr>
          <w:p>
            <w:pPr>
              <w:spacing w:after="0"/>
              <w:rPr>
                <w:sz w:val="12"/>
                <w:szCs w:val="12"/>
                <w:color w:val="auto"/>
              </w:rPr>
            </w:pPr>
          </w:p>
        </w:tc>
        <w:tc>
          <w:tcPr>
            <w:tcW w:w="920" w:type="dxa"/>
            <w:vAlign w:val="bottom"/>
            <w:tcBorders>
              <w:bottom w:val="single" w:sz="8" w:color="auto"/>
            </w:tcBorders>
          </w:tcPr>
          <w:p>
            <w:pPr>
              <w:jc w:val="right"/>
              <w:ind w:right="780"/>
              <w:spacing w:after="0" w:line="133" w:lineRule="exact"/>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9,056</w:t>
            </w:r>
          </w:p>
        </w:tc>
        <w:tc>
          <w:tcPr>
            <w:tcW w:w="12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221,962</w:t>
            </w:r>
          </w:p>
        </w:tc>
      </w:tr>
      <w:tr>
        <w:trPr>
          <w:trHeight w:val="293"/>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2"/>
                <w:szCs w:val="12"/>
                <w:b w:val="1"/>
                <w:bCs w:val="1"/>
                <w:color w:val="auto"/>
                <w:w w:val="89"/>
              </w:rPr>
              <w:t>Six Months Ended June 30, 2019</w:t>
            </w: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25"/>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jc w:val="center"/>
              <w:ind w:right="160"/>
              <w:spacing w:after="0" w:line="125" w:lineRule="exact"/>
              <w:rPr>
                <w:sz w:val="20"/>
                <w:szCs w:val="20"/>
                <w:color w:val="auto"/>
              </w:rPr>
            </w:pPr>
            <w:r>
              <w:rPr>
                <w:rFonts w:ascii="Arial" w:cs="Arial" w:eastAsia="Arial" w:hAnsi="Arial"/>
                <w:sz w:val="12"/>
                <w:szCs w:val="12"/>
                <w:b w:val="1"/>
                <w:bCs w:val="1"/>
                <w:color w:val="auto"/>
                <w:w w:val="93"/>
              </w:rPr>
              <w:t>North</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center"/>
              <w:ind w:left="360"/>
              <w:spacing w:after="0" w:line="125" w:lineRule="exact"/>
              <w:rPr>
                <w:sz w:val="20"/>
                <w:szCs w:val="20"/>
                <w:color w:val="auto"/>
              </w:rPr>
            </w:pPr>
            <w:r>
              <w:rPr>
                <w:rFonts w:ascii="Arial" w:cs="Arial" w:eastAsia="Arial" w:hAnsi="Arial"/>
                <w:sz w:val="12"/>
                <w:szCs w:val="12"/>
                <w:b w:val="1"/>
                <w:bCs w:val="1"/>
                <w:color w:val="auto"/>
                <w:w w:val="88"/>
              </w:rPr>
              <w:t>South</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160"/>
              <w:spacing w:after="0" w:line="125" w:lineRule="exact"/>
              <w:rPr>
                <w:sz w:val="20"/>
                <w:szCs w:val="20"/>
                <w:color w:val="auto"/>
              </w:rPr>
            </w:pPr>
            <w:r>
              <w:rPr>
                <w:rFonts w:ascii="Arial" w:cs="Arial" w:eastAsia="Arial" w:hAnsi="Arial"/>
                <w:sz w:val="12"/>
                <w:szCs w:val="12"/>
                <w:b w:val="1"/>
                <w:bCs w:val="1"/>
                <w:color w:val="auto"/>
                <w:w w:val="89"/>
              </w:rPr>
              <w:t>Consolidated</w:t>
            </w:r>
          </w:p>
        </w:tc>
      </w:tr>
      <w:tr>
        <w:trPr>
          <w:trHeight w:val="157"/>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center"/>
              <w:ind w:right="180"/>
              <w:spacing w:after="0"/>
              <w:rPr>
                <w:sz w:val="20"/>
                <w:szCs w:val="20"/>
                <w:color w:val="auto"/>
              </w:rPr>
            </w:pPr>
            <w:r>
              <w:rPr>
                <w:rFonts w:ascii="Arial" w:cs="Arial" w:eastAsia="Arial" w:hAnsi="Arial"/>
                <w:sz w:val="12"/>
                <w:szCs w:val="12"/>
                <w:b w:val="1"/>
                <w:bCs w:val="1"/>
                <w:color w:val="auto"/>
                <w:w w:val="92"/>
              </w:rPr>
              <w:t>America</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ind w:right="380"/>
              <w:spacing w:after="0"/>
              <w:rPr>
                <w:sz w:val="20"/>
                <w:szCs w:val="20"/>
                <w:color w:val="auto"/>
              </w:rPr>
            </w:pPr>
            <w:r>
              <w:rPr>
                <w:rFonts w:ascii="Arial" w:cs="Arial" w:eastAsia="Arial" w:hAnsi="Arial"/>
                <w:sz w:val="12"/>
                <w:szCs w:val="12"/>
                <w:b w:val="1"/>
                <w:bCs w:val="1"/>
                <w:color w:val="auto"/>
              </w:rPr>
              <w:t>EMEA</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ind w:left="140"/>
              <w:spacing w:after="0"/>
              <w:rPr>
                <w:sz w:val="20"/>
                <w:szCs w:val="20"/>
                <w:color w:val="auto"/>
              </w:rPr>
            </w:pPr>
            <w:r>
              <w:rPr>
                <w:rFonts w:ascii="Arial" w:cs="Arial" w:eastAsia="Arial" w:hAnsi="Arial"/>
                <w:sz w:val="12"/>
                <w:szCs w:val="12"/>
                <w:b w:val="1"/>
                <w:bCs w:val="1"/>
                <w:color w:val="auto"/>
              </w:rPr>
              <w:t>Asia/Pacific</w:t>
            </w:r>
          </w:p>
        </w:tc>
        <w:tc>
          <w:tcPr>
            <w:tcW w:w="920" w:type="dxa"/>
            <w:vAlign w:val="bottom"/>
          </w:tcPr>
          <w:p>
            <w:pPr>
              <w:jc w:val="center"/>
              <w:ind w:left="380"/>
              <w:spacing w:after="0"/>
              <w:rPr>
                <w:sz w:val="20"/>
                <w:szCs w:val="20"/>
                <w:color w:val="auto"/>
              </w:rPr>
            </w:pPr>
            <w:r>
              <w:rPr>
                <w:rFonts w:ascii="Arial" w:cs="Arial" w:eastAsia="Arial" w:hAnsi="Arial"/>
                <w:sz w:val="12"/>
                <w:szCs w:val="12"/>
                <w:b w:val="1"/>
                <w:bCs w:val="1"/>
                <w:color w:val="auto"/>
                <w:w w:val="92"/>
              </w:rPr>
              <w:t>America</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center"/>
              <w:ind w:right="160"/>
              <w:spacing w:after="0"/>
              <w:rPr>
                <w:sz w:val="20"/>
                <w:szCs w:val="20"/>
                <w:color w:val="auto"/>
              </w:rPr>
            </w:pPr>
            <w:r>
              <w:rPr>
                <w:rFonts w:ascii="Arial" w:cs="Arial" w:eastAsia="Arial" w:hAnsi="Arial"/>
                <w:sz w:val="12"/>
                <w:szCs w:val="12"/>
                <w:b w:val="1"/>
                <w:bCs w:val="1"/>
                <w:color w:val="auto"/>
                <w:w w:val="97"/>
              </w:rPr>
              <w:t>Total</w:t>
            </w:r>
          </w:p>
        </w:tc>
      </w:tr>
      <w:tr>
        <w:trPr>
          <w:trHeight w:val="133"/>
        </w:trPr>
        <w:tc>
          <w:tcPr>
            <w:tcW w:w="20" w:type="dxa"/>
            <w:vAlign w:val="bottom"/>
            <w:tcBorders>
              <w:top w:val="single" w:sz="8" w:color="B7E5FF"/>
            </w:tcBorders>
            <w:shd w:val="clear" w:color="auto" w:fill="B7E5FF"/>
          </w:tcPr>
          <w:p>
            <w:pPr>
              <w:spacing w:after="0"/>
              <w:rPr>
                <w:sz w:val="11"/>
                <w:szCs w:val="11"/>
                <w:color w:val="auto"/>
              </w:rPr>
            </w:pPr>
          </w:p>
        </w:tc>
        <w:tc>
          <w:tcPr>
            <w:tcW w:w="4340" w:type="dxa"/>
            <w:vAlign w:val="bottom"/>
            <w:tcBorders>
              <w:top w:val="single" w:sz="8" w:color="B7E5FF"/>
            </w:tcBorders>
            <w:gridSpan w:val="3"/>
            <w:shd w:val="clear" w:color="auto" w:fill="B7E5FF"/>
          </w:tcPr>
          <w:p>
            <w:pPr>
              <w:spacing w:after="0" w:line="133" w:lineRule="exact"/>
              <w:rPr>
                <w:sz w:val="20"/>
                <w:szCs w:val="20"/>
                <w:color w:val="auto"/>
              </w:rPr>
            </w:pPr>
            <w:r>
              <w:rPr>
                <w:rFonts w:ascii="Arial" w:cs="Arial" w:eastAsia="Arial" w:hAnsi="Arial"/>
                <w:sz w:val="12"/>
                <w:szCs w:val="12"/>
                <w:color w:val="auto"/>
              </w:rPr>
              <w:t>Net sales</w:t>
            </w:r>
          </w:p>
        </w:tc>
        <w:tc>
          <w:tcPr>
            <w:tcW w:w="280" w:type="dxa"/>
            <w:vAlign w:val="bottom"/>
            <w:tcBorders>
              <w:top w:val="single" w:sz="8" w:color="auto"/>
            </w:tcBorders>
            <w:shd w:val="clear" w:color="auto" w:fill="B7E5FF"/>
          </w:tcPr>
          <w:p>
            <w:pPr>
              <w:jc w:val="right"/>
              <w:ind w:right="120"/>
              <w:spacing w:after="0" w:line="133" w:lineRule="exact"/>
              <w:rPr>
                <w:sz w:val="20"/>
                <w:szCs w:val="20"/>
                <w:color w:val="auto"/>
              </w:rPr>
            </w:pPr>
            <w:r>
              <w:rPr>
                <w:rFonts w:ascii="Arial" w:cs="Arial" w:eastAsia="Arial" w:hAnsi="Arial"/>
                <w:sz w:val="12"/>
                <w:szCs w:val="12"/>
                <w:color w:val="auto"/>
              </w:rPr>
              <w:t>$</w:t>
            </w:r>
          </w:p>
        </w:tc>
        <w:tc>
          <w:tcPr>
            <w:tcW w:w="100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189,636</w:t>
            </w:r>
          </w:p>
        </w:tc>
        <w:tc>
          <w:tcPr>
            <w:tcW w:w="40" w:type="dxa"/>
            <w:vAlign w:val="bottom"/>
            <w:tcBorders>
              <w:top w:val="single" w:sz="8" w:color="auto"/>
            </w:tcBorders>
            <w:shd w:val="clear" w:color="auto" w:fill="B7E5FF"/>
          </w:tcPr>
          <w:p>
            <w:pPr>
              <w:spacing w:after="0"/>
              <w:rPr>
                <w:sz w:val="11"/>
                <w:szCs w:val="11"/>
                <w:color w:val="auto"/>
              </w:rPr>
            </w:pPr>
          </w:p>
        </w:tc>
        <w:tc>
          <w:tcPr>
            <w:tcW w:w="120" w:type="dxa"/>
            <w:vAlign w:val="bottom"/>
            <w:tcBorders>
              <w:top w:val="single" w:sz="8" w:color="B7E5FF"/>
            </w:tcBorders>
            <w:shd w:val="clear" w:color="auto" w:fill="B7E5FF"/>
          </w:tcPr>
          <w:p>
            <w:pPr>
              <w:spacing w:after="0"/>
              <w:rPr>
                <w:sz w:val="11"/>
                <w:szCs w:val="11"/>
                <w:color w:val="auto"/>
              </w:rPr>
            </w:pPr>
          </w:p>
        </w:tc>
        <w:tc>
          <w:tcPr>
            <w:tcW w:w="280" w:type="dxa"/>
            <w:vAlign w:val="bottom"/>
            <w:tcBorders>
              <w:top w:val="single" w:sz="8" w:color="auto"/>
            </w:tcBorders>
            <w:shd w:val="clear" w:color="auto" w:fill="B7E5FF"/>
          </w:tcPr>
          <w:p>
            <w:pPr>
              <w:jc w:val="right"/>
              <w:ind w:right="140"/>
              <w:spacing w:after="0" w:line="133" w:lineRule="exact"/>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109,438</w:t>
            </w:r>
          </w:p>
        </w:tc>
        <w:tc>
          <w:tcPr>
            <w:tcW w:w="40" w:type="dxa"/>
            <w:vAlign w:val="bottom"/>
            <w:tcBorders>
              <w:top w:val="single" w:sz="8" w:color="auto"/>
            </w:tcBorders>
            <w:shd w:val="clear" w:color="auto" w:fill="B7E5FF"/>
          </w:tcPr>
          <w:p>
            <w:pPr>
              <w:spacing w:after="0"/>
              <w:rPr>
                <w:sz w:val="11"/>
                <w:szCs w:val="11"/>
                <w:color w:val="auto"/>
              </w:rPr>
            </w:pPr>
          </w:p>
        </w:tc>
        <w:tc>
          <w:tcPr>
            <w:tcW w:w="100" w:type="dxa"/>
            <w:vAlign w:val="bottom"/>
            <w:tcBorders>
              <w:top w:val="single" w:sz="8" w:color="B7E5FF"/>
            </w:tcBorders>
            <w:shd w:val="clear" w:color="auto" w:fill="B7E5FF"/>
          </w:tcPr>
          <w:p>
            <w:pPr>
              <w:spacing w:after="0"/>
              <w:rPr>
                <w:sz w:val="11"/>
                <w:szCs w:val="11"/>
                <w:color w:val="auto"/>
              </w:rPr>
            </w:pPr>
          </w:p>
        </w:tc>
        <w:tc>
          <w:tcPr>
            <w:tcW w:w="220" w:type="dxa"/>
            <w:vAlign w:val="bottom"/>
            <w:tcBorders>
              <w:top w:val="single" w:sz="8" w:color="auto"/>
            </w:tcBorders>
            <w:shd w:val="clear" w:color="auto" w:fill="B7E5FF"/>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100,354</w:t>
            </w:r>
          </w:p>
        </w:tc>
        <w:tc>
          <w:tcPr>
            <w:tcW w:w="100" w:type="dxa"/>
            <w:vAlign w:val="bottom"/>
            <w:tcBorders>
              <w:top w:val="single" w:sz="8" w:color="B7E5FF"/>
            </w:tcBorders>
            <w:shd w:val="clear" w:color="auto" w:fill="B7E5FF"/>
          </w:tcPr>
          <w:p>
            <w:pPr>
              <w:spacing w:after="0"/>
              <w:rPr>
                <w:sz w:val="11"/>
                <w:szCs w:val="11"/>
                <w:color w:val="auto"/>
              </w:rPr>
            </w:pPr>
          </w:p>
        </w:tc>
        <w:tc>
          <w:tcPr>
            <w:tcW w:w="920" w:type="dxa"/>
            <w:vAlign w:val="bottom"/>
            <w:tcBorders>
              <w:top w:val="single" w:sz="8" w:color="auto"/>
            </w:tcBorders>
            <w:shd w:val="clear" w:color="auto" w:fill="B7E5FF"/>
          </w:tcPr>
          <w:p>
            <w:pPr>
              <w:jc w:val="right"/>
              <w:ind w:right="780"/>
              <w:spacing w:after="0" w:line="133" w:lineRule="exact"/>
              <w:rPr>
                <w:sz w:val="20"/>
                <w:szCs w:val="20"/>
                <w:color w:val="auto"/>
              </w:rPr>
            </w:pPr>
            <w:r>
              <w:rPr>
                <w:rFonts w:ascii="Arial" w:cs="Arial" w:eastAsia="Arial" w:hAnsi="Arial"/>
                <w:sz w:val="12"/>
                <w:szCs w:val="12"/>
                <w:color w:val="auto"/>
                <w:w w:val="89"/>
              </w:rPr>
              <w:t>$</w:t>
            </w:r>
          </w:p>
        </w:tc>
        <w:tc>
          <w:tcPr>
            <w:tcW w:w="42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w w:val="92"/>
              </w:rPr>
              <w:t>17,651</w:t>
            </w:r>
          </w:p>
        </w:tc>
        <w:tc>
          <w:tcPr>
            <w:tcW w:w="120" w:type="dxa"/>
            <w:vAlign w:val="bottom"/>
            <w:tcBorders>
              <w:top w:val="single" w:sz="8" w:color="B7E5FF"/>
            </w:tcBorders>
            <w:shd w:val="clear" w:color="auto" w:fill="B7E5FF"/>
          </w:tcPr>
          <w:p>
            <w:pPr>
              <w:spacing w:after="0"/>
              <w:rPr>
                <w:sz w:val="11"/>
                <w:szCs w:val="11"/>
                <w:color w:val="auto"/>
              </w:rPr>
            </w:pPr>
          </w:p>
        </w:tc>
        <w:tc>
          <w:tcPr>
            <w:tcW w:w="220" w:type="dxa"/>
            <w:vAlign w:val="bottom"/>
            <w:tcBorders>
              <w:top w:val="single" w:sz="8" w:color="auto"/>
            </w:tcBorders>
            <w:shd w:val="clear" w:color="auto" w:fill="B7E5FF"/>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417,079</w:t>
            </w:r>
          </w:p>
        </w:tc>
      </w:tr>
      <w:tr>
        <w:trPr>
          <w:trHeight w:val="153"/>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33"/>
        </w:trPr>
        <w:tc>
          <w:tcPr>
            <w:tcW w:w="20" w:type="dxa"/>
            <w:vAlign w:val="bottom"/>
            <w:tcBorders>
              <w:bottom w:val="single" w:sz="8" w:color="B7E5FF"/>
            </w:tcBorders>
            <w:shd w:val="clear" w:color="auto" w:fill="B7E5FF"/>
          </w:tcPr>
          <w:p>
            <w:pPr>
              <w:spacing w:after="0"/>
              <w:rPr>
                <w:sz w:val="11"/>
                <w:szCs w:val="11"/>
                <w:color w:val="auto"/>
              </w:rPr>
            </w:pPr>
          </w:p>
        </w:tc>
        <w:tc>
          <w:tcPr>
            <w:tcW w:w="1060" w:type="dxa"/>
            <w:vAlign w:val="bottom"/>
            <w:tcBorders>
              <w:bottom w:val="single" w:sz="8" w:color="auto"/>
            </w:tcBorders>
            <w:shd w:val="clear" w:color="auto" w:fill="B7E5FF"/>
          </w:tcPr>
          <w:p>
            <w:pPr>
              <w:spacing w:after="0" w:line="117" w:lineRule="exact"/>
              <w:rPr>
                <w:sz w:val="20"/>
                <w:szCs w:val="20"/>
                <w:color w:val="auto"/>
              </w:rPr>
            </w:pPr>
            <w:r>
              <w:rPr>
                <w:rFonts w:ascii="Arial" w:cs="Arial" w:eastAsia="Arial" w:hAnsi="Arial"/>
                <w:sz w:val="12"/>
                <w:szCs w:val="12"/>
                <w:b w:val="1"/>
                <w:bCs w:val="1"/>
                <w:color w:val="auto"/>
                <w:w w:val="89"/>
              </w:rPr>
              <w:t>Customer Industries</w:t>
            </w:r>
          </w:p>
        </w:tc>
        <w:tc>
          <w:tcPr>
            <w:tcW w:w="3280" w:type="dxa"/>
            <w:vAlign w:val="bottom"/>
            <w:tcBorders>
              <w:bottom w:val="single" w:sz="8" w:color="B7E5FF"/>
            </w:tcBorders>
            <w:gridSpan w:val="2"/>
            <w:shd w:val="clear" w:color="auto" w:fill="B7E5FF"/>
          </w:tcPr>
          <w:p>
            <w:pPr>
              <w:spacing w:after="0"/>
              <w:rPr>
                <w:sz w:val="11"/>
                <w:szCs w:val="11"/>
                <w:color w:val="auto"/>
              </w:rPr>
            </w:pPr>
          </w:p>
        </w:tc>
        <w:tc>
          <w:tcPr>
            <w:tcW w:w="280" w:type="dxa"/>
            <w:vAlign w:val="bottom"/>
            <w:tcBorders>
              <w:bottom w:val="single" w:sz="8" w:color="B7E5FF"/>
            </w:tcBorders>
            <w:shd w:val="clear" w:color="auto" w:fill="B7E5FF"/>
          </w:tcPr>
          <w:p>
            <w:pPr>
              <w:spacing w:after="0"/>
              <w:rPr>
                <w:sz w:val="11"/>
                <w:szCs w:val="11"/>
                <w:color w:val="auto"/>
              </w:rPr>
            </w:pPr>
          </w:p>
        </w:tc>
        <w:tc>
          <w:tcPr>
            <w:tcW w:w="1000" w:type="dxa"/>
            <w:vAlign w:val="bottom"/>
            <w:tcBorders>
              <w:bottom w:val="single" w:sz="8" w:color="B7E5FF"/>
            </w:tcBorders>
            <w:shd w:val="clear" w:color="auto" w:fill="B7E5FF"/>
          </w:tcPr>
          <w:p>
            <w:pPr>
              <w:spacing w:after="0"/>
              <w:rPr>
                <w:sz w:val="11"/>
                <w:szCs w:val="11"/>
                <w:color w:val="auto"/>
              </w:rPr>
            </w:pPr>
          </w:p>
        </w:tc>
        <w:tc>
          <w:tcPr>
            <w:tcW w:w="40" w:type="dxa"/>
            <w:vAlign w:val="bottom"/>
            <w:tcBorders>
              <w:bottom w:val="single" w:sz="8" w:color="B7E5FF"/>
            </w:tcBorders>
            <w:shd w:val="clear" w:color="auto" w:fill="B7E5FF"/>
          </w:tcPr>
          <w:p>
            <w:pPr>
              <w:spacing w:after="0"/>
              <w:rPr>
                <w:sz w:val="11"/>
                <w:szCs w:val="11"/>
                <w:color w:val="auto"/>
              </w:rPr>
            </w:pPr>
          </w:p>
        </w:tc>
        <w:tc>
          <w:tcPr>
            <w:tcW w:w="120" w:type="dxa"/>
            <w:vAlign w:val="bottom"/>
            <w:tcBorders>
              <w:bottom w:val="single" w:sz="8" w:color="B7E5FF"/>
            </w:tcBorders>
            <w:shd w:val="clear" w:color="auto" w:fill="B7E5FF"/>
          </w:tcPr>
          <w:p>
            <w:pPr>
              <w:spacing w:after="0"/>
              <w:rPr>
                <w:sz w:val="11"/>
                <w:szCs w:val="11"/>
                <w:color w:val="auto"/>
              </w:rPr>
            </w:pPr>
          </w:p>
        </w:tc>
        <w:tc>
          <w:tcPr>
            <w:tcW w:w="280" w:type="dxa"/>
            <w:vAlign w:val="bottom"/>
            <w:tcBorders>
              <w:bottom w:val="single" w:sz="8" w:color="B7E5FF"/>
            </w:tcBorders>
            <w:shd w:val="clear" w:color="auto" w:fill="B7E5FF"/>
          </w:tcPr>
          <w:p>
            <w:pPr>
              <w:spacing w:after="0"/>
              <w:rPr>
                <w:sz w:val="11"/>
                <w:szCs w:val="11"/>
                <w:color w:val="auto"/>
              </w:rPr>
            </w:pPr>
          </w:p>
        </w:tc>
        <w:tc>
          <w:tcPr>
            <w:tcW w:w="1000" w:type="dxa"/>
            <w:vAlign w:val="bottom"/>
            <w:tcBorders>
              <w:bottom w:val="single" w:sz="8" w:color="B7E5FF"/>
            </w:tcBorders>
            <w:shd w:val="clear" w:color="auto" w:fill="B7E5FF"/>
          </w:tcPr>
          <w:p>
            <w:pPr>
              <w:spacing w:after="0"/>
              <w:rPr>
                <w:sz w:val="11"/>
                <w:szCs w:val="11"/>
                <w:color w:val="auto"/>
              </w:rPr>
            </w:pPr>
          </w:p>
        </w:tc>
        <w:tc>
          <w:tcPr>
            <w:tcW w:w="40" w:type="dxa"/>
            <w:vAlign w:val="bottom"/>
            <w:tcBorders>
              <w:bottom w:val="single" w:sz="8" w:color="B7E5FF"/>
            </w:tcBorders>
            <w:shd w:val="clear" w:color="auto" w:fill="B7E5FF"/>
          </w:tcPr>
          <w:p>
            <w:pPr>
              <w:spacing w:after="0"/>
              <w:rPr>
                <w:sz w:val="11"/>
                <w:szCs w:val="11"/>
                <w:color w:val="auto"/>
              </w:rPr>
            </w:pPr>
          </w:p>
        </w:tc>
        <w:tc>
          <w:tcPr>
            <w:tcW w:w="100" w:type="dxa"/>
            <w:vAlign w:val="bottom"/>
            <w:tcBorders>
              <w:bottom w:val="single" w:sz="8" w:color="B7E5FF"/>
            </w:tcBorders>
            <w:shd w:val="clear" w:color="auto" w:fill="B7E5FF"/>
          </w:tcPr>
          <w:p>
            <w:pPr>
              <w:spacing w:after="0"/>
              <w:rPr>
                <w:sz w:val="11"/>
                <w:szCs w:val="11"/>
                <w:color w:val="auto"/>
              </w:rPr>
            </w:pPr>
          </w:p>
        </w:tc>
        <w:tc>
          <w:tcPr>
            <w:tcW w:w="220" w:type="dxa"/>
            <w:vAlign w:val="bottom"/>
            <w:tcBorders>
              <w:bottom w:val="single" w:sz="8" w:color="B7E5FF"/>
            </w:tcBorders>
            <w:shd w:val="clear" w:color="auto" w:fill="B7E5FF"/>
          </w:tcPr>
          <w:p>
            <w:pPr>
              <w:spacing w:after="0"/>
              <w:rPr>
                <w:sz w:val="11"/>
                <w:szCs w:val="11"/>
                <w:color w:val="auto"/>
              </w:rPr>
            </w:pPr>
          </w:p>
        </w:tc>
        <w:tc>
          <w:tcPr>
            <w:tcW w:w="1120" w:type="dxa"/>
            <w:vAlign w:val="bottom"/>
            <w:tcBorders>
              <w:bottom w:val="single" w:sz="8" w:color="B7E5FF"/>
            </w:tcBorders>
            <w:shd w:val="clear" w:color="auto" w:fill="B7E5FF"/>
          </w:tcPr>
          <w:p>
            <w:pPr>
              <w:spacing w:after="0"/>
              <w:rPr>
                <w:sz w:val="11"/>
                <w:szCs w:val="11"/>
                <w:color w:val="auto"/>
              </w:rPr>
            </w:pPr>
          </w:p>
        </w:tc>
        <w:tc>
          <w:tcPr>
            <w:tcW w:w="100" w:type="dxa"/>
            <w:vAlign w:val="bottom"/>
            <w:tcBorders>
              <w:bottom w:val="single" w:sz="8" w:color="B7E5FF"/>
            </w:tcBorders>
            <w:shd w:val="clear" w:color="auto" w:fill="B7E5FF"/>
          </w:tcPr>
          <w:p>
            <w:pPr>
              <w:spacing w:after="0"/>
              <w:rPr>
                <w:sz w:val="11"/>
                <w:szCs w:val="11"/>
                <w:color w:val="auto"/>
              </w:rPr>
            </w:pPr>
          </w:p>
        </w:tc>
        <w:tc>
          <w:tcPr>
            <w:tcW w:w="920" w:type="dxa"/>
            <w:vAlign w:val="bottom"/>
            <w:tcBorders>
              <w:bottom w:val="single" w:sz="8" w:color="B7E5FF"/>
            </w:tcBorders>
            <w:shd w:val="clear" w:color="auto" w:fill="B7E5FF"/>
          </w:tcPr>
          <w:p>
            <w:pPr>
              <w:spacing w:after="0"/>
              <w:rPr>
                <w:sz w:val="11"/>
                <w:szCs w:val="11"/>
                <w:color w:val="auto"/>
              </w:rPr>
            </w:pPr>
          </w:p>
        </w:tc>
        <w:tc>
          <w:tcPr>
            <w:tcW w:w="420" w:type="dxa"/>
            <w:vAlign w:val="bottom"/>
            <w:tcBorders>
              <w:bottom w:val="single" w:sz="8" w:color="B7E5FF"/>
            </w:tcBorders>
            <w:shd w:val="clear" w:color="auto" w:fill="B7E5FF"/>
          </w:tcPr>
          <w:p>
            <w:pPr>
              <w:spacing w:after="0"/>
              <w:rPr>
                <w:sz w:val="11"/>
                <w:szCs w:val="11"/>
                <w:color w:val="auto"/>
              </w:rPr>
            </w:pPr>
          </w:p>
        </w:tc>
        <w:tc>
          <w:tcPr>
            <w:tcW w:w="120" w:type="dxa"/>
            <w:vAlign w:val="bottom"/>
            <w:tcBorders>
              <w:bottom w:val="single" w:sz="8" w:color="B7E5FF"/>
            </w:tcBorders>
            <w:shd w:val="clear" w:color="auto" w:fill="B7E5FF"/>
          </w:tcPr>
          <w:p>
            <w:pPr>
              <w:spacing w:after="0"/>
              <w:rPr>
                <w:sz w:val="11"/>
                <w:szCs w:val="11"/>
                <w:color w:val="auto"/>
              </w:rPr>
            </w:pPr>
          </w:p>
        </w:tc>
        <w:tc>
          <w:tcPr>
            <w:tcW w:w="220" w:type="dxa"/>
            <w:vAlign w:val="bottom"/>
            <w:tcBorders>
              <w:bottom w:val="single" w:sz="8" w:color="B7E5FF"/>
            </w:tcBorders>
            <w:shd w:val="clear" w:color="auto" w:fill="B7E5FF"/>
          </w:tcPr>
          <w:p>
            <w:pPr>
              <w:spacing w:after="0"/>
              <w:rPr>
                <w:sz w:val="11"/>
                <w:szCs w:val="11"/>
                <w:color w:val="auto"/>
              </w:rPr>
            </w:pPr>
          </w:p>
        </w:tc>
        <w:tc>
          <w:tcPr>
            <w:tcW w:w="1140" w:type="dxa"/>
            <w:vAlign w:val="bottom"/>
            <w:tcBorders>
              <w:bottom w:val="single" w:sz="8" w:color="B7E5FF"/>
            </w:tcBorders>
            <w:shd w:val="clear" w:color="auto" w:fill="B7E5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4340" w:type="dxa"/>
            <w:vAlign w:val="bottom"/>
            <w:gridSpan w:val="3"/>
          </w:tcPr>
          <w:p>
            <w:pPr>
              <w:spacing w:after="0"/>
              <w:rPr>
                <w:sz w:val="20"/>
                <w:szCs w:val="20"/>
                <w:color w:val="auto"/>
              </w:rPr>
            </w:pPr>
            <w:r>
              <w:rPr>
                <w:rFonts w:ascii="Arial" w:cs="Arial" w:eastAsia="Arial" w:hAnsi="Arial"/>
                <w:sz w:val="12"/>
                <w:szCs w:val="12"/>
                <w:color w:val="auto"/>
              </w:rPr>
              <w:t>Primary metals</w:t>
            </w:r>
          </w:p>
        </w:tc>
        <w:tc>
          <w:tcPr>
            <w:tcW w:w="2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78,603</w:t>
            </w:r>
          </w:p>
        </w:tc>
        <w:tc>
          <w:tcPr>
            <w:tcW w:w="44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49,606</w:t>
            </w:r>
          </w:p>
        </w:tc>
        <w:tc>
          <w:tcPr>
            <w:tcW w:w="36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63,133</w:t>
            </w:r>
          </w:p>
        </w:tc>
        <w:tc>
          <w:tcPr>
            <w:tcW w:w="100" w:type="dxa"/>
            <w:vAlign w:val="bottom"/>
          </w:tcPr>
          <w:p>
            <w:pPr>
              <w:spacing w:after="0"/>
              <w:rPr>
                <w:sz w:val="13"/>
                <w:szCs w:val="13"/>
                <w:color w:val="auto"/>
              </w:rPr>
            </w:pPr>
          </w:p>
        </w:tc>
        <w:tc>
          <w:tcPr>
            <w:tcW w:w="920" w:type="dxa"/>
            <w:vAlign w:val="bottom"/>
          </w:tcPr>
          <w:p>
            <w:pPr>
              <w:jc w:val="right"/>
              <w:ind w:right="780"/>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9,769</w:t>
            </w:r>
          </w:p>
        </w:tc>
        <w:tc>
          <w:tcPr>
            <w:tcW w:w="12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201,111</w:t>
            </w:r>
          </w:p>
        </w:tc>
      </w:tr>
      <w:tr>
        <w:trPr>
          <w:trHeight w:val="153"/>
        </w:trPr>
        <w:tc>
          <w:tcPr>
            <w:tcW w:w="20" w:type="dxa"/>
            <w:vAlign w:val="bottom"/>
            <w:shd w:val="clear" w:color="auto" w:fill="B7E5FF"/>
          </w:tcPr>
          <w:p>
            <w:pPr>
              <w:spacing w:after="0"/>
              <w:rPr>
                <w:sz w:val="13"/>
                <w:szCs w:val="13"/>
                <w:color w:val="auto"/>
              </w:rPr>
            </w:pPr>
          </w:p>
        </w:tc>
        <w:tc>
          <w:tcPr>
            <w:tcW w:w="4340" w:type="dxa"/>
            <w:vAlign w:val="bottom"/>
            <w:gridSpan w:val="3"/>
            <w:shd w:val="clear" w:color="auto" w:fill="B7E5FF"/>
          </w:tcPr>
          <w:p>
            <w:pPr>
              <w:spacing w:after="0"/>
              <w:rPr>
                <w:sz w:val="20"/>
                <w:szCs w:val="20"/>
                <w:color w:val="auto"/>
              </w:rPr>
            </w:pPr>
            <w:r>
              <w:rPr>
                <w:rFonts w:ascii="Arial" w:cs="Arial" w:eastAsia="Arial" w:hAnsi="Arial"/>
                <w:sz w:val="12"/>
                <w:szCs w:val="12"/>
                <w:color w:val="auto"/>
              </w:rPr>
              <w:t>Metalworking</w:t>
            </w:r>
          </w:p>
        </w:tc>
        <w:tc>
          <w:tcPr>
            <w:tcW w:w="280" w:type="dxa"/>
            <w:vAlign w:val="bottom"/>
            <w:shd w:val="clear" w:color="auto" w:fill="B7E5FF"/>
          </w:tcPr>
          <w:p>
            <w:pPr>
              <w:spacing w:after="0"/>
              <w:rPr>
                <w:sz w:val="13"/>
                <w:szCs w:val="13"/>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81,134</w:t>
            </w:r>
          </w:p>
        </w:tc>
        <w:tc>
          <w:tcPr>
            <w:tcW w:w="40" w:type="dxa"/>
            <w:vAlign w:val="bottom"/>
            <w:shd w:val="clear" w:color="auto" w:fill="B7E5FF"/>
          </w:tcPr>
          <w:p>
            <w:pPr>
              <w:spacing w:after="0"/>
              <w:rPr>
                <w:sz w:val="13"/>
                <w:szCs w:val="13"/>
                <w:color w:val="auto"/>
              </w:rPr>
            </w:pPr>
          </w:p>
        </w:tc>
        <w:tc>
          <w:tcPr>
            <w:tcW w:w="120" w:type="dxa"/>
            <w:vAlign w:val="bottom"/>
            <w:shd w:val="clear" w:color="auto" w:fill="B7E5FF"/>
          </w:tcPr>
          <w:p>
            <w:pPr>
              <w:spacing w:after="0"/>
              <w:rPr>
                <w:sz w:val="13"/>
                <w:szCs w:val="13"/>
                <w:color w:val="auto"/>
              </w:rPr>
            </w:pPr>
          </w:p>
        </w:tc>
        <w:tc>
          <w:tcPr>
            <w:tcW w:w="280" w:type="dxa"/>
            <w:vAlign w:val="bottom"/>
            <w:shd w:val="clear" w:color="auto" w:fill="B7E5FF"/>
          </w:tcPr>
          <w:p>
            <w:pPr>
              <w:spacing w:after="0"/>
              <w:rPr>
                <w:sz w:val="13"/>
                <w:szCs w:val="13"/>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54,988</w:t>
            </w:r>
          </w:p>
        </w:tc>
        <w:tc>
          <w:tcPr>
            <w:tcW w:w="40" w:type="dxa"/>
            <w:vAlign w:val="bottom"/>
            <w:shd w:val="clear" w:color="auto" w:fill="B7E5FF"/>
          </w:tcPr>
          <w:p>
            <w:pPr>
              <w:spacing w:after="0"/>
              <w:rPr>
                <w:sz w:val="13"/>
                <w:szCs w:val="13"/>
                <w:color w:val="auto"/>
              </w:rPr>
            </w:pPr>
          </w:p>
        </w:tc>
        <w:tc>
          <w:tcPr>
            <w:tcW w:w="100" w:type="dxa"/>
            <w:vAlign w:val="bottom"/>
            <w:shd w:val="clear" w:color="auto" w:fill="B7E5FF"/>
          </w:tcPr>
          <w:p>
            <w:pPr>
              <w:spacing w:after="0"/>
              <w:rPr>
                <w:sz w:val="13"/>
                <w:szCs w:val="13"/>
                <w:color w:val="auto"/>
              </w:rPr>
            </w:pPr>
          </w:p>
        </w:tc>
        <w:tc>
          <w:tcPr>
            <w:tcW w:w="220" w:type="dxa"/>
            <w:vAlign w:val="bottom"/>
            <w:shd w:val="clear" w:color="auto" w:fill="B7E5FF"/>
          </w:tcPr>
          <w:p>
            <w:pPr>
              <w:spacing w:after="0"/>
              <w:rPr>
                <w:sz w:val="13"/>
                <w:szCs w:val="13"/>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32,938</w:t>
            </w:r>
          </w:p>
        </w:tc>
        <w:tc>
          <w:tcPr>
            <w:tcW w:w="100" w:type="dxa"/>
            <w:vAlign w:val="bottom"/>
            <w:shd w:val="clear" w:color="auto" w:fill="B7E5FF"/>
          </w:tcPr>
          <w:p>
            <w:pPr>
              <w:spacing w:after="0"/>
              <w:rPr>
                <w:sz w:val="13"/>
                <w:szCs w:val="13"/>
                <w:color w:val="auto"/>
              </w:rPr>
            </w:pPr>
          </w:p>
        </w:tc>
        <w:tc>
          <w:tcPr>
            <w:tcW w:w="920" w:type="dxa"/>
            <w:vAlign w:val="bottom"/>
            <w:shd w:val="clear" w:color="auto" w:fill="B7E5FF"/>
          </w:tcPr>
          <w:p>
            <w:pPr>
              <w:spacing w:after="0"/>
              <w:rPr>
                <w:sz w:val="13"/>
                <w:szCs w:val="13"/>
                <w:color w:val="auto"/>
              </w:rPr>
            </w:pPr>
          </w:p>
        </w:tc>
        <w:tc>
          <w:tcPr>
            <w:tcW w:w="4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7,389</w:t>
            </w:r>
          </w:p>
        </w:tc>
        <w:tc>
          <w:tcPr>
            <w:tcW w:w="120" w:type="dxa"/>
            <w:vAlign w:val="bottom"/>
            <w:shd w:val="clear" w:color="auto" w:fill="B7E5FF"/>
          </w:tcPr>
          <w:p>
            <w:pPr>
              <w:spacing w:after="0"/>
              <w:rPr>
                <w:sz w:val="13"/>
                <w:szCs w:val="13"/>
                <w:color w:val="auto"/>
              </w:rPr>
            </w:pPr>
          </w:p>
        </w:tc>
        <w:tc>
          <w:tcPr>
            <w:tcW w:w="220" w:type="dxa"/>
            <w:vAlign w:val="bottom"/>
            <w:shd w:val="clear" w:color="auto" w:fill="B7E5FF"/>
          </w:tcPr>
          <w:p>
            <w:pPr>
              <w:spacing w:after="0"/>
              <w:rPr>
                <w:sz w:val="13"/>
                <w:szCs w:val="13"/>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176,449</w:t>
            </w:r>
          </w:p>
        </w:tc>
      </w:tr>
      <w:tr>
        <w:trPr>
          <w:trHeight w:val="153"/>
        </w:trPr>
        <w:tc>
          <w:tcPr>
            <w:tcW w:w="20" w:type="dxa"/>
            <w:vAlign w:val="bottom"/>
            <w:tcBorders>
              <w:bottom w:val="single" w:sz="8" w:color="B7E5FF"/>
            </w:tcBorders>
          </w:tcPr>
          <w:p>
            <w:pPr>
              <w:spacing w:after="0"/>
              <w:rPr>
                <w:sz w:val="13"/>
                <w:szCs w:val="13"/>
                <w:color w:val="auto"/>
              </w:rPr>
            </w:pPr>
          </w:p>
        </w:tc>
        <w:tc>
          <w:tcPr>
            <w:tcW w:w="4340" w:type="dxa"/>
            <w:vAlign w:val="bottom"/>
            <w:tcBorders>
              <w:bottom w:val="single" w:sz="8" w:color="B7E5FF"/>
            </w:tcBorders>
            <w:gridSpan w:val="3"/>
          </w:tcPr>
          <w:p>
            <w:pPr>
              <w:spacing w:after="0"/>
              <w:rPr>
                <w:sz w:val="20"/>
                <w:szCs w:val="20"/>
                <w:color w:val="auto"/>
              </w:rPr>
            </w:pPr>
            <w:r>
              <w:rPr>
                <w:rFonts w:ascii="Arial" w:cs="Arial" w:eastAsia="Arial" w:hAnsi="Arial"/>
                <w:sz w:val="12"/>
                <w:szCs w:val="12"/>
                <w:color w:val="auto"/>
              </w:rPr>
              <w:t>Coatings and other</w:t>
            </w: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29,899</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B7E5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4,844</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B7E5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4,283</w:t>
            </w:r>
          </w:p>
        </w:tc>
        <w:tc>
          <w:tcPr>
            <w:tcW w:w="100" w:type="dxa"/>
            <w:vAlign w:val="bottom"/>
            <w:tcBorders>
              <w:bottom w:val="single" w:sz="8" w:color="B7E5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493</w:t>
            </w:r>
          </w:p>
        </w:tc>
        <w:tc>
          <w:tcPr>
            <w:tcW w:w="120" w:type="dxa"/>
            <w:vAlign w:val="bottom"/>
            <w:tcBorders>
              <w:bottom w:val="single" w:sz="8" w:color="B7E5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39,519</w:t>
            </w:r>
          </w:p>
        </w:tc>
      </w:tr>
      <w:tr>
        <w:trPr>
          <w:trHeight w:val="140"/>
        </w:trPr>
        <w:tc>
          <w:tcPr>
            <w:tcW w:w="20" w:type="dxa"/>
            <w:vAlign w:val="bottom"/>
            <w:tcBorders>
              <w:bottom w:val="single" w:sz="8" w:color="B7E5FF"/>
            </w:tcBorders>
            <w:shd w:val="clear" w:color="auto" w:fill="B7E5FF"/>
          </w:tcPr>
          <w:p>
            <w:pPr>
              <w:spacing w:after="0"/>
              <w:rPr>
                <w:sz w:val="12"/>
                <w:szCs w:val="12"/>
                <w:color w:val="auto"/>
              </w:rPr>
            </w:pPr>
          </w:p>
        </w:tc>
        <w:tc>
          <w:tcPr>
            <w:tcW w:w="1060" w:type="dxa"/>
            <w:vAlign w:val="bottom"/>
            <w:tcBorders>
              <w:bottom w:val="single" w:sz="8" w:color="B7E5FF"/>
            </w:tcBorders>
            <w:shd w:val="clear" w:color="auto" w:fill="B7E5FF"/>
          </w:tcPr>
          <w:p>
            <w:pPr>
              <w:spacing w:after="0"/>
              <w:rPr>
                <w:sz w:val="12"/>
                <w:szCs w:val="12"/>
                <w:color w:val="auto"/>
              </w:rPr>
            </w:pPr>
          </w:p>
        </w:tc>
        <w:tc>
          <w:tcPr>
            <w:tcW w:w="520" w:type="dxa"/>
            <w:vAlign w:val="bottom"/>
            <w:tcBorders>
              <w:bottom w:val="single" w:sz="8" w:color="B7E5FF"/>
            </w:tcBorders>
            <w:shd w:val="clear" w:color="auto" w:fill="B7E5FF"/>
          </w:tcPr>
          <w:p>
            <w:pPr>
              <w:spacing w:after="0"/>
              <w:rPr>
                <w:sz w:val="12"/>
                <w:szCs w:val="12"/>
                <w:color w:val="auto"/>
              </w:rPr>
            </w:pPr>
          </w:p>
        </w:tc>
        <w:tc>
          <w:tcPr>
            <w:tcW w:w="2760" w:type="dxa"/>
            <w:vAlign w:val="bottom"/>
            <w:tcBorders>
              <w:bottom w:val="single" w:sz="8" w:color="B7E5FF"/>
            </w:tcBorders>
            <w:shd w:val="clear" w:color="auto" w:fill="B7E5FF"/>
          </w:tcPr>
          <w:p>
            <w:pPr>
              <w:spacing w:after="0"/>
              <w:rPr>
                <w:sz w:val="12"/>
                <w:szCs w:val="12"/>
                <w:color w:val="auto"/>
              </w:rPr>
            </w:pPr>
          </w:p>
        </w:tc>
        <w:tc>
          <w:tcPr>
            <w:tcW w:w="280" w:type="dxa"/>
            <w:vAlign w:val="bottom"/>
            <w:tcBorders>
              <w:bottom w:val="single" w:sz="8" w:color="auto"/>
            </w:tcBorders>
            <w:shd w:val="clear" w:color="auto" w:fill="B7E5FF"/>
          </w:tcPr>
          <w:p>
            <w:pPr>
              <w:jc w:val="right"/>
              <w:ind w:right="120"/>
              <w:spacing w:after="0" w:line="133" w:lineRule="exact"/>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189,636</w:t>
            </w:r>
          </w:p>
        </w:tc>
        <w:tc>
          <w:tcPr>
            <w:tcW w:w="40" w:type="dxa"/>
            <w:vAlign w:val="bottom"/>
            <w:tcBorders>
              <w:bottom w:val="single" w:sz="8" w:color="auto"/>
            </w:tcBorders>
            <w:shd w:val="clear" w:color="auto" w:fill="B7E5FF"/>
          </w:tcPr>
          <w:p>
            <w:pPr>
              <w:spacing w:after="0"/>
              <w:rPr>
                <w:sz w:val="12"/>
                <w:szCs w:val="12"/>
                <w:color w:val="auto"/>
              </w:rPr>
            </w:pPr>
          </w:p>
        </w:tc>
        <w:tc>
          <w:tcPr>
            <w:tcW w:w="120" w:type="dxa"/>
            <w:vAlign w:val="bottom"/>
            <w:tcBorders>
              <w:bottom w:val="single" w:sz="8" w:color="B7E5FF"/>
            </w:tcBorders>
            <w:shd w:val="clear" w:color="auto" w:fill="B7E5FF"/>
          </w:tcPr>
          <w:p>
            <w:pPr>
              <w:spacing w:after="0"/>
              <w:rPr>
                <w:sz w:val="12"/>
                <w:szCs w:val="12"/>
                <w:color w:val="auto"/>
              </w:rPr>
            </w:pPr>
          </w:p>
        </w:tc>
        <w:tc>
          <w:tcPr>
            <w:tcW w:w="280" w:type="dxa"/>
            <w:vAlign w:val="bottom"/>
            <w:tcBorders>
              <w:bottom w:val="single" w:sz="8" w:color="auto"/>
            </w:tcBorders>
            <w:shd w:val="clear" w:color="auto" w:fill="B7E5FF"/>
          </w:tcPr>
          <w:p>
            <w:pPr>
              <w:jc w:val="right"/>
              <w:ind w:right="140"/>
              <w:spacing w:after="0" w:line="133" w:lineRule="exact"/>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109,438</w:t>
            </w:r>
          </w:p>
        </w:tc>
        <w:tc>
          <w:tcPr>
            <w:tcW w:w="40" w:type="dxa"/>
            <w:vAlign w:val="bottom"/>
            <w:tcBorders>
              <w:bottom w:val="single" w:sz="8" w:color="auto"/>
            </w:tcBorders>
            <w:shd w:val="clear" w:color="auto" w:fill="B7E5FF"/>
          </w:tcPr>
          <w:p>
            <w:pPr>
              <w:spacing w:after="0"/>
              <w:rPr>
                <w:sz w:val="12"/>
                <w:szCs w:val="12"/>
                <w:color w:val="auto"/>
              </w:rPr>
            </w:pPr>
          </w:p>
        </w:tc>
        <w:tc>
          <w:tcPr>
            <w:tcW w:w="100" w:type="dxa"/>
            <w:vAlign w:val="bottom"/>
            <w:tcBorders>
              <w:bottom w:val="single" w:sz="8" w:color="B7E5FF"/>
            </w:tcBorders>
            <w:shd w:val="clear" w:color="auto" w:fill="B7E5FF"/>
          </w:tcPr>
          <w:p>
            <w:pPr>
              <w:spacing w:after="0"/>
              <w:rPr>
                <w:sz w:val="12"/>
                <w:szCs w:val="12"/>
                <w:color w:val="auto"/>
              </w:rPr>
            </w:pPr>
          </w:p>
        </w:tc>
        <w:tc>
          <w:tcPr>
            <w:tcW w:w="220" w:type="dxa"/>
            <w:vAlign w:val="bottom"/>
            <w:tcBorders>
              <w:bottom w:val="single" w:sz="8" w:color="auto"/>
            </w:tcBorders>
            <w:shd w:val="clear" w:color="auto" w:fill="B7E5FF"/>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100,354</w:t>
            </w:r>
          </w:p>
        </w:tc>
        <w:tc>
          <w:tcPr>
            <w:tcW w:w="100" w:type="dxa"/>
            <w:vAlign w:val="bottom"/>
            <w:tcBorders>
              <w:bottom w:val="single" w:sz="8" w:color="B7E5FF"/>
            </w:tcBorders>
            <w:shd w:val="clear" w:color="auto" w:fill="B7E5FF"/>
          </w:tcPr>
          <w:p>
            <w:pPr>
              <w:spacing w:after="0"/>
              <w:rPr>
                <w:sz w:val="12"/>
                <w:szCs w:val="12"/>
                <w:color w:val="auto"/>
              </w:rPr>
            </w:pPr>
          </w:p>
        </w:tc>
        <w:tc>
          <w:tcPr>
            <w:tcW w:w="920" w:type="dxa"/>
            <w:vAlign w:val="bottom"/>
            <w:tcBorders>
              <w:bottom w:val="single" w:sz="8" w:color="auto"/>
            </w:tcBorders>
            <w:shd w:val="clear" w:color="auto" w:fill="B7E5FF"/>
          </w:tcPr>
          <w:p>
            <w:pPr>
              <w:jc w:val="right"/>
              <w:ind w:right="780"/>
              <w:spacing w:after="0" w:line="133" w:lineRule="exact"/>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w w:val="92"/>
              </w:rPr>
              <w:t>17,651</w:t>
            </w:r>
          </w:p>
        </w:tc>
        <w:tc>
          <w:tcPr>
            <w:tcW w:w="120" w:type="dxa"/>
            <w:vAlign w:val="bottom"/>
            <w:tcBorders>
              <w:bottom w:val="single" w:sz="8" w:color="B7E5FF"/>
            </w:tcBorders>
            <w:shd w:val="clear" w:color="auto" w:fill="B7E5FF"/>
          </w:tcPr>
          <w:p>
            <w:pPr>
              <w:spacing w:after="0"/>
              <w:rPr>
                <w:sz w:val="12"/>
                <w:szCs w:val="12"/>
                <w:color w:val="auto"/>
              </w:rPr>
            </w:pPr>
          </w:p>
        </w:tc>
        <w:tc>
          <w:tcPr>
            <w:tcW w:w="220" w:type="dxa"/>
            <w:vAlign w:val="bottom"/>
            <w:tcBorders>
              <w:bottom w:val="single" w:sz="8" w:color="auto"/>
            </w:tcBorders>
            <w:shd w:val="clear" w:color="auto" w:fill="B7E5FF"/>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417,079</w:t>
            </w:r>
          </w:p>
        </w:tc>
      </w:tr>
      <w:tr>
        <w:trPr>
          <w:trHeight w:val="144"/>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33"/>
        </w:trPr>
        <w:tc>
          <w:tcPr>
            <w:tcW w:w="20" w:type="dxa"/>
            <w:vAlign w:val="bottom"/>
            <w:shd w:val="clear" w:color="auto" w:fill="B7E5FF"/>
          </w:tcPr>
          <w:p>
            <w:pPr>
              <w:spacing w:after="0"/>
              <w:rPr>
                <w:sz w:val="11"/>
                <w:szCs w:val="11"/>
                <w:color w:val="auto"/>
              </w:rPr>
            </w:pPr>
          </w:p>
        </w:tc>
        <w:tc>
          <w:tcPr>
            <w:tcW w:w="4340" w:type="dxa"/>
            <w:vAlign w:val="bottom"/>
            <w:gridSpan w:val="3"/>
            <w:shd w:val="clear" w:color="auto" w:fill="B7E5FF"/>
          </w:tcPr>
          <w:p>
            <w:pPr>
              <w:spacing w:after="0" w:line="117" w:lineRule="exact"/>
              <w:rPr>
                <w:sz w:val="20"/>
                <w:szCs w:val="20"/>
                <w:color w:val="auto"/>
              </w:rPr>
            </w:pPr>
            <w:r>
              <w:rPr>
                <w:rFonts w:ascii="Arial" w:cs="Arial" w:eastAsia="Arial" w:hAnsi="Arial"/>
                <w:sz w:val="12"/>
                <w:szCs w:val="12"/>
                <w:b w:val="1"/>
                <w:bCs w:val="1"/>
                <w:color w:val="auto"/>
              </w:rPr>
              <w:t>Timing of Revenue Recognized</w:t>
            </w:r>
          </w:p>
        </w:tc>
        <w:tc>
          <w:tcPr>
            <w:tcW w:w="280" w:type="dxa"/>
            <w:vAlign w:val="bottom"/>
            <w:shd w:val="clear" w:color="auto" w:fill="B7E5FF"/>
          </w:tcPr>
          <w:p>
            <w:pPr>
              <w:spacing w:after="0"/>
              <w:rPr>
                <w:sz w:val="11"/>
                <w:szCs w:val="11"/>
                <w:color w:val="auto"/>
              </w:rPr>
            </w:pPr>
          </w:p>
        </w:tc>
        <w:tc>
          <w:tcPr>
            <w:tcW w:w="1000" w:type="dxa"/>
            <w:vAlign w:val="bottom"/>
            <w:shd w:val="clear" w:color="auto" w:fill="B7E5FF"/>
          </w:tcPr>
          <w:p>
            <w:pPr>
              <w:spacing w:after="0"/>
              <w:rPr>
                <w:sz w:val="11"/>
                <w:szCs w:val="11"/>
                <w:color w:val="auto"/>
              </w:rPr>
            </w:pPr>
          </w:p>
        </w:tc>
        <w:tc>
          <w:tcPr>
            <w:tcW w:w="40" w:type="dxa"/>
            <w:vAlign w:val="bottom"/>
            <w:shd w:val="clear" w:color="auto" w:fill="B7E5FF"/>
          </w:tcPr>
          <w:p>
            <w:pPr>
              <w:spacing w:after="0"/>
              <w:rPr>
                <w:sz w:val="11"/>
                <w:szCs w:val="11"/>
                <w:color w:val="auto"/>
              </w:rPr>
            </w:pPr>
          </w:p>
        </w:tc>
        <w:tc>
          <w:tcPr>
            <w:tcW w:w="120" w:type="dxa"/>
            <w:vAlign w:val="bottom"/>
            <w:shd w:val="clear" w:color="auto" w:fill="B7E5FF"/>
          </w:tcPr>
          <w:p>
            <w:pPr>
              <w:spacing w:after="0"/>
              <w:rPr>
                <w:sz w:val="11"/>
                <w:szCs w:val="11"/>
                <w:color w:val="auto"/>
              </w:rPr>
            </w:pPr>
          </w:p>
        </w:tc>
        <w:tc>
          <w:tcPr>
            <w:tcW w:w="280" w:type="dxa"/>
            <w:vAlign w:val="bottom"/>
            <w:shd w:val="clear" w:color="auto" w:fill="B7E5FF"/>
          </w:tcPr>
          <w:p>
            <w:pPr>
              <w:spacing w:after="0"/>
              <w:rPr>
                <w:sz w:val="11"/>
                <w:szCs w:val="11"/>
                <w:color w:val="auto"/>
              </w:rPr>
            </w:pPr>
          </w:p>
        </w:tc>
        <w:tc>
          <w:tcPr>
            <w:tcW w:w="1000" w:type="dxa"/>
            <w:vAlign w:val="bottom"/>
            <w:shd w:val="clear" w:color="auto" w:fill="B7E5FF"/>
          </w:tcPr>
          <w:p>
            <w:pPr>
              <w:spacing w:after="0"/>
              <w:rPr>
                <w:sz w:val="11"/>
                <w:szCs w:val="11"/>
                <w:color w:val="auto"/>
              </w:rPr>
            </w:pPr>
          </w:p>
        </w:tc>
        <w:tc>
          <w:tcPr>
            <w:tcW w:w="40" w:type="dxa"/>
            <w:vAlign w:val="bottom"/>
            <w:shd w:val="clear" w:color="auto" w:fill="B7E5FF"/>
          </w:tcPr>
          <w:p>
            <w:pPr>
              <w:spacing w:after="0"/>
              <w:rPr>
                <w:sz w:val="11"/>
                <w:szCs w:val="11"/>
                <w:color w:val="auto"/>
              </w:rPr>
            </w:pPr>
          </w:p>
        </w:tc>
        <w:tc>
          <w:tcPr>
            <w:tcW w:w="100" w:type="dxa"/>
            <w:vAlign w:val="bottom"/>
            <w:shd w:val="clear" w:color="auto" w:fill="B7E5FF"/>
          </w:tcPr>
          <w:p>
            <w:pPr>
              <w:spacing w:after="0"/>
              <w:rPr>
                <w:sz w:val="11"/>
                <w:szCs w:val="11"/>
                <w:color w:val="auto"/>
              </w:rPr>
            </w:pPr>
          </w:p>
        </w:tc>
        <w:tc>
          <w:tcPr>
            <w:tcW w:w="220" w:type="dxa"/>
            <w:vAlign w:val="bottom"/>
            <w:shd w:val="clear" w:color="auto" w:fill="B7E5FF"/>
          </w:tcPr>
          <w:p>
            <w:pPr>
              <w:spacing w:after="0"/>
              <w:rPr>
                <w:sz w:val="11"/>
                <w:szCs w:val="11"/>
                <w:color w:val="auto"/>
              </w:rPr>
            </w:pPr>
          </w:p>
        </w:tc>
        <w:tc>
          <w:tcPr>
            <w:tcW w:w="1120" w:type="dxa"/>
            <w:vAlign w:val="bottom"/>
            <w:shd w:val="clear" w:color="auto" w:fill="B7E5FF"/>
          </w:tcPr>
          <w:p>
            <w:pPr>
              <w:spacing w:after="0"/>
              <w:rPr>
                <w:sz w:val="11"/>
                <w:szCs w:val="11"/>
                <w:color w:val="auto"/>
              </w:rPr>
            </w:pPr>
          </w:p>
        </w:tc>
        <w:tc>
          <w:tcPr>
            <w:tcW w:w="100" w:type="dxa"/>
            <w:vAlign w:val="bottom"/>
            <w:shd w:val="clear" w:color="auto" w:fill="B7E5FF"/>
          </w:tcPr>
          <w:p>
            <w:pPr>
              <w:spacing w:after="0"/>
              <w:rPr>
                <w:sz w:val="11"/>
                <w:szCs w:val="11"/>
                <w:color w:val="auto"/>
              </w:rPr>
            </w:pPr>
          </w:p>
        </w:tc>
        <w:tc>
          <w:tcPr>
            <w:tcW w:w="920" w:type="dxa"/>
            <w:vAlign w:val="bottom"/>
            <w:shd w:val="clear" w:color="auto" w:fill="B7E5FF"/>
          </w:tcPr>
          <w:p>
            <w:pPr>
              <w:spacing w:after="0"/>
              <w:rPr>
                <w:sz w:val="11"/>
                <w:szCs w:val="11"/>
                <w:color w:val="auto"/>
              </w:rPr>
            </w:pPr>
          </w:p>
        </w:tc>
        <w:tc>
          <w:tcPr>
            <w:tcW w:w="420" w:type="dxa"/>
            <w:vAlign w:val="bottom"/>
            <w:shd w:val="clear" w:color="auto" w:fill="B7E5FF"/>
          </w:tcPr>
          <w:p>
            <w:pPr>
              <w:spacing w:after="0"/>
              <w:rPr>
                <w:sz w:val="11"/>
                <w:szCs w:val="11"/>
                <w:color w:val="auto"/>
              </w:rPr>
            </w:pPr>
          </w:p>
        </w:tc>
        <w:tc>
          <w:tcPr>
            <w:tcW w:w="120" w:type="dxa"/>
            <w:vAlign w:val="bottom"/>
            <w:shd w:val="clear" w:color="auto" w:fill="B7E5FF"/>
          </w:tcPr>
          <w:p>
            <w:pPr>
              <w:spacing w:after="0"/>
              <w:rPr>
                <w:sz w:val="11"/>
                <w:szCs w:val="11"/>
                <w:color w:val="auto"/>
              </w:rPr>
            </w:pPr>
          </w:p>
        </w:tc>
        <w:tc>
          <w:tcPr>
            <w:tcW w:w="220" w:type="dxa"/>
            <w:vAlign w:val="bottom"/>
            <w:shd w:val="clear" w:color="auto" w:fill="B7E5FF"/>
          </w:tcPr>
          <w:p>
            <w:pPr>
              <w:spacing w:after="0"/>
              <w:rPr>
                <w:sz w:val="11"/>
                <w:szCs w:val="11"/>
                <w:color w:val="auto"/>
              </w:rPr>
            </w:pPr>
          </w:p>
        </w:tc>
        <w:tc>
          <w:tcPr>
            <w:tcW w:w="1140" w:type="dxa"/>
            <w:vAlign w:val="bottom"/>
            <w:shd w:val="clear" w:color="auto" w:fill="B7E5FF"/>
          </w:tcPr>
          <w:p>
            <w:pPr>
              <w:spacing w:after="0"/>
              <w:rPr>
                <w:sz w:val="11"/>
                <w:szCs w:val="11"/>
                <w:color w:val="auto"/>
              </w:rPr>
            </w:pPr>
          </w:p>
        </w:tc>
      </w:tr>
      <w:tr>
        <w:trPr>
          <w:trHeight w:val="153"/>
        </w:trPr>
        <w:tc>
          <w:tcPr>
            <w:tcW w:w="20" w:type="dxa"/>
            <w:vAlign w:val="bottom"/>
            <w:tcBorders>
              <w:top w:val="single" w:sz="8" w:color="B7E5FF"/>
            </w:tcBorders>
          </w:tcPr>
          <w:p>
            <w:pPr>
              <w:spacing w:after="0"/>
              <w:rPr>
                <w:sz w:val="13"/>
                <w:szCs w:val="13"/>
                <w:color w:val="auto"/>
              </w:rPr>
            </w:pPr>
          </w:p>
        </w:tc>
        <w:tc>
          <w:tcPr>
            <w:tcW w:w="1580" w:type="dxa"/>
            <w:vAlign w:val="bottom"/>
            <w:tcBorders>
              <w:top w:val="single" w:sz="8" w:color="auto"/>
            </w:tcBorders>
            <w:gridSpan w:val="2"/>
          </w:tcPr>
          <w:p>
            <w:pPr>
              <w:spacing w:after="0"/>
              <w:rPr>
                <w:sz w:val="20"/>
                <w:szCs w:val="20"/>
                <w:color w:val="auto"/>
              </w:rPr>
            </w:pPr>
            <w:r>
              <w:rPr>
                <w:rFonts w:ascii="Arial" w:cs="Arial" w:eastAsia="Arial" w:hAnsi="Arial"/>
                <w:sz w:val="12"/>
                <w:szCs w:val="12"/>
                <w:color w:val="auto"/>
                <w:w w:val="95"/>
              </w:rPr>
              <w:t>Product sales at a point in time</w:t>
            </w:r>
          </w:p>
        </w:tc>
        <w:tc>
          <w:tcPr>
            <w:tcW w:w="2760" w:type="dxa"/>
            <w:vAlign w:val="bottom"/>
            <w:tcBorders>
              <w:top w:val="single" w:sz="8" w:color="B7E5FF"/>
            </w:tcBorders>
          </w:tcPr>
          <w:p>
            <w:pPr>
              <w:spacing w:after="0"/>
              <w:rPr>
                <w:sz w:val="13"/>
                <w:szCs w:val="13"/>
                <w:color w:val="auto"/>
              </w:rPr>
            </w:pPr>
          </w:p>
        </w:tc>
        <w:tc>
          <w:tcPr>
            <w:tcW w:w="280" w:type="dxa"/>
            <w:vAlign w:val="bottom"/>
            <w:tcBorders>
              <w:top w:val="single" w:sz="8" w:color="B7E5FF"/>
            </w:tcBorders>
          </w:tcPr>
          <w:p>
            <w:pPr>
              <w:jc w:val="right"/>
              <w:ind w:right="120"/>
              <w:spacing w:after="0"/>
              <w:rPr>
                <w:sz w:val="20"/>
                <w:szCs w:val="20"/>
                <w:color w:val="auto"/>
              </w:rPr>
            </w:pPr>
            <w:r>
              <w:rPr>
                <w:rFonts w:ascii="Arial" w:cs="Arial" w:eastAsia="Arial" w:hAnsi="Arial"/>
                <w:sz w:val="12"/>
                <w:szCs w:val="12"/>
                <w:color w:val="auto"/>
              </w:rPr>
              <w:t>$</w:t>
            </w:r>
          </w:p>
        </w:tc>
        <w:tc>
          <w:tcPr>
            <w:tcW w:w="1000" w:type="dxa"/>
            <w:vAlign w:val="bottom"/>
            <w:tcBorders>
              <w:top w:val="single" w:sz="8" w:color="B7E5FF"/>
            </w:tcBorders>
          </w:tcPr>
          <w:p>
            <w:pPr>
              <w:jc w:val="right"/>
              <w:spacing w:after="0"/>
              <w:rPr>
                <w:sz w:val="20"/>
                <w:szCs w:val="20"/>
                <w:color w:val="auto"/>
              </w:rPr>
            </w:pPr>
            <w:r>
              <w:rPr>
                <w:rFonts w:ascii="Arial" w:cs="Arial" w:eastAsia="Arial" w:hAnsi="Arial"/>
                <w:sz w:val="12"/>
                <w:szCs w:val="12"/>
                <w:color w:val="auto"/>
              </w:rPr>
              <w:t>184,095</w:t>
            </w:r>
          </w:p>
        </w:tc>
        <w:tc>
          <w:tcPr>
            <w:tcW w:w="440" w:type="dxa"/>
            <w:vAlign w:val="bottom"/>
            <w:tcBorders>
              <w:top w:val="single" w:sz="8" w:color="B7E5FF"/>
            </w:tcBorders>
            <w:gridSpan w:val="3"/>
          </w:tcPr>
          <w:p>
            <w:pPr>
              <w:jc w:val="right"/>
              <w:ind w:right="140"/>
              <w:spacing w:after="0"/>
              <w:rPr>
                <w:sz w:val="20"/>
                <w:szCs w:val="20"/>
                <w:color w:val="auto"/>
              </w:rPr>
            </w:pPr>
            <w:r>
              <w:rPr>
                <w:rFonts w:ascii="Arial" w:cs="Arial" w:eastAsia="Arial" w:hAnsi="Arial"/>
                <w:sz w:val="12"/>
                <w:szCs w:val="12"/>
                <w:color w:val="auto"/>
              </w:rPr>
              <w:t>$</w:t>
            </w:r>
          </w:p>
        </w:tc>
        <w:tc>
          <w:tcPr>
            <w:tcW w:w="1000" w:type="dxa"/>
            <w:vAlign w:val="bottom"/>
            <w:tcBorders>
              <w:top w:val="single" w:sz="8" w:color="B7E5FF"/>
            </w:tcBorders>
          </w:tcPr>
          <w:p>
            <w:pPr>
              <w:jc w:val="right"/>
              <w:spacing w:after="0"/>
              <w:rPr>
                <w:sz w:val="20"/>
                <w:szCs w:val="20"/>
                <w:color w:val="auto"/>
              </w:rPr>
            </w:pPr>
            <w:r>
              <w:rPr>
                <w:rFonts w:ascii="Arial" w:cs="Arial" w:eastAsia="Arial" w:hAnsi="Arial"/>
                <w:sz w:val="12"/>
                <w:szCs w:val="12"/>
                <w:color w:val="auto"/>
              </w:rPr>
              <w:t>109,332</w:t>
            </w:r>
          </w:p>
        </w:tc>
        <w:tc>
          <w:tcPr>
            <w:tcW w:w="360" w:type="dxa"/>
            <w:vAlign w:val="bottom"/>
            <w:tcBorders>
              <w:top w:val="single" w:sz="8" w:color="B7E5FF"/>
            </w:tcBorders>
            <w:gridSpan w:val="3"/>
          </w:tcPr>
          <w:p>
            <w:pPr>
              <w:jc w:val="right"/>
              <w:ind w:right="80"/>
              <w:spacing w:after="0"/>
              <w:rPr>
                <w:sz w:val="20"/>
                <w:szCs w:val="20"/>
                <w:color w:val="auto"/>
              </w:rPr>
            </w:pPr>
            <w:r>
              <w:rPr>
                <w:rFonts w:ascii="Arial" w:cs="Arial" w:eastAsia="Arial" w:hAnsi="Arial"/>
                <w:sz w:val="12"/>
                <w:szCs w:val="12"/>
                <w:color w:val="auto"/>
              </w:rPr>
              <w:t>$</w:t>
            </w:r>
          </w:p>
        </w:tc>
        <w:tc>
          <w:tcPr>
            <w:tcW w:w="1120" w:type="dxa"/>
            <w:vAlign w:val="bottom"/>
            <w:tcBorders>
              <w:top w:val="single" w:sz="8" w:color="B7E5FF"/>
            </w:tcBorders>
          </w:tcPr>
          <w:p>
            <w:pPr>
              <w:jc w:val="right"/>
              <w:spacing w:after="0"/>
              <w:rPr>
                <w:sz w:val="20"/>
                <w:szCs w:val="20"/>
                <w:color w:val="auto"/>
              </w:rPr>
            </w:pPr>
            <w:r>
              <w:rPr>
                <w:rFonts w:ascii="Arial" w:cs="Arial" w:eastAsia="Arial" w:hAnsi="Arial"/>
                <w:sz w:val="12"/>
                <w:szCs w:val="12"/>
                <w:color w:val="auto"/>
              </w:rPr>
              <w:t>97,057</w:t>
            </w:r>
          </w:p>
        </w:tc>
        <w:tc>
          <w:tcPr>
            <w:tcW w:w="100" w:type="dxa"/>
            <w:vAlign w:val="bottom"/>
            <w:tcBorders>
              <w:top w:val="single" w:sz="8" w:color="B7E5FF"/>
            </w:tcBorders>
          </w:tcPr>
          <w:p>
            <w:pPr>
              <w:spacing w:after="0"/>
              <w:rPr>
                <w:sz w:val="13"/>
                <w:szCs w:val="13"/>
                <w:color w:val="auto"/>
              </w:rPr>
            </w:pPr>
          </w:p>
        </w:tc>
        <w:tc>
          <w:tcPr>
            <w:tcW w:w="920" w:type="dxa"/>
            <w:vAlign w:val="bottom"/>
            <w:tcBorders>
              <w:top w:val="single" w:sz="8" w:color="B7E5FF"/>
            </w:tcBorders>
          </w:tcPr>
          <w:p>
            <w:pPr>
              <w:jc w:val="right"/>
              <w:ind w:right="780"/>
              <w:spacing w:after="0"/>
              <w:rPr>
                <w:sz w:val="20"/>
                <w:szCs w:val="20"/>
                <w:color w:val="auto"/>
              </w:rPr>
            </w:pPr>
            <w:r>
              <w:rPr>
                <w:rFonts w:ascii="Arial" w:cs="Arial" w:eastAsia="Arial" w:hAnsi="Arial"/>
                <w:sz w:val="12"/>
                <w:szCs w:val="12"/>
                <w:color w:val="auto"/>
                <w:w w:val="89"/>
              </w:rPr>
              <w:t>$</w:t>
            </w:r>
          </w:p>
        </w:tc>
        <w:tc>
          <w:tcPr>
            <w:tcW w:w="420" w:type="dxa"/>
            <w:vAlign w:val="bottom"/>
            <w:tcBorders>
              <w:top w:val="single" w:sz="8" w:color="B7E5FF"/>
            </w:tcBorders>
          </w:tcPr>
          <w:p>
            <w:pPr>
              <w:jc w:val="right"/>
              <w:spacing w:after="0"/>
              <w:rPr>
                <w:sz w:val="20"/>
                <w:szCs w:val="20"/>
                <w:color w:val="auto"/>
              </w:rPr>
            </w:pPr>
            <w:r>
              <w:rPr>
                <w:rFonts w:ascii="Arial" w:cs="Arial" w:eastAsia="Arial" w:hAnsi="Arial"/>
                <w:sz w:val="12"/>
                <w:szCs w:val="12"/>
                <w:color w:val="auto"/>
                <w:w w:val="92"/>
              </w:rPr>
              <w:t>17,505</w:t>
            </w:r>
          </w:p>
        </w:tc>
        <w:tc>
          <w:tcPr>
            <w:tcW w:w="120" w:type="dxa"/>
            <w:vAlign w:val="bottom"/>
            <w:tcBorders>
              <w:top w:val="single" w:sz="8" w:color="B7E5FF"/>
            </w:tcBorders>
          </w:tcPr>
          <w:p>
            <w:pPr>
              <w:spacing w:after="0"/>
              <w:rPr>
                <w:sz w:val="13"/>
                <w:szCs w:val="13"/>
                <w:color w:val="auto"/>
              </w:rPr>
            </w:pPr>
          </w:p>
        </w:tc>
        <w:tc>
          <w:tcPr>
            <w:tcW w:w="220" w:type="dxa"/>
            <w:vAlign w:val="bottom"/>
            <w:tcBorders>
              <w:top w:val="single" w:sz="8" w:color="B7E5FF"/>
            </w:tcBorders>
          </w:tcPr>
          <w:p>
            <w:pPr>
              <w:jc w:val="right"/>
              <w:ind w:right="80"/>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B7E5FF"/>
            </w:tcBorders>
          </w:tcPr>
          <w:p>
            <w:pPr>
              <w:jc w:val="right"/>
              <w:spacing w:after="0"/>
              <w:rPr>
                <w:sz w:val="20"/>
                <w:szCs w:val="20"/>
                <w:color w:val="auto"/>
              </w:rPr>
            </w:pPr>
            <w:r>
              <w:rPr>
                <w:rFonts w:ascii="Arial" w:cs="Arial" w:eastAsia="Arial" w:hAnsi="Arial"/>
                <w:sz w:val="12"/>
                <w:szCs w:val="12"/>
                <w:color w:val="auto"/>
              </w:rPr>
              <w:t>407,989</w:t>
            </w:r>
          </w:p>
        </w:tc>
      </w:tr>
      <w:tr>
        <w:trPr>
          <w:trHeight w:val="153"/>
        </w:trPr>
        <w:tc>
          <w:tcPr>
            <w:tcW w:w="20" w:type="dxa"/>
            <w:vAlign w:val="bottom"/>
            <w:shd w:val="clear" w:color="auto" w:fill="B7E5FF"/>
          </w:tcPr>
          <w:p>
            <w:pPr>
              <w:spacing w:after="0"/>
              <w:rPr>
                <w:sz w:val="13"/>
                <w:szCs w:val="13"/>
                <w:color w:val="auto"/>
              </w:rPr>
            </w:pPr>
          </w:p>
        </w:tc>
        <w:tc>
          <w:tcPr>
            <w:tcW w:w="4340" w:type="dxa"/>
            <w:vAlign w:val="bottom"/>
            <w:gridSpan w:val="3"/>
            <w:shd w:val="clear" w:color="auto" w:fill="B7E5FF"/>
          </w:tcPr>
          <w:p>
            <w:pPr>
              <w:spacing w:after="0"/>
              <w:rPr>
                <w:sz w:val="20"/>
                <w:szCs w:val="20"/>
                <w:color w:val="auto"/>
              </w:rPr>
            </w:pPr>
            <w:r>
              <w:rPr>
                <w:rFonts w:ascii="Arial" w:cs="Arial" w:eastAsia="Arial" w:hAnsi="Arial"/>
                <w:sz w:val="12"/>
                <w:szCs w:val="12"/>
                <w:color w:val="auto"/>
              </w:rPr>
              <w:t>Services transferred over time</w:t>
            </w:r>
          </w:p>
        </w:tc>
        <w:tc>
          <w:tcPr>
            <w:tcW w:w="280" w:type="dxa"/>
            <w:vAlign w:val="bottom"/>
            <w:tcBorders>
              <w:bottom w:val="single" w:sz="8" w:color="auto"/>
            </w:tcBorders>
            <w:shd w:val="clear" w:color="auto" w:fill="B7E5FF"/>
          </w:tcPr>
          <w:p>
            <w:pPr>
              <w:spacing w:after="0"/>
              <w:rPr>
                <w:sz w:val="13"/>
                <w:szCs w:val="13"/>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5,541</w:t>
            </w:r>
          </w:p>
        </w:tc>
        <w:tc>
          <w:tcPr>
            <w:tcW w:w="40" w:type="dxa"/>
            <w:vAlign w:val="bottom"/>
            <w:tcBorders>
              <w:bottom w:val="single" w:sz="8" w:color="auto"/>
            </w:tcBorders>
            <w:shd w:val="clear" w:color="auto" w:fill="B7E5FF"/>
          </w:tcPr>
          <w:p>
            <w:pPr>
              <w:spacing w:after="0"/>
              <w:rPr>
                <w:sz w:val="13"/>
                <w:szCs w:val="13"/>
                <w:color w:val="auto"/>
              </w:rPr>
            </w:pPr>
          </w:p>
        </w:tc>
        <w:tc>
          <w:tcPr>
            <w:tcW w:w="120" w:type="dxa"/>
            <w:vAlign w:val="bottom"/>
            <w:shd w:val="clear" w:color="auto" w:fill="B7E5FF"/>
          </w:tcPr>
          <w:p>
            <w:pPr>
              <w:spacing w:after="0"/>
              <w:rPr>
                <w:sz w:val="13"/>
                <w:szCs w:val="13"/>
                <w:color w:val="auto"/>
              </w:rPr>
            </w:pPr>
          </w:p>
        </w:tc>
        <w:tc>
          <w:tcPr>
            <w:tcW w:w="280" w:type="dxa"/>
            <w:vAlign w:val="bottom"/>
            <w:tcBorders>
              <w:bottom w:val="single" w:sz="8" w:color="auto"/>
            </w:tcBorders>
            <w:shd w:val="clear" w:color="auto" w:fill="B7E5FF"/>
          </w:tcPr>
          <w:p>
            <w:pPr>
              <w:spacing w:after="0"/>
              <w:rPr>
                <w:sz w:val="13"/>
                <w:szCs w:val="13"/>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106</w:t>
            </w:r>
          </w:p>
        </w:tc>
        <w:tc>
          <w:tcPr>
            <w:tcW w:w="40" w:type="dxa"/>
            <w:vAlign w:val="bottom"/>
            <w:tcBorders>
              <w:bottom w:val="single" w:sz="8" w:color="auto"/>
            </w:tcBorders>
            <w:shd w:val="clear" w:color="auto" w:fill="B7E5FF"/>
          </w:tcPr>
          <w:p>
            <w:pPr>
              <w:spacing w:after="0"/>
              <w:rPr>
                <w:sz w:val="13"/>
                <w:szCs w:val="13"/>
                <w:color w:val="auto"/>
              </w:rPr>
            </w:pPr>
          </w:p>
        </w:tc>
        <w:tc>
          <w:tcPr>
            <w:tcW w:w="100" w:type="dxa"/>
            <w:vAlign w:val="bottom"/>
            <w:shd w:val="clear" w:color="auto" w:fill="B7E5FF"/>
          </w:tcPr>
          <w:p>
            <w:pPr>
              <w:spacing w:after="0"/>
              <w:rPr>
                <w:sz w:val="13"/>
                <w:szCs w:val="13"/>
                <w:color w:val="auto"/>
              </w:rPr>
            </w:pPr>
          </w:p>
        </w:tc>
        <w:tc>
          <w:tcPr>
            <w:tcW w:w="220" w:type="dxa"/>
            <w:vAlign w:val="bottom"/>
            <w:tcBorders>
              <w:bottom w:val="single" w:sz="8" w:color="auto"/>
            </w:tcBorders>
            <w:shd w:val="clear" w:color="auto" w:fill="B7E5FF"/>
          </w:tcPr>
          <w:p>
            <w:pPr>
              <w:spacing w:after="0"/>
              <w:rPr>
                <w:sz w:val="13"/>
                <w:szCs w:val="13"/>
                <w:color w:val="auto"/>
              </w:rPr>
            </w:pPr>
          </w:p>
        </w:tc>
        <w:tc>
          <w:tcPr>
            <w:tcW w:w="1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3,297</w:t>
            </w:r>
          </w:p>
        </w:tc>
        <w:tc>
          <w:tcPr>
            <w:tcW w:w="100" w:type="dxa"/>
            <w:vAlign w:val="bottom"/>
            <w:shd w:val="clear" w:color="auto" w:fill="B7E5FF"/>
          </w:tcPr>
          <w:p>
            <w:pPr>
              <w:spacing w:after="0"/>
              <w:rPr>
                <w:sz w:val="13"/>
                <w:szCs w:val="13"/>
                <w:color w:val="auto"/>
              </w:rPr>
            </w:pPr>
          </w:p>
        </w:tc>
        <w:tc>
          <w:tcPr>
            <w:tcW w:w="920" w:type="dxa"/>
            <w:vAlign w:val="bottom"/>
            <w:tcBorders>
              <w:bottom w:val="single" w:sz="8" w:color="auto"/>
            </w:tcBorders>
            <w:shd w:val="clear" w:color="auto" w:fill="B7E5FF"/>
          </w:tcPr>
          <w:p>
            <w:pPr>
              <w:spacing w:after="0"/>
              <w:rPr>
                <w:sz w:val="13"/>
                <w:szCs w:val="13"/>
                <w:color w:val="auto"/>
              </w:rPr>
            </w:pPr>
          </w:p>
        </w:tc>
        <w:tc>
          <w:tcPr>
            <w:tcW w:w="4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146</w:t>
            </w:r>
          </w:p>
        </w:tc>
        <w:tc>
          <w:tcPr>
            <w:tcW w:w="120" w:type="dxa"/>
            <w:vAlign w:val="bottom"/>
            <w:shd w:val="clear" w:color="auto" w:fill="B7E5FF"/>
          </w:tcPr>
          <w:p>
            <w:pPr>
              <w:spacing w:after="0"/>
              <w:rPr>
                <w:sz w:val="13"/>
                <w:szCs w:val="13"/>
                <w:color w:val="auto"/>
              </w:rPr>
            </w:pPr>
          </w:p>
        </w:tc>
        <w:tc>
          <w:tcPr>
            <w:tcW w:w="220" w:type="dxa"/>
            <w:vAlign w:val="bottom"/>
            <w:tcBorders>
              <w:bottom w:val="single" w:sz="8" w:color="auto"/>
            </w:tcBorders>
            <w:shd w:val="clear" w:color="auto" w:fill="B7E5FF"/>
          </w:tcPr>
          <w:p>
            <w:pPr>
              <w:spacing w:after="0"/>
              <w:rPr>
                <w:sz w:val="13"/>
                <w:szCs w:val="13"/>
                <w:color w:val="auto"/>
              </w:rPr>
            </w:pP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9,090</w:t>
            </w:r>
          </w:p>
        </w:tc>
      </w:tr>
      <w:tr>
        <w:trPr>
          <w:trHeight w:val="140"/>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80" w:type="dxa"/>
            <w:vAlign w:val="bottom"/>
            <w:tcBorders>
              <w:bottom w:val="single" w:sz="8" w:color="auto"/>
            </w:tcBorders>
          </w:tcPr>
          <w:p>
            <w:pPr>
              <w:jc w:val="right"/>
              <w:ind w:right="120"/>
              <w:spacing w:after="0" w:line="133" w:lineRule="exact"/>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189,636</w:t>
            </w:r>
          </w:p>
        </w:tc>
        <w:tc>
          <w:tcPr>
            <w:tcW w:w="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bottom w:val="single" w:sz="8" w:color="auto"/>
            </w:tcBorders>
          </w:tcPr>
          <w:p>
            <w:pPr>
              <w:jc w:val="right"/>
              <w:ind w:right="140"/>
              <w:spacing w:after="0" w:line="133" w:lineRule="exact"/>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109,438</w:t>
            </w:r>
          </w:p>
        </w:tc>
        <w:tc>
          <w:tcPr>
            <w:tcW w:w="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100,354</w:t>
            </w:r>
          </w:p>
        </w:tc>
        <w:tc>
          <w:tcPr>
            <w:tcW w:w="100" w:type="dxa"/>
            <w:vAlign w:val="bottom"/>
          </w:tcPr>
          <w:p>
            <w:pPr>
              <w:spacing w:after="0"/>
              <w:rPr>
                <w:sz w:val="12"/>
                <w:szCs w:val="12"/>
                <w:color w:val="auto"/>
              </w:rPr>
            </w:pPr>
          </w:p>
        </w:tc>
        <w:tc>
          <w:tcPr>
            <w:tcW w:w="920" w:type="dxa"/>
            <w:vAlign w:val="bottom"/>
            <w:tcBorders>
              <w:bottom w:val="single" w:sz="8" w:color="auto"/>
            </w:tcBorders>
          </w:tcPr>
          <w:p>
            <w:pPr>
              <w:jc w:val="right"/>
              <w:ind w:right="780"/>
              <w:spacing w:after="0" w:line="133" w:lineRule="exact"/>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92"/>
              </w:rPr>
              <w:t>17,651</w:t>
            </w:r>
          </w:p>
        </w:tc>
        <w:tc>
          <w:tcPr>
            <w:tcW w:w="12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417,079</w:t>
            </w:r>
          </w:p>
        </w:tc>
      </w:tr>
      <w:tr>
        <w:trPr>
          <w:trHeight w:val="293"/>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2"/>
                <w:szCs w:val="12"/>
                <w:b w:val="1"/>
                <w:bCs w:val="1"/>
                <w:color w:val="auto"/>
                <w:w w:val="89"/>
              </w:rPr>
              <w:t>Six Months Ended June 30, 2018</w:t>
            </w: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25"/>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jc w:val="center"/>
              <w:ind w:right="160"/>
              <w:spacing w:after="0" w:line="125" w:lineRule="exact"/>
              <w:rPr>
                <w:sz w:val="20"/>
                <w:szCs w:val="20"/>
                <w:color w:val="auto"/>
              </w:rPr>
            </w:pPr>
            <w:r>
              <w:rPr>
                <w:rFonts w:ascii="Arial" w:cs="Arial" w:eastAsia="Arial" w:hAnsi="Arial"/>
                <w:sz w:val="12"/>
                <w:szCs w:val="12"/>
                <w:b w:val="1"/>
                <w:bCs w:val="1"/>
                <w:color w:val="auto"/>
                <w:w w:val="93"/>
              </w:rPr>
              <w:t>North</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center"/>
              <w:ind w:left="360"/>
              <w:spacing w:after="0" w:line="125" w:lineRule="exact"/>
              <w:rPr>
                <w:sz w:val="20"/>
                <w:szCs w:val="20"/>
                <w:color w:val="auto"/>
              </w:rPr>
            </w:pPr>
            <w:r>
              <w:rPr>
                <w:rFonts w:ascii="Arial" w:cs="Arial" w:eastAsia="Arial" w:hAnsi="Arial"/>
                <w:sz w:val="12"/>
                <w:szCs w:val="12"/>
                <w:b w:val="1"/>
                <w:bCs w:val="1"/>
                <w:color w:val="auto"/>
                <w:w w:val="88"/>
              </w:rPr>
              <w:t>South</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160"/>
              <w:spacing w:after="0" w:line="125" w:lineRule="exact"/>
              <w:rPr>
                <w:sz w:val="20"/>
                <w:szCs w:val="20"/>
                <w:color w:val="auto"/>
              </w:rPr>
            </w:pPr>
            <w:r>
              <w:rPr>
                <w:rFonts w:ascii="Arial" w:cs="Arial" w:eastAsia="Arial" w:hAnsi="Arial"/>
                <w:sz w:val="12"/>
                <w:szCs w:val="12"/>
                <w:b w:val="1"/>
                <w:bCs w:val="1"/>
                <w:color w:val="auto"/>
                <w:w w:val="89"/>
              </w:rPr>
              <w:t>Consolidated</w:t>
            </w:r>
          </w:p>
        </w:tc>
      </w:tr>
      <w:tr>
        <w:trPr>
          <w:trHeight w:val="157"/>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center"/>
              <w:ind w:right="180"/>
              <w:spacing w:after="0"/>
              <w:rPr>
                <w:sz w:val="20"/>
                <w:szCs w:val="20"/>
                <w:color w:val="auto"/>
              </w:rPr>
            </w:pPr>
            <w:r>
              <w:rPr>
                <w:rFonts w:ascii="Arial" w:cs="Arial" w:eastAsia="Arial" w:hAnsi="Arial"/>
                <w:sz w:val="12"/>
                <w:szCs w:val="12"/>
                <w:b w:val="1"/>
                <w:bCs w:val="1"/>
                <w:color w:val="auto"/>
                <w:w w:val="92"/>
              </w:rPr>
              <w:t>America</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ind w:right="380"/>
              <w:spacing w:after="0"/>
              <w:rPr>
                <w:sz w:val="20"/>
                <w:szCs w:val="20"/>
                <w:color w:val="auto"/>
              </w:rPr>
            </w:pPr>
            <w:r>
              <w:rPr>
                <w:rFonts w:ascii="Arial" w:cs="Arial" w:eastAsia="Arial" w:hAnsi="Arial"/>
                <w:sz w:val="12"/>
                <w:szCs w:val="12"/>
                <w:b w:val="1"/>
                <w:bCs w:val="1"/>
                <w:color w:val="auto"/>
              </w:rPr>
              <w:t>EMEA</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ind w:left="140"/>
              <w:spacing w:after="0"/>
              <w:rPr>
                <w:sz w:val="20"/>
                <w:szCs w:val="20"/>
                <w:color w:val="auto"/>
              </w:rPr>
            </w:pPr>
            <w:r>
              <w:rPr>
                <w:rFonts w:ascii="Arial" w:cs="Arial" w:eastAsia="Arial" w:hAnsi="Arial"/>
                <w:sz w:val="12"/>
                <w:szCs w:val="12"/>
                <w:b w:val="1"/>
                <w:bCs w:val="1"/>
                <w:color w:val="auto"/>
              </w:rPr>
              <w:t>Asia/Pacific</w:t>
            </w:r>
          </w:p>
        </w:tc>
        <w:tc>
          <w:tcPr>
            <w:tcW w:w="920" w:type="dxa"/>
            <w:vAlign w:val="bottom"/>
          </w:tcPr>
          <w:p>
            <w:pPr>
              <w:jc w:val="center"/>
              <w:ind w:left="380"/>
              <w:spacing w:after="0"/>
              <w:rPr>
                <w:sz w:val="20"/>
                <w:szCs w:val="20"/>
                <w:color w:val="auto"/>
              </w:rPr>
            </w:pPr>
            <w:r>
              <w:rPr>
                <w:rFonts w:ascii="Arial" w:cs="Arial" w:eastAsia="Arial" w:hAnsi="Arial"/>
                <w:sz w:val="12"/>
                <w:szCs w:val="12"/>
                <w:b w:val="1"/>
                <w:bCs w:val="1"/>
                <w:color w:val="auto"/>
                <w:w w:val="92"/>
              </w:rPr>
              <w:t>America</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center"/>
              <w:ind w:right="160"/>
              <w:spacing w:after="0"/>
              <w:rPr>
                <w:sz w:val="20"/>
                <w:szCs w:val="20"/>
                <w:color w:val="auto"/>
              </w:rPr>
            </w:pPr>
            <w:r>
              <w:rPr>
                <w:rFonts w:ascii="Arial" w:cs="Arial" w:eastAsia="Arial" w:hAnsi="Arial"/>
                <w:sz w:val="12"/>
                <w:szCs w:val="12"/>
                <w:b w:val="1"/>
                <w:bCs w:val="1"/>
                <w:color w:val="auto"/>
                <w:w w:val="97"/>
              </w:rPr>
              <w:t>Total</w:t>
            </w:r>
          </w:p>
        </w:tc>
      </w:tr>
      <w:tr>
        <w:trPr>
          <w:trHeight w:val="133"/>
        </w:trPr>
        <w:tc>
          <w:tcPr>
            <w:tcW w:w="20" w:type="dxa"/>
            <w:vAlign w:val="bottom"/>
            <w:tcBorders>
              <w:top w:val="single" w:sz="8" w:color="B7E5FF"/>
            </w:tcBorders>
            <w:shd w:val="clear" w:color="auto" w:fill="B7E5FF"/>
          </w:tcPr>
          <w:p>
            <w:pPr>
              <w:spacing w:after="0"/>
              <w:rPr>
                <w:sz w:val="11"/>
                <w:szCs w:val="11"/>
                <w:color w:val="auto"/>
              </w:rPr>
            </w:pPr>
          </w:p>
        </w:tc>
        <w:tc>
          <w:tcPr>
            <w:tcW w:w="4340" w:type="dxa"/>
            <w:vAlign w:val="bottom"/>
            <w:tcBorders>
              <w:top w:val="single" w:sz="8" w:color="B7E5FF"/>
            </w:tcBorders>
            <w:gridSpan w:val="3"/>
            <w:shd w:val="clear" w:color="auto" w:fill="B7E5FF"/>
          </w:tcPr>
          <w:p>
            <w:pPr>
              <w:spacing w:after="0" w:line="133" w:lineRule="exact"/>
              <w:rPr>
                <w:sz w:val="20"/>
                <w:szCs w:val="20"/>
                <w:color w:val="auto"/>
              </w:rPr>
            </w:pPr>
            <w:r>
              <w:rPr>
                <w:rFonts w:ascii="Arial" w:cs="Arial" w:eastAsia="Arial" w:hAnsi="Arial"/>
                <w:sz w:val="12"/>
                <w:szCs w:val="12"/>
                <w:color w:val="auto"/>
              </w:rPr>
              <w:t>Net sales</w:t>
            </w:r>
          </w:p>
        </w:tc>
        <w:tc>
          <w:tcPr>
            <w:tcW w:w="280" w:type="dxa"/>
            <w:vAlign w:val="bottom"/>
            <w:tcBorders>
              <w:top w:val="single" w:sz="8" w:color="auto"/>
            </w:tcBorders>
            <w:shd w:val="clear" w:color="auto" w:fill="B7E5FF"/>
          </w:tcPr>
          <w:p>
            <w:pPr>
              <w:jc w:val="right"/>
              <w:ind w:right="120"/>
              <w:spacing w:after="0" w:line="133" w:lineRule="exact"/>
              <w:rPr>
                <w:sz w:val="20"/>
                <w:szCs w:val="20"/>
                <w:color w:val="auto"/>
              </w:rPr>
            </w:pPr>
            <w:r>
              <w:rPr>
                <w:rFonts w:ascii="Arial" w:cs="Arial" w:eastAsia="Arial" w:hAnsi="Arial"/>
                <w:sz w:val="12"/>
                <w:szCs w:val="12"/>
                <w:color w:val="auto"/>
              </w:rPr>
              <w:t>$</w:t>
            </w:r>
          </w:p>
        </w:tc>
        <w:tc>
          <w:tcPr>
            <w:tcW w:w="100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189,212</w:t>
            </w:r>
          </w:p>
        </w:tc>
        <w:tc>
          <w:tcPr>
            <w:tcW w:w="40" w:type="dxa"/>
            <w:vAlign w:val="bottom"/>
            <w:tcBorders>
              <w:top w:val="single" w:sz="8" w:color="auto"/>
            </w:tcBorders>
            <w:shd w:val="clear" w:color="auto" w:fill="B7E5FF"/>
          </w:tcPr>
          <w:p>
            <w:pPr>
              <w:spacing w:after="0"/>
              <w:rPr>
                <w:sz w:val="11"/>
                <w:szCs w:val="11"/>
                <w:color w:val="auto"/>
              </w:rPr>
            </w:pPr>
          </w:p>
        </w:tc>
        <w:tc>
          <w:tcPr>
            <w:tcW w:w="120" w:type="dxa"/>
            <w:vAlign w:val="bottom"/>
            <w:tcBorders>
              <w:top w:val="single" w:sz="8" w:color="B7E5FF"/>
            </w:tcBorders>
            <w:shd w:val="clear" w:color="auto" w:fill="B7E5FF"/>
          </w:tcPr>
          <w:p>
            <w:pPr>
              <w:spacing w:after="0"/>
              <w:rPr>
                <w:sz w:val="11"/>
                <w:szCs w:val="11"/>
                <w:color w:val="auto"/>
              </w:rPr>
            </w:pPr>
          </w:p>
        </w:tc>
        <w:tc>
          <w:tcPr>
            <w:tcW w:w="280" w:type="dxa"/>
            <w:vAlign w:val="bottom"/>
            <w:tcBorders>
              <w:top w:val="single" w:sz="8" w:color="auto"/>
            </w:tcBorders>
            <w:shd w:val="clear" w:color="auto" w:fill="B7E5FF"/>
          </w:tcPr>
          <w:p>
            <w:pPr>
              <w:jc w:val="right"/>
              <w:ind w:right="140"/>
              <w:spacing w:after="0" w:line="133" w:lineRule="exact"/>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122,221</w:t>
            </w:r>
          </w:p>
        </w:tc>
        <w:tc>
          <w:tcPr>
            <w:tcW w:w="40" w:type="dxa"/>
            <w:vAlign w:val="bottom"/>
            <w:tcBorders>
              <w:top w:val="single" w:sz="8" w:color="auto"/>
            </w:tcBorders>
            <w:shd w:val="clear" w:color="auto" w:fill="B7E5FF"/>
          </w:tcPr>
          <w:p>
            <w:pPr>
              <w:spacing w:after="0"/>
              <w:rPr>
                <w:sz w:val="11"/>
                <w:szCs w:val="11"/>
                <w:color w:val="auto"/>
              </w:rPr>
            </w:pPr>
          </w:p>
        </w:tc>
        <w:tc>
          <w:tcPr>
            <w:tcW w:w="100" w:type="dxa"/>
            <w:vAlign w:val="bottom"/>
            <w:tcBorders>
              <w:top w:val="single" w:sz="8" w:color="B7E5FF"/>
            </w:tcBorders>
            <w:shd w:val="clear" w:color="auto" w:fill="B7E5FF"/>
          </w:tcPr>
          <w:p>
            <w:pPr>
              <w:spacing w:after="0"/>
              <w:rPr>
                <w:sz w:val="11"/>
                <w:szCs w:val="11"/>
                <w:color w:val="auto"/>
              </w:rPr>
            </w:pPr>
          </w:p>
        </w:tc>
        <w:tc>
          <w:tcPr>
            <w:tcW w:w="220" w:type="dxa"/>
            <w:vAlign w:val="bottom"/>
            <w:tcBorders>
              <w:top w:val="single" w:sz="8" w:color="auto"/>
            </w:tcBorders>
            <w:shd w:val="clear" w:color="auto" w:fill="B7E5FF"/>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104,125</w:t>
            </w:r>
          </w:p>
        </w:tc>
        <w:tc>
          <w:tcPr>
            <w:tcW w:w="100" w:type="dxa"/>
            <w:vAlign w:val="bottom"/>
            <w:tcBorders>
              <w:top w:val="single" w:sz="8" w:color="B7E5FF"/>
            </w:tcBorders>
            <w:shd w:val="clear" w:color="auto" w:fill="B7E5FF"/>
          </w:tcPr>
          <w:p>
            <w:pPr>
              <w:spacing w:after="0"/>
              <w:rPr>
                <w:sz w:val="11"/>
                <w:szCs w:val="11"/>
                <w:color w:val="auto"/>
              </w:rPr>
            </w:pPr>
          </w:p>
        </w:tc>
        <w:tc>
          <w:tcPr>
            <w:tcW w:w="920" w:type="dxa"/>
            <w:vAlign w:val="bottom"/>
            <w:tcBorders>
              <w:top w:val="single" w:sz="8" w:color="auto"/>
            </w:tcBorders>
            <w:shd w:val="clear" w:color="auto" w:fill="B7E5FF"/>
          </w:tcPr>
          <w:p>
            <w:pPr>
              <w:jc w:val="right"/>
              <w:ind w:right="780"/>
              <w:spacing w:after="0" w:line="133" w:lineRule="exact"/>
              <w:rPr>
                <w:sz w:val="20"/>
                <w:szCs w:val="20"/>
                <w:color w:val="auto"/>
              </w:rPr>
            </w:pPr>
            <w:r>
              <w:rPr>
                <w:rFonts w:ascii="Arial" w:cs="Arial" w:eastAsia="Arial" w:hAnsi="Arial"/>
                <w:sz w:val="12"/>
                <w:szCs w:val="12"/>
                <w:color w:val="auto"/>
                <w:w w:val="89"/>
              </w:rPr>
              <w:t>$</w:t>
            </w:r>
          </w:p>
        </w:tc>
        <w:tc>
          <w:tcPr>
            <w:tcW w:w="42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w w:val="92"/>
              </w:rPr>
              <w:t>18,459</w:t>
            </w:r>
          </w:p>
        </w:tc>
        <w:tc>
          <w:tcPr>
            <w:tcW w:w="120" w:type="dxa"/>
            <w:vAlign w:val="bottom"/>
            <w:tcBorders>
              <w:top w:val="single" w:sz="8" w:color="B7E5FF"/>
            </w:tcBorders>
            <w:shd w:val="clear" w:color="auto" w:fill="B7E5FF"/>
          </w:tcPr>
          <w:p>
            <w:pPr>
              <w:spacing w:after="0"/>
              <w:rPr>
                <w:sz w:val="11"/>
                <w:szCs w:val="11"/>
                <w:color w:val="auto"/>
              </w:rPr>
            </w:pPr>
          </w:p>
        </w:tc>
        <w:tc>
          <w:tcPr>
            <w:tcW w:w="220" w:type="dxa"/>
            <w:vAlign w:val="bottom"/>
            <w:tcBorders>
              <w:top w:val="single" w:sz="8" w:color="auto"/>
            </w:tcBorders>
            <w:shd w:val="clear" w:color="auto" w:fill="B7E5FF"/>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434,017</w:t>
            </w:r>
          </w:p>
        </w:tc>
      </w:tr>
      <w:tr>
        <w:trPr>
          <w:trHeight w:val="153"/>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33"/>
        </w:trPr>
        <w:tc>
          <w:tcPr>
            <w:tcW w:w="20" w:type="dxa"/>
            <w:vAlign w:val="bottom"/>
            <w:tcBorders>
              <w:bottom w:val="single" w:sz="8" w:color="B7E5FF"/>
            </w:tcBorders>
            <w:shd w:val="clear" w:color="auto" w:fill="B7E5FF"/>
          </w:tcPr>
          <w:p>
            <w:pPr>
              <w:spacing w:after="0"/>
              <w:rPr>
                <w:sz w:val="11"/>
                <w:szCs w:val="11"/>
                <w:color w:val="auto"/>
              </w:rPr>
            </w:pPr>
          </w:p>
        </w:tc>
        <w:tc>
          <w:tcPr>
            <w:tcW w:w="1060" w:type="dxa"/>
            <w:vAlign w:val="bottom"/>
            <w:tcBorders>
              <w:bottom w:val="single" w:sz="8" w:color="auto"/>
            </w:tcBorders>
            <w:shd w:val="clear" w:color="auto" w:fill="B7E5FF"/>
          </w:tcPr>
          <w:p>
            <w:pPr>
              <w:spacing w:after="0" w:line="117" w:lineRule="exact"/>
              <w:rPr>
                <w:sz w:val="20"/>
                <w:szCs w:val="20"/>
                <w:color w:val="auto"/>
              </w:rPr>
            </w:pPr>
            <w:r>
              <w:rPr>
                <w:rFonts w:ascii="Arial" w:cs="Arial" w:eastAsia="Arial" w:hAnsi="Arial"/>
                <w:sz w:val="12"/>
                <w:szCs w:val="12"/>
                <w:b w:val="1"/>
                <w:bCs w:val="1"/>
                <w:color w:val="auto"/>
                <w:w w:val="89"/>
              </w:rPr>
              <w:t>Customer Industries</w:t>
            </w:r>
          </w:p>
        </w:tc>
        <w:tc>
          <w:tcPr>
            <w:tcW w:w="3280" w:type="dxa"/>
            <w:vAlign w:val="bottom"/>
            <w:tcBorders>
              <w:bottom w:val="single" w:sz="8" w:color="B7E5FF"/>
            </w:tcBorders>
            <w:gridSpan w:val="2"/>
            <w:shd w:val="clear" w:color="auto" w:fill="B7E5FF"/>
          </w:tcPr>
          <w:p>
            <w:pPr>
              <w:spacing w:after="0"/>
              <w:rPr>
                <w:sz w:val="11"/>
                <w:szCs w:val="11"/>
                <w:color w:val="auto"/>
              </w:rPr>
            </w:pPr>
          </w:p>
        </w:tc>
        <w:tc>
          <w:tcPr>
            <w:tcW w:w="280" w:type="dxa"/>
            <w:vAlign w:val="bottom"/>
            <w:tcBorders>
              <w:bottom w:val="single" w:sz="8" w:color="B7E5FF"/>
            </w:tcBorders>
            <w:shd w:val="clear" w:color="auto" w:fill="B7E5FF"/>
          </w:tcPr>
          <w:p>
            <w:pPr>
              <w:spacing w:after="0"/>
              <w:rPr>
                <w:sz w:val="11"/>
                <w:szCs w:val="11"/>
                <w:color w:val="auto"/>
              </w:rPr>
            </w:pPr>
          </w:p>
        </w:tc>
        <w:tc>
          <w:tcPr>
            <w:tcW w:w="1000" w:type="dxa"/>
            <w:vAlign w:val="bottom"/>
            <w:tcBorders>
              <w:bottom w:val="single" w:sz="8" w:color="B7E5FF"/>
            </w:tcBorders>
            <w:shd w:val="clear" w:color="auto" w:fill="B7E5FF"/>
          </w:tcPr>
          <w:p>
            <w:pPr>
              <w:spacing w:after="0"/>
              <w:rPr>
                <w:sz w:val="11"/>
                <w:szCs w:val="11"/>
                <w:color w:val="auto"/>
              </w:rPr>
            </w:pPr>
          </w:p>
        </w:tc>
        <w:tc>
          <w:tcPr>
            <w:tcW w:w="40" w:type="dxa"/>
            <w:vAlign w:val="bottom"/>
            <w:tcBorders>
              <w:bottom w:val="single" w:sz="8" w:color="B7E5FF"/>
            </w:tcBorders>
            <w:shd w:val="clear" w:color="auto" w:fill="B7E5FF"/>
          </w:tcPr>
          <w:p>
            <w:pPr>
              <w:spacing w:after="0"/>
              <w:rPr>
                <w:sz w:val="11"/>
                <w:szCs w:val="11"/>
                <w:color w:val="auto"/>
              </w:rPr>
            </w:pPr>
          </w:p>
        </w:tc>
        <w:tc>
          <w:tcPr>
            <w:tcW w:w="120" w:type="dxa"/>
            <w:vAlign w:val="bottom"/>
            <w:tcBorders>
              <w:bottom w:val="single" w:sz="8" w:color="B7E5FF"/>
            </w:tcBorders>
            <w:shd w:val="clear" w:color="auto" w:fill="B7E5FF"/>
          </w:tcPr>
          <w:p>
            <w:pPr>
              <w:spacing w:after="0"/>
              <w:rPr>
                <w:sz w:val="11"/>
                <w:szCs w:val="11"/>
                <w:color w:val="auto"/>
              </w:rPr>
            </w:pPr>
          </w:p>
        </w:tc>
        <w:tc>
          <w:tcPr>
            <w:tcW w:w="280" w:type="dxa"/>
            <w:vAlign w:val="bottom"/>
            <w:tcBorders>
              <w:bottom w:val="single" w:sz="8" w:color="B7E5FF"/>
            </w:tcBorders>
            <w:shd w:val="clear" w:color="auto" w:fill="B7E5FF"/>
          </w:tcPr>
          <w:p>
            <w:pPr>
              <w:spacing w:after="0"/>
              <w:rPr>
                <w:sz w:val="11"/>
                <w:szCs w:val="11"/>
                <w:color w:val="auto"/>
              </w:rPr>
            </w:pPr>
          </w:p>
        </w:tc>
        <w:tc>
          <w:tcPr>
            <w:tcW w:w="1000" w:type="dxa"/>
            <w:vAlign w:val="bottom"/>
            <w:tcBorders>
              <w:bottom w:val="single" w:sz="8" w:color="B7E5FF"/>
            </w:tcBorders>
            <w:shd w:val="clear" w:color="auto" w:fill="B7E5FF"/>
          </w:tcPr>
          <w:p>
            <w:pPr>
              <w:spacing w:after="0"/>
              <w:rPr>
                <w:sz w:val="11"/>
                <w:szCs w:val="11"/>
                <w:color w:val="auto"/>
              </w:rPr>
            </w:pPr>
          </w:p>
        </w:tc>
        <w:tc>
          <w:tcPr>
            <w:tcW w:w="40" w:type="dxa"/>
            <w:vAlign w:val="bottom"/>
            <w:tcBorders>
              <w:bottom w:val="single" w:sz="8" w:color="B7E5FF"/>
            </w:tcBorders>
            <w:shd w:val="clear" w:color="auto" w:fill="B7E5FF"/>
          </w:tcPr>
          <w:p>
            <w:pPr>
              <w:spacing w:after="0"/>
              <w:rPr>
                <w:sz w:val="11"/>
                <w:szCs w:val="11"/>
                <w:color w:val="auto"/>
              </w:rPr>
            </w:pPr>
          </w:p>
        </w:tc>
        <w:tc>
          <w:tcPr>
            <w:tcW w:w="100" w:type="dxa"/>
            <w:vAlign w:val="bottom"/>
            <w:tcBorders>
              <w:bottom w:val="single" w:sz="8" w:color="B7E5FF"/>
            </w:tcBorders>
            <w:shd w:val="clear" w:color="auto" w:fill="B7E5FF"/>
          </w:tcPr>
          <w:p>
            <w:pPr>
              <w:spacing w:after="0"/>
              <w:rPr>
                <w:sz w:val="11"/>
                <w:szCs w:val="11"/>
                <w:color w:val="auto"/>
              </w:rPr>
            </w:pPr>
          </w:p>
        </w:tc>
        <w:tc>
          <w:tcPr>
            <w:tcW w:w="220" w:type="dxa"/>
            <w:vAlign w:val="bottom"/>
            <w:tcBorders>
              <w:bottom w:val="single" w:sz="8" w:color="B7E5FF"/>
            </w:tcBorders>
            <w:shd w:val="clear" w:color="auto" w:fill="B7E5FF"/>
          </w:tcPr>
          <w:p>
            <w:pPr>
              <w:spacing w:after="0"/>
              <w:rPr>
                <w:sz w:val="11"/>
                <w:szCs w:val="11"/>
                <w:color w:val="auto"/>
              </w:rPr>
            </w:pPr>
          </w:p>
        </w:tc>
        <w:tc>
          <w:tcPr>
            <w:tcW w:w="1120" w:type="dxa"/>
            <w:vAlign w:val="bottom"/>
            <w:tcBorders>
              <w:bottom w:val="single" w:sz="8" w:color="B7E5FF"/>
            </w:tcBorders>
            <w:shd w:val="clear" w:color="auto" w:fill="B7E5FF"/>
          </w:tcPr>
          <w:p>
            <w:pPr>
              <w:spacing w:after="0"/>
              <w:rPr>
                <w:sz w:val="11"/>
                <w:szCs w:val="11"/>
                <w:color w:val="auto"/>
              </w:rPr>
            </w:pPr>
          </w:p>
        </w:tc>
        <w:tc>
          <w:tcPr>
            <w:tcW w:w="100" w:type="dxa"/>
            <w:vAlign w:val="bottom"/>
            <w:tcBorders>
              <w:bottom w:val="single" w:sz="8" w:color="B7E5FF"/>
            </w:tcBorders>
            <w:shd w:val="clear" w:color="auto" w:fill="B7E5FF"/>
          </w:tcPr>
          <w:p>
            <w:pPr>
              <w:spacing w:after="0"/>
              <w:rPr>
                <w:sz w:val="11"/>
                <w:szCs w:val="11"/>
                <w:color w:val="auto"/>
              </w:rPr>
            </w:pPr>
          </w:p>
        </w:tc>
        <w:tc>
          <w:tcPr>
            <w:tcW w:w="920" w:type="dxa"/>
            <w:vAlign w:val="bottom"/>
            <w:tcBorders>
              <w:bottom w:val="single" w:sz="8" w:color="B7E5FF"/>
            </w:tcBorders>
            <w:shd w:val="clear" w:color="auto" w:fill="B7E5FF"/>
          </w:tcPr>
          <w:p>
            <w:pPr>
              <w:spacing w:after="0"/>
              <w:rPr>
                <w:sz w:val="11"/>
                <w:szCs w:val="11"/>
                <w:color w:val="auto"/>
              </w:rPr>
            </w:pPr>
          </w:p>
        </w:tc>
        <w:tc>
          <w:tcPr>
            <w:tcW w:w="420" w:type="dxa"/>
            <w:vAlign w:val="bottom"/>
            <w:tcBorders>
              <w:bottom w:val="single" w:sz="8" w:color="B7E5FF"/>
            </w:tcBorders>
            <w:shd w:val="clear" w:color="auto" w:fill="B7E5FF"/>
          </w:tcPr>
          <w:p>
            <w:pPr>
              <w:spacing w:after="0"/>
              <w:rPr>
                <w:sz w:val="11"/>
                <w:szCs w:val="11"/>
                <w:color w:val="auto"/>
              </w:rPr>
            </w:pPr>
          </w:p>
        </w:tc>
        <w:tc>
          <w:tcPr>
            <w:tcW w:w="120" w:type="dxa"/>
            <w:vAlign w:val="bottom"/>
            <w:tcBorders>
              <w:bottom w:val="single" w:sz="8" w:color="B7E5FF"/>
            </w:tcBorders>
            <w:shd w:val="clear" w:color="auto" w:fill="B7E5FF"/>
          </w:tcPr>
          <w:p>
            <w:pPr>
              <w:spacing w:after="0"/>
              <w:rPr>
                <w:sz w:val="11"/>
                <w:szCs w:val="11"/>
                <w:color w:val="auto"/>
              </w:rPr>
            </w:pPr>
          </w:p>
        </w:tc>
        <w:tc>
          <w:tcPr>
            <w:tcW w:w="220" w:type="dxa"/>
            <w:vAlign w:val="bottom"/>
            <w:tcBorders>
              <w:bottom w:val="single" w:sz="8" w:color="B7E5FF"/>
            </w:tcBorders>
            <w:shd w:val="clear" w:color="auto" w:fill="B7E5FF"/>
          </w:tcPr>
          <w:p>
            <w:pPr>
              <w:spacing w:after="0"/>
              <w:rPr>
                <w:sz w:val="11"/>
                <w:szCs w:val="11"/>
                <w:color w:val="auto"/>
              </w:rPr>
            </w:pPr>
          </w:p>
        </w:tc>
        <w:tc>
          <w:tcPr>
            <w:tcW w:w="1140" w:type="dxa"/>
            <w:vAlign w:val="bottom"/>
            <w:tcBorders>
              <w:bottom w:val="single" w:sz="8" w:color="B7E5FF"/>
            </w:tcBorders>
            <w:shd w:val="clear" w:color="auto" w:fill="B7E5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4340" w:type="dxa"/>
            <w:vAlign w:val="bottom"/>
            <w:gridSpan w:val="3"/>
          </w:tcPr>
          <w:p>
            <w:pPr>
              <w:spacing w:after="0"/>
              <w:rPr>
                <w:sz w:val="20"/>
                <w:szCs w:val="20"/>
                <w:color w:val="auto"/>
              </w:rPr>
            </w:pPr>
            <w:r>
              <w:rPr>
                <w:rFonts w:ascii="Arial" w:cs="Arial" w:eastAsia="Arial" w:hAnsi="Arial"/>
                <w:sz w:val="12"/>
                <w:szCs w:val="12"/>
                <w:color w:val="auto"/>
              </w:rPr>
              <w:t>Primary metals</w:t>
            </w:r>
          </w:p>
        </w:tc>
        <w:tc>
          <w:tcPr>
            <w:tcW w:w="2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76,702</w:t>
            </w:r>
          </w:p>
        </w:tc>
        <w:tc>
          <w:tcPr>
            <w:tcW w:w="44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53,487</w:t>
            </w:r>
          </w:p>
        </w:tc>
        <w:tc>
          <w:tcPr>
            <w:tcW w:w="36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65,924</w:t>
            </w:r>
          </w:p>
        </w:tc>
        <w:tc>
          <w:tcPr>
            <w:tcW w:w="100" w:type="dxa"/>
            <w:vAlign w:val="bottom"/>
          </w:tcPr>
          <w:p>
            <w:pPr>
              <w:spacing w:after="0"/>
              <w:rPr>
                <w:sz w:val="13"/>
                <w:szCs w:val="13"/>
                <w:color w:val="auto"/>
              </w:rPr>
            </w:pPr>
          </w:p>
        </w:tc>
        <w:tc>
          <w:tcPr>
            <w:tcW w:w="920" w:type="dxa"/>
            <w:vAlign w:val="bottom"/>
          </w:tcPr>
          <w:p>
            <w:pPr>
              <w:jc w:val="right"/>
              <w:ind w:right="780"/>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spacing w:after="0"/>
              <w:rPr>
                <w:sz w:val="20"/>
                <w:szCs w:val="20"/>
                <w:color w:val="auto"/>
              </w:rPr>
            </w:pPr>
            <w:r>
              <w:rPr>
                <w:rFonts w:ascii="Arial" w:cs="Arial" w:eastAsia="Arial" w:hAnsi="Arial"/>
                <w:sz w:val="12"/>
                <w:szCs w:val="12"/>
                <w:color w:val="auto"/>
                <w:w w:val="92"/>
              </w:rPr>
              <w:t>10,334</w:t>
            </w:r>
          </w:p>
        </w:tc>
        <w:tc>
          <w:tcPr>
            <w:tcW w:w="12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206,447</w:t>
            </w:r>
          </w:p>
        </w:tc>
      </w:tr>
      <w:tr>
        <w:trPr>
          <w:trHeight w:val="153"/>
        </w:trPr>
        <w:tc>
          <w:tcPr>
            <w:tcW w:w="20" w:type="dxa"/>
            <w:vAlign w:val="bottom"/>
            <w:shd w:val="clear" w:color="auto" w:fill="B7E5FF"/>
          </w:tcPr>
          <w:p>
            <w:pPr>
              <w:spacing w:after="0"/>
              <w:rPr>
                <w:sz w:val="13"/>
                <w:szCs w:val="13"/>
                <w:color w:val="auto"/>
              </w:rPr>
            </w:pPr>
          </w:p>
        </w:tc>
        <w:tc>
          <w:tcPr>
            <w:tcW w:w="4340" w:type="dxa"/>
            <w:vAlign w:val="bottom"/>
            <w:gridSpan w:val="3"/>
            <w:shd w:val="clear" w:color="auto" w:fill="B7E5FF"/>
          </w:tcPr>
          <w:p>
            <w:pPr>
              <w:spacing w:after="0"/>
              <w:rPr>
                <w:sz w:val="20"/>
                <w:szCs w:val="20"/>
                <w:color w:val="auto"/>
              </w:rPr>
            </w:pPr>
            <w:r>
              <w:rPr>
                <w:rFonts w:ascii="Arial" w:cs="Arial" w:eastAsia="Arial" w:hAnsi="Arial"/>
                <w:sz w:val="12"/>
                <w:szCs w:val="12"/>
                <w:color w:val="auto"/>
              </w:rPr>
              <w:t>Metalworking</w:t>
            </w:r>
          </w:p>
        </w:tc>
        <w:tc>
          <w:tcPr>
            <w:tcW w:w="280" w:type="dxa"/>
            <w:vAlign w:val="bottom"/>
            <w:shd w:val="clear" w:color="auto" w:fill="B7E5FF"/>
          </w:tcPr>
          <w:p>
            <w:pPr>
              <w:spacing w:after="0"/>
              <w:rPr>
                <w:sz w:val="13"/>
                <w:szCs w:val="13"/>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83,518</w:t>
            </w:r>
          </w:p>
        </w:tc>
        <w:tc>
          <w:tcPr>
            <w:tcW w:w="40" w:type="dxa"/>
            <w:vAlign w:val="bottom"/>
            <w:shd w:val="clear" w:color="auto" w:fill="B7E5FF"/>
          </w:tcPr>
          <w:p>
            <w:pPr>
              <w:spacing w:after="0"/>
              <w:rPr>
                <w:sz w:val="13"/>
                <w:szCs w:val="13"/>
                <w:color w:val="auto"/>
              </w:rPr>
            </w:pPr>
          </w:p>
        </w:tc>
        <w:tc>
          <w:tcPr>
            <w:tcW w:w="120" w:type="dxa"/>
            <w:vAlign w:val="bottom"/>
            <w:shd w:val="clear" w:color="auto" w:fill="B7E5FF"/>
          </w:tcPr>
          <w:p>
            <w:pPr>
              <w:spacing w:after="0"/>
              <w:rPr>
                <w:sz w:val="13"/>
                <w:szCs w:val="13"/>
                <w:color w:val="auto"/>
              </w:rPr>
            </w:pPr>
          </w:p>
        </w:tc>
        <w:tc>
          <w:tcPr>
            <w:tcW w:w="280" w:type="dxa"/>
            <w:vAlign w:val="bottom"/>
            <w:shd w:val="clear" w:color="auto" w:fill="B7E5FF"/>
          </w:tcPr>
          <w:p>
            <w:pPr>
              <w:spacing w:after="0"/>
              <w:rPr>
                <w:sz w:val="13"/>
                <w:szCs w:val="13"/>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60,983</w:t>
            </w:r>
          </w:p>
        </w:tc>
        <w:tc>
          <w:tcPr>
            <w:tcW w:w="40" w:type="dxa"/>
            <w:vAlign w:val="bottom"/>
            <w:shd w:val="clear" w:color="auto" w:fill="B7E5FF"/>
          </w:tcPr>
          <w:p>
            <w:pPr>
              <w:spacing w:after="0"/>
              <w:rPr>
                <w:sz w:val="13"/>
                <w:szCs w:val="13"/>
                <w:color w:val="auto"/>
              </w:rPr>
            </w:pPr>
          </w:p>
        </w:tc>
        <w:tc>
          <w:tcPr>
            <w:tcW w:w="100" w:type="dxa"/>
            <w:vAlign w:val="bottom"/>
            <w:shd w:val="clear" w:color="auto" w:fill="B7E5FF"/>
          </w:tcPr>
          <w:p>
            <w:pPr>
              <w:spacing w:after="0"/>
              <w:rPr>
                <w:sz w:val="13"/>
                <w:szCs w:val="13"/>
                <w:color w:val="auto"/>
              </w:rPr>
            </w:pPr>
          </w:p>
        </w:tc>
        <w:tc>
          <w:tcPr>
            <w:tcW w:w="220" w:type="dxa"/>
            <w:vAlign w:val="bottom"/>
            <w:shd w:val="clear" w:color="auto" w:fill="B7E5FF"/>
          </w:tcPr>
          <w:p>
            <w:pPr>
              <w:spacing w:after="0"/>
              <w:rPr>
                <w:sz w:val="13"/>
                <w:szCs w:val="13"/>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36,850</w:t>
            </w:r>
          </w:p>
        </w:tc>
        <w:tc>
          <w:tcPr>
            <w:tcW w:w="100" w:type="dxa"/>
            <w:vAlign w:val="bottom"/>
            <w:shd w:val="clear" w:color="auto" w:fill="B7E5FF"/>
          </w:tcPr>
          <w:p>
            <w:pPr>
              <w:spacing w:after="0"/>
              <w:rPr>
                <w:sz w:val="13"/>
                <w:szCs w:val="13"/>
                <w:color w:val="auto"/>
              </w:rPr>
            </w:pPr>
          </w:p>
        </w:tc>
        <w:tc>
          <w:tcPr>
            <w:tcW w:w="920" w:type="dxa"/>
            <w:vAlign w:val="bottom"/>
            <w:shd w:val="clear" w:color="auto" w:fill="B7E5FF"/>
          </w:tcPr>
          <w:p>
            <w:pPr>
              <w:spacing w:after="0"/>
              <w:rPr>
                <w:sz w:val="13"/>
                <w:szCs w:val="13"/>
                <w:color w:val="auto"/>
              </w:rPr>
            </w:pPr>
          </w:p>
        </w:tc>
        <w:tc>
          <w:tcPr>
            <w:tcW w:w="4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7,648</w:t>
            </w:r>
          </w:p>
        </w:tc>
        <w:tc>
          <w:tcPr>
            <w:tcW w:w="120" w:type="dxa"/>
            <w:vAlign w:val="bottom"/>
            <w:shd w:val="clear" w:color="auto" w:fill="B7E5FF"/>
          </w:tcPr>
          <w:p>
            <w:pPr>
              <w:spacing w:after="0"/>
              <w:rPr>
                <w:sz w:val="13"/>
                <w:szCs w:val="13"/>
                <w:color w:val="auto"/>
              </w:rPr>
            </w:pPr>
          </w:p>
        </w:tc>
        <w:tc>
          <w:tcPr>
            <w:tcW w:w="220" w:type="dxa"/>
            <w:vAlign w:val="bottom"/>
            <w:shd w:val="clear" w:color="auto" w:fill="B7E5FF"/>
          </w:tcPr>
          <w:p>
            <w:pPr>
              <w:spacing w:after="0"/>
              <w:rPr>
                <w:sz w:val="13"/>
                <w:szCs w:val="13"/>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188,999</w:t>
            </w:r>
          </w:p>
        </w:tc>
      </w:tr>
      <w:tr>
        <w:trPr>
          <w:trHeight w:val="153"/>
        </w:trPr>
        <w:tc>
          <w:tcPr>
            <w:tcW w:w="20" w:type="dxa"/>
            <w:vAlign w:val="bottom"/>
            <w:tcBorders>
              <w:bottom w:val="single" w:sz="8" w:color="B7E5FF"/>
            </w:tcBorders>
          </w:tcPr>
          <w:p>
            <w:pPr>
              <w:spacing w:after="0"/>
              <w:rPr>
                <w:sz w:val="13"/>
                <w:szCs w:val="13"/>
                <w:color w:val="auto"/>
              </w:rPr>
            </w:pPr>
          </w:p>
        </w:tc>
        <w:tc>
          <w:tcPr>
            <w:tcW w:w="4340" w:type="dxa"/>
            <w:vAlign w:val="bottom"/>
            <w:tcBorders>
              <w:bottom w:val="single" w:sz="8" w:color="B7E5FF"/>
            </w:tcBorders>
            <w:gridSpan w:val="3"/>
          </w:tcPr>
          <w:p>
            <w:pPr>
              <w:spacing w:after="0"/>
              <w:rPr>
                <w:sz w:val="20"/>
                <w:szCs w:val="20"/>
                <w:color w:val="auto"/>
              </w:rPr>
            </w:pPr>
            <w:r>
              <w:rPr>
                <w:rFonts w:ascii="Arial" w:cs="Arial" w:eastAsia="Arial" w:hAnsi="Arial"/>
                <w:sz w:val="12"/>
                <w:szCs w:val="12"/>
                <w:color w:val="auto"/>
              </w:rPr>
              <w:t>Coatings and other</w:t>
            </w: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28,992</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B7E5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7,751</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B7E5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1,351</w:t>
            </w:r>
          </w:p>
        </w:tc>
        <w:tc>
          <w:tcPr>
            <w:tcW w:w="100" w:type="dxa"/>
            <w:vAlign w:val="bottom"/>
            <w:tcBorders>
              <w:bottom w:val="single" w:sz="8" w:color="B7E5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477</w:t>
            </w:r>
          </w:p>
        </w:tc>
        <w:tc>
          <w:tcPr>
            <w:tcW w:w="120" w:type="dxa"/>
            <w:vAlign w:val="bottom"/>
            <w:tcBorders>
              <w:bottom w:val="single" w:sz="8" w:color="B7E5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38,571</w:t>
            </w:r>
          </w:p>
        </w:tc>
      </w:tr>
      <w:tr>
        <w:trPr>
          <w:trHeight w:val="140"/>
        </w:trPr>
        <w:tc>
          <w:tcPr>
            <w:tcW w:w="20" w:type="dxa"/>
            <w:vAlign w:val="bottom"/>
            <w:tcBorders>
              <w:bottom w:val="single" w:sz="8" w:color="B7E5FF"/>
            </w:tcBorders>
            <w:shd w:val="clear" w:color="auto" w:fill="B7E5FF"/>
          </w:tcPr>
          <w:p>
            <w:pPr>
              <w:spacing w:after="0"/>
              <w:rPr>
                <w:sz w:val="12"/>
                <w:szCs w:val="12"/>
                <w:color w:val="auto"/>
              </w:rPr>
            </w:pPr>
          </w:p>
        </w:tc>
        <w:tc>
          <w:tcPr>
            <w:tcW w:w="1060" w:type="dxa"/>
            <w:vAlign w:val="bottom"/>
            <w:tcBorders>
              <w:bottom w:val="single" w:sz="8" w:color="B7E5FF"/>
            </w:tcBorders>
            <w:shd w:val="clear" w:color="auto" w:fill="B7E5FF"/>
          </w:tcPr>
          <w:p>
            <w:pPr>
              <w:spacing w:after="0"/>
              <w:rPr>
                <w:sz w:val="12"/>
                <w:szCs w:val="12"/>
                <w:color w:val="auto"/>
              </w:rPr>
            </w:pPr>
          </w:p>
        </w:tc>
        <w:tc>
          <w:tcPr>
            <w:tcW w:w="520" w:type="dxa"/>
            <w:vAlign w:val="bottom"/>
            <w:tcBorders>
              <w:bottom w:val="single" w:sz="8" w:color="B7E5FF"/>
            </w:tcBorders>
            <w:shd w:val="clear" w:color="auto" w:fill="B7E5FF"/>
          </w:tcPr>
          <w:p>
            <w:pPr>
              <w:spacing w:after="0"/>
              <w:rPr>
                <w:sz w:val="12"/>
                <w:szCs w:val="12"/>
                <w:color w:val="auto"/>
              </w:rPr>
            </w:pPr>
          </w:p>
        </w:tc>
        <w:tc>
          <w:tcPr>
            <w:tcW w:w="2760" w:type="dxa"/>
            <w:vAlign w:val="bottom"/>
            <w:tcBorders>
              <w:bottom w:val="single" w:sz="8" w:color="B7E5FF"/>
            </w:tcBorders>
            <w:shd w:val="clear" w:color="auto" w:fill="B7E5FF"/>
          </w:tcPr>
          <w:p>
            <w:pPr>
              <w:spacing w:after="0"/>
              <w:rPr>
                <w:sz w:val="12"/>
                <w:szCs w:val="12"/>
                <w:color w:val="auto"/>
              </w:rPr>
            </w:pPr>
          </w:p>
        </w:tc>
        <w:tc>
          <w:tcPr>
            <w:tcW w:w="280" w:type="dxa"/>
            <w:vAlign w:val="bottom"/>
            <w:tcBorders>
              <w:bottom w:val="single" w:sz="8" w:color="auto"/>
            </w:tcBorders>
            <w:shd w:val="clear" w:color="auto" w:fill="B7E5FF"/>
          </w:tcPr>
          <w:p>
            <w:pPr>
              <w:jc w:val="right"/>
              <w:ind w:right="120"/>
              <w:spacing w:after="0" w:line="133" w:lineRule="exact"/>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189,212</w:t>
            </w:r>
          </w:p>
        </w:tc>
        <w:tc>
          <w:tcPr>
            <w:tcW w:w="40" w:type="dxa"/>
            <w:vAlign w:val="bottom"/>
            <w:tcBorders>
              <w:bottom w:val="single" w:sz="8" w:color="auto"/>
            </w:tcBorders>
            <w:shd w:val="clear" w:color="auto" w:fill="B7E5FF"/>
          </w:tcPr>
          <w:p>
            <w:pPr>
              <w:spacing w:after="0"/>
              <w:rPr>
                <w:sz w:val="12"/>
                <w:szCs w:val="12"/>
                <w:color w:val="auto"/>
              </w:rPr>
            </w:pPr>
          </w:p>
        </w:tc>
        <w:tc>
          <w:tcPr>
            <w:tcW w:w="120" w:type="dxa"/>
            <w:vAlign w:val="bottom"/>
            <w:tcBorders>
              <w:bottom w:val="single" w:sz="8" w:color="B7E5FF"/>
            </w:tcBorders>
            <w:shd w:val="clear" w:color="auto" w:fill="B7E5FF"/>
          </w:tcPr>
          <w:p>
            <w:pPr>
              <w:spacing w:after="0"/>
              <w:rPr>
                <w:sz w:val="12"/>
                <w:szCs w:val="12"/>
                <w:color w:val="auto"/>
              </w:rPr>
            </w:pPr>
          </w:p>
        </w:tc>
        <w:tc>
          <w:tcPr>
            <w:tcW w:w="280" w:type="dxa"/>
            <w:vAlign w:val="bottom"/>
            <w:tcBorders>
              <w:bottom w:val="single" w:sz="8" w:color="auto"/>
            </w:tcBorders>
            <w:shd w:val="clear" w:color="auto" w:fill="B7E5FF"/>
          </w:tcPr>
          <w:p>
            <w:pPr>
              <w:jc w:val="right"/>
              <w:ind w:right="140"/>
              <w:spacing w:after="0" w:line="133" w:lineRule="exact"/>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122,221</w:t>
            </w:r>
          </w:p>
        </w:tc>
        <w:tc>
          <w:tcPr>
            <w:tcW w:w="40" w:type="dxa"/>
            <w:vAlign w:val="bottom"/>
            <w:tcBorders>
              <w:bottom w:val="single" w:sz="8" w:color="auto"/>
            </w:tcBorders>
            <w:shd w:val="clear" w:color="auto" w:fill="B7E5FF"/>
          </w:tcPr>
          <w:p>
            <w:pPr>
              <w:spacing w:after="0"/>
              <w:rPr>
                <w:sz w:val="12"/>
                <w:szCs w:val="12"/>
                <w:color w:val="auto"/>
              </w:rPr>
            </w:pPr>
          </w:p>
        </w:tc>
        <w:tc>
          <w:tcPr>
            <w:tcW w:w="100" w:type="dxa"/>
            <w:vAlign w:val="bottom"/>
            <w:tcBorders>
              <w:bottom w:val="single" w:sz="8" w:color="B7E5FF"/>
            </w:tcBorders>
            <w:shd w:val="clear" w:color="auto" w:fill="B7E5FF"/>
          </w:tcPr>
          <w:p>
            <w:pPr>
              <w:spacing w:after="0"/>
              <w:rPr>
                <w:sz w:val="12"/>
                <w:szCs w:val="12"/>
                <w:color w:val="auto"/>
              </w:rPr>
            </w:pPr>
          </w:p>
        </w:tc>
        <w:tc>
          <w:tcPr>
            <w:tcW w:w="220" w:type="dxa"/>
            <w:vAlign w:val="bottom"/>
            <w:tcBorders>
              <w:bottom w:val="single" w:sz="8" w:color="auto"/>
            </w:tcBorders>
            <w:shd w:val="clear" w:color="auto" w:fill="B7E5FF"/>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104,125</w:t>
            </w:r>
          </w:p>
        </w:tc>
        <w:tc>
          <w:tcPr>
            <w:tcW w:w="100" w:type="dxa"/>
            <w:vAlign w:val="bottom"/>
            <w:tcBorders>
              <w:bottom w:val="single" w:sz="8" w:color="B7E5FF"/>
            </w:tcBorders>
            <w:shd w:val="clear" w:color="auto" w:fill="B7E5FF"/>
          </w:tcPr>
          <w:p>
            <w:pPr>
              <w:spacing w:after="0"/>
              <w:rPr>
                <w:sz w:val="12"/>
                <w:szCs w:val="12"/>
                <w:color w:val="auto"/>
              </w:rPr>
            </w:pPr>
          </w:p>
        </w:tc>
        <w:tc>
          <w:tcPr>
            <w:tcW w:w="920" w:type="dxa"/>
            <w:vAlign w:val="bottom"/>
            <w:tcBorders>
              <w:bottom w:val="single" w:sz="8" w:color="auto"/>
            </w:tcBorders>
            <w:shd w:val="clear" w:color="auto" w:fill="B7E5FF"/>
          </w:tcPr>
          <w:p>
            <w:pPr>
              <w:jc w:val="right"/>
              <w:ind w:right="780"/>
              <w:spacing w:after="0" w:line="133" w:lineRule="exact"/>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w w:val="92"/>
              </w:rPr>
              <w:t>18,459</w:t>
            </w:r>
          </w:p>
        </w:tc>
        <w:tc>
          <w:tcPr>
            <w:tcW w:w="120" w:type="dxa"/>
            <w:vAlign w:val="bottom"/>
            <w:tcBorders>
              <w:bottom w:val="single" w:sz="8" w:color="B7E5FF"/>
            </w:tcBorders>
            <w:shd w:val="clear" w:color="auto" w:fill="B7E5FF"/>
          </w:tcPr>
          <w:p>
            <w:pPr>
              <w:spacing w:after="0"/>
              <w:rPr>
                <w:sz w:val="12"/>
                <w:szCs w:val="12"/>
                <w:color w:val="auto"/>
              </w:rPr>
            </w:pPr>
          </w:p>
        </w:tc>
        <w:tc>
          <w:tcPr>
            <w:tcW w:w="220" w:type="dxa"/>
            <w:vAlign w:val="bottom"/>
            <w:tcBorders>
              <w:bottom w:val="single" w:sz="8" w:color="auto"/>
            </w:tcBorders>
            <w:shd w:val="clear" w:color="auto" w:fill="B7E5FF"/>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434,017</w:t>
            </w:r>
          </w:p>
        </w:tc>
      </w:tr>
      <w:tr>
        <w:trPr>
          <w:trHeight w:val="144"/>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33"/>
        </w:trPr>
        <w:tc>
          <w:tcPr>
            <w:tcW w:w="20" w:type="dxa"/>
            <w:vAlign w:val="bottom"/>
            <w:shd w:val="clear" w:color="auto" w:fill="B7E5FF"/>
          </w:tcPr>
          <w:p>
            <w:pPr>
              <w:spacing w:after="0"/>
              <w:rPr>
                <w:sz w:val="11"/>
                <w:szCs w:val="11"/>
                <w:color w:val="auto"/>
              </w:rPr>
            </w:pPr>
          </w:p>
        </w:tc>
        <w:tc>
          <w:tcPr>
            <w:tcW w:w="4340" w:type="dxa"/>
            <w:vAlign w:val="bottom"/>
            <w:gridSpan w:val="3"/>
            <w:shd w:val="clear" w:color="auto" w:fill="B7E5FF"/>
          </w:tcPr>
          <w:p>
            <w:pPr>
              <w:spacing w:after="0" w:line="117" w:lineRule="exact"/>
              <w:rPr>
                <w:sz w:val="20"/>
                <w:szCs w:val="20"/>
                <w:color w:val="auto"/>
              </w:rPr>
            </w:pPr>
            <w:r>
              <w:rPr>
                <w:rFonts w:ascii="Arial" w:cs="Arial" w:eastAsia="Arial" w:hAnsi="Arial"/>
                <w:sz w:val="12"/>
                <w:szCs w:val="12"/>
                <w:b w:val="1"/>
                <w:bCs w:val="1"/>
                <w:color w:val="auto"/>
              </w:rPr>
              <w:t>Timing of Revenue Recognized</w:t>
            </w:r>
          </w:p>
        </w:tc>
        <w:tc>
          <w:tcPr>
            <w:tcW w:w="280" w:type="dxa"/>
            <w:vAlign w:val="bottom"/>
            <w:shd w:val="clear" w:color="auto" w:fill="B7E5FF"/>
          </w:tcPr>
          <w:p>
            <w:pPr>
              <w:spacing w:after="0"/>
              <w:rPr>
                <w:sz w:val="11"/>
                <w:szCs w:val="11"/>
                <w:color w:val="auto"/>
              </w:rPr>
            </w:pPr>
          </w:p>
        </w:tc>
        <w:tc>
          <w:tcPr>
            <w:tcW w:w="1000" w:type="dxa"/>
            <w:vAlign w:val="bottom"/>
            <w:shd w:val="clear" w:color="auto" w:fill="B7E5FF"/>
          </w:tcPr>
          <w:p>
            <w:pPr>
              <w:spacing w:after="0"/>
              <w:rPr>
                <w:sz w:val="11"/>
                <w:szCs w:val="11"/>
                <w:color w:val="auto"/>
              </w:rPr>
            </w:pPr>
          </w:p>
        </w:tc>
        <w:tc>
          <w:tcPr>
            <w:tcW w:w="40" w:type="dxa"/>
            <w:vAlign w:val="bottom"/>
            <w:shd w:val="clear" w:color="auto" w:fill="B7E5FF"/>
          </w:tcPr>
          <w:p>
            <w:pPr>
              <w:spacing w:after="0"/>
              <w:rPr>
                <w:sz w:val="11"/>
                <w:szCs w:val="11"/>
                <w:color w:val="auto"/>
              </w:rPr>
            </w:pPr>
          </w:p>
        </w:tc>
        <w:tc>
          <w:tcPr>
            <w:tcW w:w="120" w:type="dxa"/>
            <w:vAlign w:val="bottom"/>
            <w:shd w:val="clear" w:color="auto" w:fill="B7E5FF"/>
          </w:tcPr>
          <w:p>
            <w:pPr>
              <w:spacing w:after="0"/>
              <w:rPr>
                <w:sz w:val="11"/>
                <w:szCs w:val="11"/>
                <w:color w:val="auto"/>
              </w:rPr>
            </w:pPr>
          </w:p>
        </w:tc>
        <w:tc>
          <w:tcPr>
            <w:tcW w:w="280" w:type="dxa"/>
            <w:vAlign w:val="bottom"/>
            <w:shd w:val="clear" w:color="auto" w:fill="B7E5FF"/>
          </w:tcPr>
          <w:p>
            <w:pPr>
              <w:spacing w:after="0"/>
              <w:rPr>
                <w:sz w:val="11"/>
                <w:szCs w:val="11"/>
                <w:color w:val="auto"/>
              </w:rPr>
            </w:pPr>
          </w:p>
        </w:tc>
        <w:tc>
          <w:tcPr>
            <w:tcW w:w="1000" w:type="dxa"/>
            <w:vAlign w:val="bottom"/>
            <w:shd w:val="clear" w:color="auto" w:fill="B7E5FF"/>
          </w:tcPr>
          <w:p>
            <w:pPr>
              <w:spacing w:after="0"/>
              <w:rPr>
                <w:sz w:val="11"/>
                <w:szCs w:val="11"/>
                <w:color w:val="auto"/>
              </w:rPr>
            </w:pPr>
          </w:p>
        </w:tc>
        <w:tc>
          <w:tcPr>
            <w:tcW w:w="40" w:type="dxa"/>
            <w:vAlign w:val="bottom"/>
            <w:shd w:val="clear" w:color="auto" w:fill="B7E5FF"/>
          </w:tcPr>
          <w:p>
            <w:pPr>
              <w:spacing w:after="0"/>
              <w:rPr>
                <w:sz w:val="11"/>
                <w:szCs w:val="11"/>
                <w:color w:val="auto"/>
              </w:rPr>
            </w:pPr>
          </w:p>
        </w:tc>
        <w:tc>
          <w:tcPr>
            <w:tcW w:w="100" w:type="dxa"/>
            <w:vAlign w:val="bottom"/>
            <w:shd w:val="clear" w:color="auto" w:fill="B7E5FF"/>
          </w:tcPr>
          <w:p>
            <w:pPr>
              <w:spacing w:after="0"/>
              <w:rPr>
                <w:sz w:val="11"/>
                <w:szCs w:val="11"/>
                <w:color w:val="auto"/>
              </w:rPr>
            </w:pPr>
          </w:p>
        </w:tc>
        <w:tc>
          <w:tcPr>
            <w:tcW w:w="220" w:type="dxa"/>
            <w:vAlign w:val="bottom"/>
            <w:shd w:val="clear" w:color="auto" w:fill="B7E5FF"/>
          </w:tcPr>
          <w:p>
            <w:pPr>
              <w:spacing w:after="0"/>
              <w:rPr>
                <w:sz w:val="11"/>
                <w:szCs w:val="11"/>
                <w:color w:val="auto"/>
              </w:rPr>
            </w:pPr>
          </w:p>
        </w:tc>
        <w:tc>
          <w:tcPr>
            <w:tcW w:w="1120" w:type="dxa"/>
            <w:vAlign w:val="bottom"/>
            <w:shd w:val="clear" w:color="auto" w:fill="B7E5FF"/>
          </w:tcPr>
          <w:p>
            <w:pPr>
              <w:spacing w:after="0"/>
              <w:rPr>
                <w:sz w:val="11"/>
                <w:szCs w:val="11"/>
                <w:color w:val="auto"/>
              </w:rPr>
            </w:pPr>
          </w:p>
        </w:tc>
        <w:tc>
          <w:tcPr>
            <w:tcW w:w="100" w:type="dxa"/>
            <w:vAlign w:val="bottom"/>
            <w:shd w:val="clear" w:color="auto" w:fill="B7E5FF"/>
          </w:tcPr>
          <w:p>
            <w:pPr>
              <w:spacing w:after="0"/>
              <w:rPr>
                <w:sz w:val="11"/>
                <w:szCs w:val="11"/>
                <w:color w:val="auto"/>
              </w:rPr>
            </w:pPr>
          </w:p>
        </w:tc>
        <w:tc>
          <w:tcPr>
            <w:tcW w:w="920" w:type="dxa"/>
            <w:vAlign w:val="bottom"/>
            <w:shd w:val="clear" w:color="auto" w:fill="B7E5FF"/>
          </w:tcPr>
          <w:p>
            <w:pPr>
              <w:spacing w:after="0"/>
              <w:rPr>
                <w:sz w:val="11"/>
                <w:szCs w:val="11"/>
                <w:color w:val="auto"/>
              </w:rPr>
            </w:pPr>
          </w:p>
        </w:tc>
        <w:tc>
          <w:tcPr>
            <w:tcW w:w="420" w:type="dxa"/>
            <w:vAlign w:val="bottom"/>
            <w:shd w:val="clear" w:color="auto" w:fill="B7E5FF"/>
          </w:tcPr>
          <w:p>
            <w:pPr>
              <w:spacing w:after="0"/>
              <w:rPr>
                <w:sz w:val="11"/>
                <w:szCs w:val="11"/>
                <w:color w:val="auto"/>
              </w:rPr>
            </w:pPr>
          </w:p>
        </w:tc>
        <w:tc>
          <w:tcPr>
            <w:tcW w:w="120" w:type="dxa"/>
            <w:vAlign w:val="bottom"/>
            <w:shd w:val="clear" w:color="auto" w:fill="B7E5FF"/>
          </w:tcPr>
          <w:p>
            <w:pPr>
              <w:spacing w:after="0"/>
              <w:rPr>
                <w:sz w:val="11"/>
                <w:szCs w:val="11"/>
                <w:color w:val="auto"/>
              </w:rPr>
            </w:pPr>
          </w:p>
        </w:tc>
        <w:tc>
          <w:tcPr>
            <w:tcW w:w="220" w:type="dxa"/>
            <w:vAlign w:val="bottom"/>
            <w:shd w:val="clear" w:color="auto" w:fill="B7E5FF"/>
          </w:tcPr>
          <w:p>
            <w:pPr>
              <w:spacing w:after="0"/>
              <w:rPr>
                <w:sz w:val="11"/>
                <w:szCs w:val="11"/>
                <w:color w:val="auto"/>
              </w:rPr>
            </w:pPr>
          </w:p>
        </w:tc>
        <w:tc>
          <w:tcPr>
            <w:tcW w:w="1140" w:type="dxa"/>
            <w:vAlign w:val="bottom"/>
            <w:shd w:val="clear" w:color="auto" w:fill="B7E5FF"/>
          </w:tcPr>
          <w:p>
            <w:pPr>
              <w:spacing w:after="0"/>
              <w:rPr>
                <w:sz w:val="11"/>
                <w:szCs w:val="11"/>
                <w:color w:val="auto"/>
              </w:rPr>
            </w:pPr>
          </w:p>
        </w:tc>
      </w:tr>
      <w:tr>
        <w:trPr>
          <w:trHeight w:val="153"/>
        </w:trPr>
        <w:tc>
          <w:tcPr>
            <w:tcW w:w="20" w:type="dxa"/>
            <w:vAlign w:val="bottom"/>
            <w:tcBorders>
              <w:top w:val="single" w:sz="8" w:color="B7E5FF"/>
            </w:tcBorders>
          </w:tcPr>
          <w:p>
            <w:pPr>
              <w:spacing w:after="0"/>
              <w:rPr>
                <w:sz w:val="13"/>
                <w:szCs w:val="13"/>
                <w:color w:val="auto"/>
              </w:rPr>
            </w:pPr>
          </w:p>
        </w:tc>
        <w:tc>
          <w:tcPr>
            <w:tcW w:w="1580" w:type="dxa"/>
            <w:vAlign w:val="bottom"/>
            <w:tcBorders>
              <w:top w:val="single" w:sz="8" w:color="auto"/>
            </w:tcBorders>
            <w:gridSpan w:val="2"/>
          </w:tcPr>
          <w:p>
            <w:pPr>
              <w:spacing w:after="0"/>
              <w:rPr>
                <w:sz w:val="20"/>
                <w:szCs w:val="20"/>
                <w:color w:val="auto"/>
              </w:rPr>
            </w:pPr>
            <w:r>
              <w:rPr>
                <w:rFonts w:ascii="Arial" w:cs="Arial" w:eastAsia="Arial" w:hAnsi="Arial"/>
                <w:sz w:val="12"/>
                <w:szCs w:val="12"/>
                <w:color w:val="auto"/>
                <w:w w:val="95"/>
              </w:rPr>
              <w:t>Product sales at a point in time</w:t>
            </w:r>
          </w:p>
        </w:tc>
        <w:tc>
          <w:tcPr>
            <w:tcW w:w="2760" w:type="dxa"/>
            <w:vAlign w:val="bottom"/>
            <w:tcBorders>
              <w:top w:val="single" w:sz="8" w:color="B7E5FF"/>
            </w:tcBorders>
          </w:tcPr>
          <w:p>
            <w:pPr>
              <w:spacing w:after="0"/>
              <w:rPr>
                <w:sz w:val="13"/>
                <w:szCs w:val="13"/>
                <w:color w:val="auto"/>
              </w:rPr>
            </w:pPr>
          </w:p>
        </w:tc>
        <w:tc>
          <w:tcPr>
            <w:tcW w:w="280" w:type="dxa"/>
            <w:vAlign w:val="bottom"/>
            <w:tcBorders>
              <w:top w:val="single" w:sz="8" w:color="B7E5FF"/>
            </w:tcBorders>
          </w:tcPr>
          <w:p>
            <w:pPr>
              <w:jc w:val="right"/>
              <w:ind w:right="120"/>
              <w:spacing w:after="0"/>
              <w:rPr>
                <w:sz w:val="20"/>
                <w:szCs w:val="20"/>
                <w:color w:val="auto"/>
              </w:rPr>
            </w:pPr>
            <w:r>
              <w:rPr>
                <w:rFonts w:ascii="Arial" w:cs="Arial" w:eastAsia="Arial" w:hAnsi="Arial"/>
                <w:sz w:val="12"/>
                <w:szCs w:val="12"/>
                <w:color w:val="auto"/>
              </w:rPr>
              <w:t>$</w:t>
            </w:r>
          </w:p>
        </w:tc>
        <w:tc>
          <w:tcPr>
            <w:tcW w:w="1000" w:type="dxa"/>
            <w:vAlign w:val="bottom"/>
            <w:tcBorders>
              <w:top w:val="single" w:sz="8" w:color="B7E5FF"/>
            </w:tcBorders>
          </w:tcPr>
          <w:p>
            <w:pPr>
              <w:jc w:val="right"/>
              <w:spacing w:after="0"/>
              <w:rPr>
                <w:sz w:val="20"/>
                <w:szCs w:val="20"/>
                <w:color w:val="auto"/>
              </w:rPr>
            </w:pPr>
            <w:r>
              <w:rPr>
                <w:rFonts w:ascii="Arial" w:cs="Arial" w:eastAsia="Arial" w:hAnsi="Arial"/>
                <w:sz w:val="12"/>
                <w:szCs w:val="12"/>
                <w:color w:val="auto"/>
              </w:rPr>
              <w:t>183,548</w:t>
            </w:r>
          </w:p>
        </w:tc>
        <w:tc>
          <w:tcPr>
            <w:tcW w:w="440" w:type="dxa"/>
            <w:vAlign w:val="bottom"/>
            <w:tcBorders>
              <w:top w:val="single" w:sz="8" w:color="B7E5FF"/>
            </w:tcBorders>
            <w:gridSpan w:val="3"/>
          </w:tcPr>
          <w:p>
            <w:pPr>
              <w:jc w:val="right"/>
              <w:ind w:right="140"/>
              <w:spacing w:after="0"/>
              <w:rPr>
                <w:sz w:val="20"/>
                <w:szCs w:val="20"/>
                <w:color w:val="auto"/>
              </w:rPr>
            </w:pPr>
            <w:r>
              <w:rPr>
                <w:rFonts w:ascii="Arial" w:cs="Arial" w:eastAsia="Arial" w:hAnsi="Arial"/>
                <w:sz w:val="12"/>
                <w:szCs w:val="12"/>
                <w:color w:val="auto"/>
              </w:rPr>
              <w:t>$</w:t>
            </w:r>
          </w:p>
        </w:tc>
        <w:tc>
          <w:tcPr>
            <w:tcW w:w="1000" w:type="dxa"/>
            <w:vAlign w:val="bottom"/>
            <w:tcBorders>
              <w:top w:val="single" w:sz="8" w:color="B7E5FF"/>
            </w:tcBorders>
          </w:tcPr>
          <w:p>
            <w:pPr>
              <w:jc w:val="right"/>
              <w:spacing w:after="0"/>
              <w:rPr>
                <w:sz w:val="20"/>
                <w:szCs w:val="20"/>
                <w:color w:val="auto"/>
              </w:rPr>
            </w:pPr>
            <w:r>
              <w:rPr>
                <w:rFonts w:ascii="Arial" w:cs="Arial" w:eastAsia="Arial" w:hAnsi="Arial"/>
                <w:sz w:val="12"/>
                <w:szCs w:val="12"/>
                <w:color w:val="auto"/>
              </w:rPr>
              <w:t>122,109</w:t>
            </w:r>
          </w:p>
        </w:tc>
        <w:tc>
          <w:tcPr>
            <w:tcW w:w="360" w:type="dxa"/>
            <w:vAlign w:val="bottom"/>
            <w:tcBorders>
              <w:top w:val="single" w:sz="8" w:color="B7E5FF"/>
            </w:tcBorders>
            <w:gridSpan w:val="3"/>
          </w:tcPr>
          <w:p>
            <w:pPr>
              <w:jc w:val="right"/>
              <w:ind w:right="80"/>
              <w:spacing w:after="0"/>
              <w:rPr>
                <w:sz w:val="20"/>
                <w:szCs w:val="20"/>
                <w:color w:val="auto"/>
              </w:rPr>
            </w:pPr>
            <w:r>
              <w:rPr>
                <w:rFonts w:ascii="Arial" w:cs="Arial" w:eastAsia="Arial" w:hAnsi="Arial"/>
                <w:sz w:val="12"/>
                <w:szCs w:val="12"/>
                <w:color w:val="auto"/>
              </w:rPr>
              <w:t>$</w:t>
            </w:r>
          </w:p>
        </w:tc>
        <w:tc>
          <w:tcPr>
            <w:tcW w:w="1120" w:type="dxa"/>
            <w:vAlign w:val="bottom"/>
            <w:tcBorders>
              <w:top w:val="single" w:sz="8" w:color="B7E5FF"/>
            </w:tcBorders>
          </w:tcPr>
          <w:p>
            <w:pPr>
              <w:jc w:val="right"/>
              <w:spacing w:after="0"/>
              <w:rPr>
                <w:sz w:val="20"/>
                <w:szCs w:val="20"/>
                <w:color w:val="auto"/>
              </w:rPr>
            </w:pPr>
            <w:r>
              <w:rPr>
                <w:rFonts w:ascii="Arial" w:cs="Arial" w:eastAsia="Arial" w:hAnsi="Arial"/>
                <w:sz w:val="12"/>
                <w:szCs w:val="12"/>
                <w:color w:val="auto"/>
              </w:rPr>
              <w:t>99,865</w:t>
            </w:r>
          </w:p>
        </w:tc>
        <w:tc>
          <w:tcPr>
            <w:tcW w:w="100" w:type="dxa"/>
            <w:vAlign w:val="bottom"/>
            <w:tcBorders>
              <w:top w:val="single" w:sz="8" w:color="B7E5FF"/>
            </w:tcBorders>
          </w:tcPr>
          <w:p>
            <w:pPr>
              <w:spacing w:after="0"/>
              <w:rPr>
                <w:sz w:val="13"/>
                <w:szCs w:val="13"/>
                <w:color w:val="auto"/>
              </w:rPr>
            </w:pPr>
          </w:p>
        </w:tc>
        <w:tc>
          <w:tcPr>
            <w:tcW w:w="920" w:type="dxa"/>
            <w:vAlign w:val="bottom"/>
            <w:tcBorders>
              <w:top w:val="single" w:sz="8" w:color="B7E5FF"/>
            </w:tcBorders>
          </w:tcPr>
          <w:p>
            <w:pPr>
              <w:jc w:val="right"/>
              <w:ind w:right="780"/>
              <w:spacing w:after="0"/>
              <w:rPr>
                <w:sz w:val="20"/>
                <w:szCs w:val="20"/>
                <w:color w:val="auto"/>
              </w:rPr>
            </w:pPr>
            <w:r>
              <w:rPr>
                <w:rFonts w:ascii="Arial" w:cs="Arial" w:eastAsia="Arial" w:hAnsi="Arial"/>
                <w:sz w:val="12"/>
                <w:szCs w:val="12"/>
                <w:color w:val="auto"/>
                <w:w w:val="89"/>
              </w:rPr>
              <w:t>$</w:t>
            </w:r>
          </w:p>
        </w:tc>
        <w:tc>
          <w:tcPr>
            <w:tcW w:w="420" w:type="dxa"/>
            <w:vAlign w:val="bottom"/>
            <w:tcBorders>
              <w:top w:val="single" w:sz="8" w:color="B7E5FF"/>
            </w:tcBorders>
          </w:tcPr>
          <w:p>
            <w:pPr>
              <w:jc w:val="right"/>
              <w:spacing w:after="0"/>
              <w:rPr>
                <w:sz w:val="20"/>
                <w:szCs w:val="20"/>
                <w:color w:val="auto"/>
              </w:rPr>
            </w:pPr>
            <w:r>
              <w:rPr>
                <w:rFonts w:ascii="Arial" w:cs="Arial" w:eastAsia="Arial" w:hAnsi="Arial"/>
                <w:sz w:val="12"/>
                <w:szCs w:val="12"/>
                <w:color w:val="auto"/>
                <w:w w:val="92"/>
              </w:rPr>
              <w:t>18,306</w:t>
            </w:r>
          </w:p>
        </w:tc>
        <w:tc>
          <w:tcPr>
            <w:tcW w:w="120" w:type="dxa"/>
            <w:vAlign w:val="bottom"/>
            <w:tcBorders>
              <w:top w:val="single" w:sz="8" w:color="B7E5FF"/>
            </w:tcBorders>
          </w:tcPr>
          <w:p>
            <w:pPr>
              <w:spacing w:after="0"/>
              <w:rPr>
                <w:sz w:val="13"/>
                <w:szCs w:val="13"/>
                <w:color w:val="auto"/>
              </w:rPr>
            </w:pPr>
          </w:p>
        </w:tc>
        <w:tc>
          <w:tcPr>
            <w:tcW w:w="220" w:type="dxa"/>
            <w:vAlign w:val="bottom"/>
            <w:tcBorders>
              <w:top w:val="single" w:sz="8" w:color="B7E5FF"/>
            </w:tcBorders>
          </w:tcPr>
          <w:p>
            <w:pPr>
              <w:jc w:val="right"/>
              <w:ind w:right="80"/>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B7E5FF"/>
            </w:tcBorders>
          </w:tcPr>
          <w:p>
            <w:pPr>
              <w:jc w:val="right"/>
              <w:spacing w:after="0"/>
              <w:rPr>
                <w:sz w:val="20"/>
                <w:szCs w:val="20"/>
                <w:color w:val="auto"/>
              </w:rPr>
            </w:pPr>
            <w:r>
              <w:rPr>
                <w:rFonts w:ascii="Arial" w:cs="Arial" w:eastAsia="Arial" w:hAnsi="Arial"/>
                <w:sz w:val="12"/>
                <w:szCs w:val="12"/>
                <w:color w:val="auto"/>
              </w:rPr>
              <w:t>423,828</w:t>
            </w:r>
          </w:p>
        </w:tc>
      </w:tr>
      <w:tr>
        <w:trPr>
          <w:trHeight w:val="153"/>
        </w:trPr>
        <w:tc>
          <w:tcPr>
            <w:tcW w:w="20" w:type="dxa"/>
            <w:vAlign w:val="bottom"/>
            <w:shd w:val="clear" w:color="auto" w:fill="B7E5FF"/>
          </w:tcPr>
          <w:p>
            <w:pPr>
              <w:spacing w:after="0"/>
              <w:rPr>
                <w:sz w:val="13"/>
                <w:szCs w:val="13"/>
                <w:color w:val="auto"/>
              </w:rPr>
            </w:pPr>
          </w:p>
        </w:tc>
        <w:tc>
          <w:tcPr>
            <w:tcW w:w="4340" w:type="dxa"/>
            <w:vAlign w:val="bottom"/>
            <w:gridSpan w:val="3"/>
            <w:shd w:val="clear" w:color="auto" w:fill="B7E5FF"/>
          </w:tcPr>
          <w:p>
            <w:pPr>
              <w:spacing w:after="0"/>
              <w:rPr>
                <w:sz w:val="20"/>
                <w:szCs w:val="20"/>
                <w:color w:val="auto"/>
              </w:rPr>
            </w:pPr>
            <w:r>
              <w:rPr>
                <w:rFonts w:ascii="Arial" w:cs="Arial" w:eastAsia="Arial" w:hAnsi="Arial"/>
                <w:sz w:val="12"/>
                <w:szCs w:val="12"/>
                <w:color w:val="auto"/>
              </w:rPr>
              <w:t>Services transferred over time</w:t>
            </w:r>
          </w:p>
        </w:tc>
        <w:tc>
          <w:tcPr>
            <w:tcW w:w="280" w:type="dxa"/>
            <w:vAlign w:val="bottom"/>
            <w:tcBorders>
              <w:bottom w:val="single" w:sz="8" w:color="auto"/>
            </w:tcBorders>
            <w:shd w:val="clear" w:color="auto" w:fill="B7E5FF"/>
          </w:tcPr>
          <w:p>
            <w:pPr>
              <w:spacing w:after="0"/>
              <w:rPr>
                <w:sz w:val="13"/>
                <w:szCs w:val="13"/>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5,664</w:t>
            </w:r>
          </w:p>
        </w:tc>
        <w:tc>
          <w:tcPr>
            <w:tcW w:w="40" w:type="dxa"/>
            <w:vAlign w:val="bottom"/>
            <w:tcBorders>
              <w:bottom w:val="single" w:sz="8" w:color="auto"/>
            </w:tcBorders>
            <w:shd w:val="clear" w:color="auto" w:fill="B7E5FF"/>
          </w:tcPr>
          <w:p>
            <w:pPr>
              <w:spacing w:after="0"/>
              <w:rPr>
                <w:sz w:val="13"/>
                <w:szCs w:val="13"/>
                <w:color w:val="auto"/>
              </w:rPr>
            </w:pPr>
          </w:p>
        </w:tc>
        <w:tc>
          <w:tcPr>
            <w:tcW w:w="120" w:type="dxa"/>
            <w:vAlign w:val="bottom"/>
            <w:shd w:val="clear" w:color="auto" w:fill="B7E5FF"/>
          </w:tcPr>
          <w:p>
            <w:pPr>
              <w:spacing w:after="0"/>
              <w:rPr>
                <w:sz w:val="13"/>
                <w:szCs w:val="13"/>
                <w:color w:val="auto"/>
              </w:rPr>
            </w:pPr>
          </w:p>
        </w:tc>
        <w:tc>
          <w:tcPr>
            <w:tcW w:w="280" w:type="dxa"/>
            <w:vAlign w:val="bottom"/>
            <w:tcBorders>
              <w:bottom w:val="single" w:sz="8" w:color="auto"/>
            </w:tcBorders>
            <w:shd w:val="clear" w:color="auto" w:fill="B7E5FF"/>
          </w:tcPr>
          <w:p>
            <w:pPr>
              <w:spacing w:after="0"/>
              <w:rPr>
                <w:sz w:val="13"/>
                <w:szCs w:val="13"/>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112</w:t>
            </w:r>
          </w:p>
        </w:tc>
        <w:tc>
          <w:tcPr>
            <w:tcW w:w="40" w:type="dxa"/>
            <w:vAlign w:val="bottom"/>
            <w:tcBorders>
              <w:bottom w:val="single" w:sz="8" w:color="auto"/>
            </w:tcBorders>
            <w:shd w:val="clear" w:color="auto" w:fill="B7E5FF"/>
          </w:tcPr>
          <w:p>
            <w:pPr>
              <w:spacing w:after="0"/>
              <w:rPr>
                <w:sz w:val="13"/>
                <w:szCs w:val="13"/>
                <w:color w:val="auto"/>
              </w:rPr>
            </w:pPr>
          </w:p>
        </w:tc>
        <w:tc>
          <w:tcPr>
            <w:tcW w:w="100" w:type="dxa"/>
            <w:vAlign w:val="bottom"/>
            <w:shd w:val="clear" w:color="auto" w:fill="B7E5FF"/>
          </w:tcPr>
          <w:p>
            <w:pPr>
              <w:spacing w:after="0"/>
              <w:rPr>
                <w:sz w:val="13"/>
                <w:szCs w:val="13"/>
                <w:color w:val="auto"/>
              </w:rPr>
            </w:pPr>
          </w:p>
        </w:tc>
        <w:tc>
          <w:tcPr>
            <w:tcW w:w="220" w:type="dxa"/>
            <w:vAlign w:val="bottom"/>
            <w:tcBorders>
              <w:bottom w:val="single" w:sz="8" w:color="auto"/>
            </w:tcBorders>
            <w:shd w:val="clear" w:color="auto" w:fill="B7E5FF"/>
          </w:tcPr>
          <w:p>
            <w:pPr>
              <w:spacing w:after="0"/>
              <w:rPr>
                <w:sz w:val="13"/>
                <w:szCs w:val="13"/>
                <w:color w:val="auto"/>
              </w:rPr>
            </w:pPr>
          </w:p>
        </w:tc>
        <w:tc>
          <w:tcPr>
            <w:tcW w:w="1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4,260</w:t>
            </w:r>
          </w:p>
        </w:tc>
        <w:tc>
          <w:tcPr>
            <w:tcW w:w="100" w:type="dxa"/>
            <w:vAlign w:val="bottom"/>
            <w:shd w:val="clear" w:color="auto" w:fill="B7E5FF"/>
          </w:tcPr>
          <w:p>
            <w:pPr>
              <w:spacing w:after="0"/>
              <w:rPr>
                <w:sz w:val="13"/>
                <w:szCs w:val="13"/>
                <w:color w:val="auto"/>
              </w:rPr>
            </w:pPr>
          </w:p>
        </w:tc>
        <w:tc>
          <w:tcPr>
            <w:tcW w:w="920" w:type="dxa"/>
            <w:vAlign w:val="bottom"/>
            <w:tcBorders>
              <w:bottom w:val="single" w:sz="8" w:color="auto"/>
            </w:tcBorders>
            <w:shd w:val="clear" w:color="auto" w:fill="B7E5FF"/>
          </w:tcPr>
          <w:p>
            <w:pPr>
              <w:spacing w:after="0"/>
              <w:rPr>
                <w:sz w:val="13"/>
                <w:szCs w:val="13"/>
                <w:color w:val="auto"/>
              </w:rPr>
            </w:pPr>
          </w:p>
        </w:tc>
        <w:tc>
          <w:tcPr>
            <w:tcW w:w="4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153</w:t>
            </w:r>
          </w:p>
        </w:tc>
        <w:tc>
          <w:tcPr>
            <w:tcW w:w="120" w:type="dxa"/>
            <w:vAlign w:val="bottom"/>
            <w:shd w:val="clear" w:color="auto" w:fill="B7E5FF"/>
          </w:tcPr>
          <w:p>
            <w:pPr>
              <w:spacing w:after="0"/>
              <w:rPr>
                <w:sz w:val="13"/>
                <w:szCs w:val="13"/>
                <w:color w:val="auto"/>
              </w:rPr>
            </w:pPr>
          </w:p>
        </w:tc>
        <w:tc>
          <w:tcPr>
            <w:tcW w:w="220" w:type="dxa"/>
            <w:vAlign w:val="bottom"/>
            <w:tcBorders>
              <w:bottom w:val="single" w:sz="8" w:color="auto"/>
            </w:tcBorders>
            <w:shd w:val="clear" w:color="auto" w:fill="B7E5FF"/>
          </w:tcPr>
          <w:p>
            <w:pPr>
              <w:spacing w:after="0"/>
              <w:rPr>
                <w:sz w:val="13"/>
                <w:szCs w:val="13"/>
                <w:color w:val="auto"/>
              </w:rPr>
            </w:pP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10,189</w:t>
            </w:r>
          </w:p>
        </w:tc>
      </w:tr>
      <w:tr>
        <w:trPr>
          <w:trHeight w:val="140"/>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80" w:type="dxa"/>
            <w:vAlign w:val="bottom"/>
            <w:tcBorders>
              <w:bottom w:val="single" w:sz="8" w:color="auto"/>
            </w:tcBorders>
          </w:tcPr>
          <w:p>
            <w:pPr>
              <w:jc w:val="right"/>
              <w:ind w:right="120"/>
              <w:spacing w:after="0" w:line="133" w:lineRule="exact"/>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189,212</w:t>
            </w:r>
          </w:p>
        </w:tc>
        <w:tc>
          <w:tcPr>
            <w:tcW w:w="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bottom w:val="single" w:sz="8" w:color="auto"/>
            </w:tcBorders>
          </w:tcPr>
          <w:p>
            <w:pPr>
              <w:jc w:val="right"/>
              <w:ind w:right="140"/>
              <w:spacing w:after="0" w:line="133" w:lineRule="exact"/>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122,221</w:t>
            </w:r>
          </w:p>
        </w:tc>
        <w:tc>
          <w:tcPr>
            <w:tcW w:w="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104,125</w:t>
            </w:r>
          </w:p>
        </w:tc>
        <w:tc>
          <w:tcPr>
            <w:tcW w:w="100" w:type="dxa"/>
            <w:vAlign w:val="bottom"/>
          </w:tcPr>
          <w:p>
            <w:pPr>
              <w:spacing w:after="0"/>
              <w:rPr>
                <w:sz w:val="12"/>
                <w:szCs w:val="12"/>
                <w:color w:val="auto"/>
              </w:rPr>
            </w:pPr>
          </w:p>
        </w:tc>
        <w:tc>
          <w:tcPr>
            <w:tcW w:w="920" w:type="dxa"/>
            <w:vAlign w:val="bottom"/>
            <w:tcBorders>
              <w:bottom w:val="single" w:sz="8" w:color="auto"/>
            </w:tcBorders>
          </w:tcPr>
          <w:p>
            <w:pPr>
              <w:jc w:val="right"/>
              <w:ind w:right="780"/>
              <w:spacing w:after="0" w:line="133" w:lineRule="exact"/>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92"/>
              </w:rPr>
              <w:t>18,459</w:t>
            </w:r>
          </w:p>
        </w:tc>
        <w:tc>
          <w:tcPr>
            <w:tcW w:w="12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434,017</w:t>
            </w:r>
          </w:p>
        </w:tc>
      </w:tr>
      <w:tr>
        <w:trPr>
          <w:trHeight w:val="144"/>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74"/>
              </w:rPr>
              <w:t>12</w:t>
            </w: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72"/>
        </w:trPr>
        <w:tc>
          <w:tcPr>
            <w:tcW w:w="2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27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-23495</wp:posOffset>
            </wp:positionV>
            <wp:extent cx="3111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13" w:name="page14"/>
    <w:bookmarkEnd w:id="13"/>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5 – Leases</w:t>
      </w:r>
    </w:p>
    <w:p>
      <w:pPr>
        <w:spacing w:after="0" w:line="298" w:lineRule="exact"/>
        <w:rPr>
          <w:sz w:val="20"/>
          <w:szCs w:val="20"/>
          <w:color w:val="auto"/>
        </w:rPr>
      </w:pPr>
    </w:p>
    <w:p>
      <w:pPr>
        <w:ind w:right="180" w:firstLine="216"/>
        <w:spacing w:after="0" w:line="263" w:lineRule="auto"/>
        <w:rPr>
          <w:sz w:val="20"/>
          <w:szCs w:val="20"/>
          <w:color w:val="auto"/>
        </w:rPr>
      </w:pPr>
      <w:r>
        <w:rPr>
          <w:rFonts w:ascii="Arial" w:cs="Arial" w:eastAsia="Arial" w:hAnsi="Arial"/>
          <w:sz w:val="12"/>
          <w:szCs w:val="12"/>
          <w:color w:val="auto"/>
        </w:rPr>
        <w:t>The Company determines if an arrangement is a lease at its inception. This determination generally depends on whether the arrangement conveys the right to control the use of an identified fixed asset explicitly or implicitly for a period of time in exchange for consideration. Control of an underlying asset is conveyed if the Company obtains the rights to direct the use of, and to obtain substantially all of the economic benefits from the use of, the underlying asset. Lease expense for variable leases and short-term leases is recognized when the obligation is incurred.</w:t>
      </w:r>
    </w:p>
    <w:p>
      <w:pPr>
        <w:spacing w:after="0" w:line="51" w:lineRule="exact"/>
        <w:rPr>
          <w:sz w:val="20"/>
          <w:szCs w:val="20"/>
          <w:color w:val="auto"/>
        </w:rPr>
      </w:pPr>
    </w:p>
    <w:p>
      <w:pPr>
        <w:ind w:right="60" w:firstLine="216"/>
        <w:spacing w:after="0" w:line="281" w:lineRule="auto"/>
        <w:rPr>
          <w:sz w:val="20"/>
          <w:szCs w:val="20"/>
          <w:color w:val="auto"/>
        </w:rPr>
      </w:pPr>
      <w:r>
        <w:rPr>
          <w:rFonts w:ascii="Arial" w:cs="Arial" w:eastAsia="Arial" w:hAnsi="Arial"/>
          <w:sz w:val="11"/>
          <w:szCs w:val="11"/>
          <w:color w:val="auto"/>
        </w:rPr>
        <w:t>The Company has operating leases for certain facilities, vehicles and machinery and equipment with remaining lease terms up to 8 years. In addition, the Company has certain land use leases with remaining lease terms up to 96 years. The lease term for all of the Company’s leases includes the non-cancellable period of the lease plus any additional periods covered by an option to extend the lease that the Company is reasonably certain it will exercise. Operating leases are included in right of use lease assets, other current liabilities and long-term lease liabilities on the Condensed Consolidated Balance Sheet. Right of use lease assets and liabilities are recognized at each lease’s commencement date based on the present value of its lease payments over its respective lease term. The Company uses the stated borrowing rate for a lease when readily determinable. When a stated borrowing rate is not available in a lease agreement, the Company uses its incremental borrowing rate based on information available at the lease’s commencement date to determine the present value of its lease payments. In determining the incremental borrowing rate used to present value each of its leases, the Company considers certain information including fully secured borrowing rates readily available to the Company and its subsidiaries. The Company has one immaterial finance lease, which is included in property, plant and equipment, current portion of long-term debt and long-term debt on the Condensed Consolidated Balance Sheet.</w:t>
      </w:r>
    </w:p>
    <w:p>
      <w:pPr>
        <w:spacing w:after="0" w:line="44" w:lineRule="exact"/>
        <w:rPr>
          <w:sz w:val="20"/>
          <w:szCs w:val="20"/>
          <w:color w:val="auto"/>
        </w:rPr>
      </w:pPr>
    </w:p>
    <w:p>
      <w:pPr>
        <w:ind w:right="20" w:firstLine="216"/>
        <w:spacing w:after="0" w:line="259" w:lineRule="auto"/>
        <w:rPr>
          <w:sz w:val="20"/>
          <w:szCs w:val="20"/>
          <w:color w:val="auto"/>
        </w:rPr>
      </w:pPr>
      <w:r>
        <w:rPr>
          <w:rFonts w:ascii="Arial" w:cs="Arial" w:eastAsia="Arial" w:hAnsi="Arial"/>
          <w:sz w:val="12"/>
          <w:szCs w:val="12"/>
          <w:color w:val="auto"/>
        </w:rPr>
        <w:t>Operating lease expense is recognized on a straight-line basis over the lease term. Operating lease expense for the three and six months ended June 30, 2019 was $1.7 million and $3.5 million, respectively. Short-term lease expense for the three and six months ended June 30, 2019 was $0.2 million and $0.3 million, respectively. The Company has no material variable lease costs or sublease income for the three or six months ended June 30, 2019. Cash paid for operating leases during the six months ended June 30, 2019 was $3.4 million. Subsequent to the Company’s adoption of the new lease accounting guidance on January 1, 2019, the Company recorded new right of use lease assets and associated lease liabilities of $0.8 million during the six months ended June 30, 2019.</w:t>
      </w:r>
    </w:p>
    <w:p>
      <w:pPr>
        <w:sectPr>
          <w:pgSz w:w="11900" w:h="16838" w:orient="portrait"/>
          <w:cols w:equalWidth="0" w:num="1">
            <w:col w:w="11480"/>
          </w:cols>
          <w:pgMar w:left="220" w:top="127" w:right="199" w:bottom="1440" w:gutter="0" w:footer="0" w:header="0"/>
        </w:sectPr>
      </w:pPr>
    </w:p>
    <w:p>
      <w:pPr>
        <w:spacing w:after="0" w:line="53" w:lineRule="exact"/>
        <w:rPr>
          <w:sz w:val="20"/>
          <w:szCs w:val="20"/>
          <w:color w:val="auto"/>
        </w:rPr>
      </w:pPr>
    </w:p>
    <w:p>
      <w:pPr>
        <w:ind w:left="200"/>
        <w:spacing w:after="0"/>
        <w:rPr>
          <w:sz w:val="20"/>
          <w:szCs w:val="20"/>
          <w:color w:val="auto"/>
        </w:rPr>
      </w:pPr>
      <w:r>
        <w:rPr>
          <w:rFonts w:ascii="Arial" w:cs="Arial" w:eastAsia="Arial" w:hAnsi="Arial"/>
          <w:sz w:val="10"/>
          <w:szCs w:val="10"/>
          <w:color w:val="auto"/>
        </w:rPr>
        <w:t>Supplemental balance sheet information related to the Company’s leases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539115</wp:posOffset>
            </wp:positionV>
            <wp:extent cx="6925945" cy="971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25945" cy="97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80"/>
        <w:spacing w:after="0"/>
        <w:rPr>
          <w:sz w:val="20"/>
          <w:szCs w:val="20"/>
          <w:color w:val="auto"/>
        </w:rPr>
      </w:pPr>
      <w:r>
        <w:rPr>
          <w:rFonts w:ascii="Arial" w:cs="Arial" w:eastAsia="Arial" w:hAnsi="Arial"/>
          <w:sz w:val="12"/>
          <w:szCs w:val="12"/>
          <w:color w:val="auto"/>
        </w:rPr>
        <w:t>Right of use lease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106680</wp:posOffset>
            </wp:positionV>
            <wp:extent cx="6925945" cy="971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5945" cy="97155"/>
                    </a:xfrm>
                    <a:prstGeom prst="rect">
                      <a:avLst/>
                    </a:prstGeom>
                    <a:noFill/>
                  </pic:spPr>
                </pic:pic>
              </a:graphicData>
            </a:graphic>
          </wp:anchor>
        </w:drawing>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12"/>
          <w:szCs w:val="12"/>
          <w:color w:val="auto"/>
        </w:rPr>
        <w:t>Other current liabilities</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2"/>
          <w:szCs w:val="12"/>
          <w:color w:val="auto"/>
        </w:rPr>
        <w:t>Long-term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9525</wp:posOffset>
            </wp:positionV>
            <wp:extent cx="6925945" cy="1028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25945" cy="102870"/>
                    </a:xfrm>
                    <a:prstGeom prst="rect">
                      <a:avLst/>
                    </a:prstGeom>
                    <a:noFill/>
                  </pic:spPr>
                </pic:pic>
              </a:graphicData>
            </a:graphic>
          </wp:anchor>
        </w:drawing>
      </w:r>
    </w:p>
    <w:p>
      <w:pPr>
        <w:spacing w:after="0" w:line="4"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112395</wp:posOffset>
            </wp:positionV>
            <wp:extent cx="6925945" cy="971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25945" cy="97155"/>
                    </a:xfrm>
                    <a:prstGeom prst="rect">
                      <a:avLst/>
                    </a:prstGeom>
                    <a:noFill/>
                  </pic:spPr>
                </pic:pic>
              </a:graphicData>
            </a:graphic>
          </wp:anchor>
        </w:drawing>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2"/>
          <w:szCs w:val="12"/>
          <w:color w:val="auto"/>
        </w:rPr>
        <w:t>Weighted average remaining lease term (years)</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2"/>
          <w:szCs w:val="12"/>
          <w:color w:val="auto"/>
        </w:rPr>
        <w:t>Weighted average discount rate</w:t>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Maturities of operating lease liabilities as of June 30, 2019 were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June 30,</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2019</w:t>
      </w:r>
    </w:p>
    <w:p>
      <w:pPr>
        <w:spacing w:after="0" w:line="15" w:lineRule="exact"/>
        <w:rPr>
          <w:sz w:val="20"/>
          <w:szCs w:val="20"/>
          <w:color w:val="auto"/>
        </w:rPr>
      </w:pPr>
    </w:p>
    <w:p>
      <w:pPr>
        <w:ind w:left="1000" w:hanging="994"/>
        <w:spacing w:after="0"/>
        <w:tabs>
          <w:tab w:leader="none" w:pos="1000" w:val="left"/>
        </w:tabs>
        <w:numPr>
          <w:ilvl w:val="0"/>
          <w:numId w:val="2"/>
        </w:numPr>
        <w:rPr>
          <w:rFonts w:ascii="Arial" w:cs="Arial" w:eastAsia="Arial" w:hAnsi="Arial"/>
          <w:sz w:val="11"/>
          <w:szCs w:val="11"/>
          <w:color w:val="auto"/>
        </w:rPr>
      </w:pPr>
      <w:r>
        <w:rPr>
          <w:rFonts w:ascii="Arial" w:cs="Arial" w:eastAsia="Arial" w:hAnsi="Arial"/>
          <w:sz w:val="11"/>
          <w:szCs w:val="11"/>
          <w:color w:val="auto"/>
        </w:rPr>
        <w:t>24,828</w:t>
      </w:r>
    </w:p>
    <w:p>
      <w:pPr>
        <w:spacing w:after="0" w:line="180" w:lineRule="exact"/>
        <w:rPr>
          <w:sz w:val="20"/>
          <w:szCs w:val="20"/>
          <w:color w:val="auto"/>
        </w:rPr>
      </w:pPr>
    </w:p>
    <w:p>
      <w:pPr>
        <w:ind w:left="1060"/>
        <w:spacing w:after="0"/>
        <w:rPr>
          <w:sz w:val="20"/>
          <w:szCs w:val="20"/>
          <w:color w:val="auto"/>
        </w:rPr>
      </w:pPr>
      <w:r>
        <w:rPr>
          <w:rFonts w:ascii="Arial" w:cs="Arial" w:eastAsia="Arial" w:hAnsi="Arial"/>
          <w:sz w:val="11"/>
          <w:szCs w:val="11"/>
          <w:color w:val="auto"/>
        </w:rPr>
        <w:t>5,107</w:t>
      </w:r>
    </w:p>
    <w:p>
      <w:pPr>
        <w:spacing w:after="0" w:line="27" w:lineRule="exact"/>
        <w:rPr>
          <w:sz w:val="20"/>
          <w:szCs w:val="20"/>
          <w:color w:val="auto"/>
        </w:rPr>
      </w:pPr>
    </w:p>
    <w:p>
      <w:pPr>
        <w:ind w:left="1000"/>
        <w:spacing w:after="0"/>
        <w:rPr>
          <w:sz w:val="20"/>
          <w:szCs w:val="20"/>
          <w:color w:val="auto"/>
        </w:rPr>
      </w:pPr>
      <w:r>
        <w:rPr>
          <w:rFonts w:ascii="Arial" w:cs="Arial" w:eastAsia="Arial" w:hAnsi="Arial"/>
          <w:sz w:val="11"/>
          <w:szCs w:val="11"/>
          <w:color w:val="auto"/>
        </w:rPr>
        <w:t>19,192</w:t>
      </w:r>
    </w:p>
    <w:p>
      <w:pPr>
        <w:spacing w:after="0" w:line="27" w:lineRule="exact"/>
        <w:rPr>
          <w:sz w:val="20"/>
          <w:szCs w:val="20"/>
          <w:color w:val="auto"/>
        </w:rPr>
      </w:pPr>
    </w:p>
    <w:p>
      <w:pPr>
        <w:ind w:left="1000" w:hanging="994"/>
        <w:spacing w:after="0"/>
        <w:tabs>
          <w:tab w:leader="none" w:pos="1000" w:val="left"/>
        </w:tabs>
        <w:numPr>
          <w:ilvl w:val="0"/>
          <w:numId w:val="3"/>
        </w:numPr>
        <w:rPr>
          <w:rFonts w:ascii="Arial" w:cs="Arial" w:eastAsia="Arial" w:hAnsi="Arial"/>
          <w:sz w:val="11"/>
          <w:szCs w:val="11"/>
          <w:color w:val="auto"/>
        </w:rPr>
      </w:pPr>
      <w:r>
        <w:rPr>
          <w:rFonts w:ascii="Arial" w:cs="Arial" w:eastAsia="Arial" w:hAnsi="Arial"/>
          <w:sz w:val="11"/>
          <w:szCs w:val="11"/>
          <w:color w:val="auto"/>
        </w:rPr>
        <w:t>24,299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28575</wp:posOffset>
            </wp:positionV>
            <wp:extent cx="87503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75030" cy="5715"/>
                    </a:xfrm>
                    <a:prstGeom prst="rect">
                      <a:avLst/>
                    </a:prstGeom>
                    <a:noFill/>
                  </pic:spPr>
                </pic:pic>
              </a:graphicData>
            </a:graphic>
          </wp:anchor>
        </w:drawing>
      </w:r>
    </w:p>
    <w:p>
      <w:pPr>
        <w:spacing w:after="0" w:line="178" w:lineRule="exact"/>
        <w:rPr>
          <w:sz w:val="20"/>
          <w:szCs w:val="20"/>
          <w:color w:val="auto"/>
        </w:rPr>
      </w:pPr>
    </w:p>
    <w:p>
      <w:pPr>
        <w:jc w:val="right"/>
        <w:ind w:right="40"/>
        <w:spacing w:after="0"/>
        <w:rPr>
          <w:sz w:val="20"/>
          <w:szCs w:val="20"/>
          <w:color w:val="auto"/>
        </w:rPr>
      </w:pPr>
      <w:r>
        <w:rPr>
          <w:rFonts w:ascii="Arial" w:cs="Arial" w:eastAsia="Arial" w:hAnsi="Arial"/>
          <w:sz w:val="12"/>
          <w:szCs w:val="12"/>
          <w:color w:val="auto"/>
        </w:rPr>
        <w:t>6.0</w:t>
      </w:r>
    </w:p>
    <w:p>
      <w:pPr>
        <w:spacing w:after="0" w:line="15" w:lineRule="exact"/>
        <w:rPr>
          <w:sz w:val="20"/>
          <w:szCs w:val="20"/>
          <w:color w:val="auto"/>
        </w:rPr>
      </w:pPr>
    </w:p>
    <w:p>
      <w:pPr>
        <w:jc w:val="right"/>
        <w:ind w:right="20"/>
        <w:spacing w:after="0"/>
        <w:rPr>
          <w:sz w:val="20"/>
          <w:szCs w:val="20"/>
          <w:color w:val="auto"/>
        </w:rPr>
      </w:pPr>
      <w:r>
        <w:rPr>
          <w:rFonts w:ascii="Arial" w:cs="Arial" w:eastAsia="Arial" w:hAnsi="Arial"/>
          <w:sz w:val="12"/>
          <w:szCs w:val="12"/>
          <w:color w:val="auto"/>
        </w:rPr>
        <w:t>4.65%</w:t>
      </w: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June 30,</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2019</w:t>
      </w:r>
    </w:p>
    <w:p>
      <w:pPr>
        <w:spacing w:after="0" w:line="15" w:lineRule="exact"/>
        <w:rPr>
          <w:sz w:val="20"/>
          <w:szCs w:val="20"/>
          <w:color w:val="auto"/>
        </w:rPr>
      </w:pPr>
    </w:p>
    <w:p>
      <w:pPr>
        <w:sectPr>
          <w:pgSz w:w="11900" w:h="16838" w:orient="portrait"/>
          <w:cols w:equalWidth="0" w:num="2">
            <w:col w:w="9380" w:space="720"/>
            <w:col w:w="1380"/>
          </w:cols>
          <w:pgMar w:left="220" w:top="127" w:right="199" w:bottom="1440" w:gutter="0" w:footer="0" w:header="0"/>
          <w:type w:val="continuous"/>
        </w:sectPr>
      </w:pPr>
    </w:p>
    <w:tbl>
      <w:tblPr>
        <w:tblLayout w:type="fixed"/>
        <w:tblInd w:w="0" w:type="dxa"/>
        <w:tblCellMar>
          <w:top w:w="0" w:type="dxa"/>
          <w:left w:w="0" w:type="dxa"/>
          <w:bottom w:w="0" w:type="dxa"/>
          <w:right w:w="0" w:type="dxa"/>
        </w:tblCellMar>
      </w:tblPr>
      <w:tr>
        <w:trPr>
          <w:trHeight w:val="133"/>
        </w:trPr>
        <w:tc>
          <w:tcPr>
            <w:tcW w:w="560" w:type="dxa"/>
            <w:vAlign w:val="bottom"/>
          </w:tcPr>
          <w:p>
            <w:pPr>
              <w:spacing w:after="0"/>
              <w:rPr>
                <w:sz w:val="11"/>
                <w:szCs w:val="11"/>
                <w:color w:val="auto"/>
              </w:rPr>
            </w:pPr>
          </w:p>
        </w:tc>
        <w:tc>
          <w:tcPr>
            <w:tcW w:w="3800" w:type="dxa"/>
            <w:vAlign w:val="bottom"/>
            <w:tcBorders>
              <w:top w:val="single" w:sz="8" w:color="B7E5FF"/>
            </w:tcBorders>
            <w:shd w:val="clear" w:color="auto" w:fill="B7E5FF"/>
          </w:tcPr>
          <w:p>
            <w:pPr>
              <w:ind w:left="20"/>
              <w:spacing w:after="0" w:line="133" w:lineRule="exact"/>
              <w:rPr>
                <w:sz w:val="20"/>
                <w:szCs w:val="20"/>
                <w:color w:val="auto"/>
              </w:rPr>
            </w:pPr>
            <w:r>
              <w:rPr>
                <w:rFonts w:ascii="Arial" w:cs="Arial" w:eastAsia="Arial" w:hAnsi="Arial"/>
                <w:sz w:val="12"/>
                <w:szCs w:val="12"/>
                <w:color w:val="auto"/>
              </w:rPr>
              <w:t>For the remainder of 2019</w:t>
            </w:r>
          </w:p>
        </w:tc>
        <w:tc>
          <w:tcPr>
            <w:tcW w:w="5740" w:type="dxa"/>
            <w:vAlign w:val="bottom"/>
            <w:tcBorders>
              <w:top w:val="single" w:sz="8" w:color="B7E5FF"/>
            </w:tcBorders>
            <w:shd w:val="clear" w:color="auto" w:fill="B7E5FF"/>
          </w:tcPr>
          <w:p>
            <w:pPr>
              <w:spacing w:after="0"/>
              <w:rPr>
                <w:sz w:val="11"/>
                <w:szCs w:val="11"/>
                <w:color w:val="auto"/>
              </w:rPr>
            </w:pPr>
          </w:p>
        </w:tc>
        <w:tc>
          <w:tcPr>
            <w:tcW w:w="540" w:type="dxa"/>
            <w:vAlign w:val="bottom"/>
            <w:tcBorders>
              <w:top w:val="single" w:sz="8" w:color="auto"/>
            </w:tcBorders>
            <w:shd w:val="clear" w:color="auto" w:fill="B7E5FF"/>
          </w:tcPr>
          <w:p>
            <w:pPr>
              <w:jc w:val="right"/>
              <w:ind w:right="43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3,252</w:t>
            </w:r>
          </w:p>
        </w:tc>
      </w:tr>
      <w:tr>
        <w:trPr>
          <w:trHeight w:val="153"/>
        </w:trPr>
        <w:tc>
          <w:tcPr>
            <w:tcW w:w="560" w:type="dxa"/>
            <w:vAlign w:val="bottom"/>
          </w:tcPr>
          <w:p>
            <w:pPr>
              <w:spacing w:after="0"/>
              <w:rPr>
                <w:sz w:val="13"/>
                <w:szCs w:val="13"/>
                <w:color w:val="auto"/>
              </w:rPr>
            </w:pPr>
          </w:p>
        </w:tc>
        <w:tc>
          <w:tcPr>
            <w:tcW w:w="3800" w:type="dxa"/>
            <w:vAlign w:val="bottom"/>
          </w:tcPr>
          <w:p>
            <w:pPr>
              <w:ind w:left="20"/>
              <w:spacing w:after="0"/>
              <w:rPr>
                <w:sz w:val="20"/>
                <w:szCs w:val="20"/>
                <w:color w:val="auto"/>
              </w:rPr>
            </w:pPr>
            <w:r>
              <w:rPr>
                <w:rFonts w:ascii="Arial" w:cs="Arial" w:eastAsia="Arial" w:hAnsi="Arial"/>
                <w:sz w:val="12"/>
                <w:szCs w:val="12"/>
                <w:color w:val="auto"/>
              </w:rPr>
              <w:t>For the year ended December 31, 2020</w:t>
            </w:r>
          </w:p>
        </w:tc>
        <w:tc>
          <w:tcPr>
            <w:tcW w:w="5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5,675</w:t>
            </w:r>
          </w:p>
        </w:tc>
      </w:tr>
      <w:tr>
        <w:trPr>
          <w:trHeight w:val="153"/>
        </w:trPr>
        <w:tc>
          <w:tcPr>
            <w:tcW w:w="560" w:type="dxa"/>
            <w:vAlign w:val="bottom"/>
          </w:tcPr>
          <w:p>
            <w:pPr>
              <w:spacing w:after="0"/>
              <w:rPr>
                <w:sz w:val="13"/>
                <w:szCs w:val="13"/>
                <w:color w:val="auto"/>
              </w:rPr>
            </w:pPr>
          </w:p>
        </w:tc>
        <w:tc>
          <w:tcPr>
            <w:tcW w:w="3800" w:type="dxa"/>
            <w:vAlign w:val="bottom"/>
            <w:shd w:val="clear" w:color="auto" w:fill="B7E5FF"/>
          </w:tcPr>
          <w:p>
            <w:pPr>
              <w:ind w:left="20"/>
              <w:spacing w:after="0"/>
              <w:rPr>
                <w:sz w:val="20"/>
                <w:szCs w:val="20"/>
                <w:color w:val="auto"/>
              </w:rPr>
            </w:pPr>
            <w:r>
              <w:rPr>
                <w:rFonts w:ascii="Arial" w:cs="Arial" w:eastAsia="Arial" w:hAnsi="Arial"/>
                <w:sz w:val="12"/>
                <w:szCs w:val="12"/>
                <w:color w:val="auto"/>
              </w:rPr>
              <w:t>For the year ended December 31, 2021</w:t>
            </w:r>
          </w:p>
        </w:tc>
        <w:tc>
          <w:tcPr>
            <w:tcW w:w="5740" w:type="dxa"/>
            <w:vAlign w:val="bottom"/>
            <w:shd w:val="clear" w:color="auto" w:fill="B7E5FF"/>
          </w:tcPr>
          <w:p>
            <w:pPr>
              <w:spacing w:after="0"/>
              <w:rPr>
                <w:sz w:val="13"/>
                <w:szCs w:val="13"/>
                <w:color w:val="auto"/>
              </w:rPr>
            </w:pPr>
          </w:p>
        </w:tc>
        <w:tc>
          <w:tcPr>
            <w:tcW w:w="540" w:type="dxa"/>
            <w:vAlign w:val="bottom"/>
            <w:shd w:val="clear" w:color="auto" w:fill="B7E5FF"/>
          </w:tcPr>
          <w:p>
            <w:pPr>
              <w:spacing w:after="0"/>
              <w:rPr>
                <w:sz w:val="13"/>
                <w:szCs w:val="13"/>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4,661</w:t>
            </w:r>
          </w:p>
        </w:tc>
      </w:tr>
      <w:tr>
        <w:trPr>
          <w:trHeight w:val="153"/>
        </w:trPr>
        <w:tc>
          <w:tcPr>
            <w:tcW w:w="560" w:type="dxa"/>
            <w:vAlign w:val="bottom"/>
          </w:tcPr>
          <w:p>
            <w:pPr>
              <w:spacing w:after="0"/>
              <w:rPr>
                <w:sz w:val="13"/>
                <w:szCs w:val="13"/>
                <w:color w:val="auto"/>
              </w:rPr>
            </w:pPr>
          </w:p>
        </w:tc>
        <w:tc>
          <w:tcPr>
            <w:tcW w:w="3800" w:type="dxa"/>
            <w:vAlign w:val="bottom"/>
          </w:tcPr>
          <w:p>
            <w:pPr>
              <w:ind w:left="20"/>
              <w:spacing w:after="0"/>
              <w:rPr>
                <w:sz w:val="20"/>
                <w:szCs w:val="20"/>
                <w:color w:val="auto"/>
              </w:rPr>
            </w:pPr>
            <w:r>
              <w:rPr>
                <w:rFonts w:ascii="Arial" w:cs="Arial" w:eastAsia="Arial" w:hAnsi="Arial"/>
                <w:sz w:val="12"/>
                <w:szCs w:val="12"/>
                <w:color w:val="auto"/>
              </w:rPr>
              <w:t>For the year ended December 31, 2022</w:t>
            </w:r>
          </w:p>
        </w:tc>
        <w:tc>
          <w:tcPr>
            <w:tcW w:w="5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3,639</w:t>
            </w:r>
          </w:p>
        </w:tc>
      </w:tr>
      <w:tr>
        <w:trPr>
          <w:trHeight w:val="153"/>
        </w:trPr>
        <w:tc>
          <w:tcPr>
            <w:tcW w:w="560" w:type="dxa"/>
            <w:vAlign w:val="bottom"/>
          </w:tcPr>
          <w:p>
            <w:pPr>
              <w:spacing w:after="0"/>
              <w:rPr>
                <w:sz w:val="13"/>
                <w:szCs w:val="13"/>
                <w:color w:val="auto"/>
              </w:rPr>
            </w:pPr>
          </w:p>
        </w:tc>
        <w:tc>
          <w:tcPr>
            <w:tcW w:w="3800" w:type="dxa"/>
            <w:vAlign w:val="bottom"/>
            <w:shd w:val="clear" w:color="auto" w:fill="B7E5FF"/>
          </w:tcPr>
          <w:p>
            <w:pPr>
              <w:ind w:left="20"/>
              <w:spacing w:after="0"/>
              <w:rPr>
                <w:sz w:val="20"/>
                <w:szCs w:val="20"/>
                <w:color w:val="auto"/>
              </w:rPr>
            </w:pPr>
            <w:r>
              <w:rPr>
                <w:rFonts w:ascii="Arial" w:cs="Arial" w:eastAsia="Arial" w:hAnsi="Arial"/>
                <w:sz w:val="12"/>
                <w:szCs w:val="12"/>
                <w:color w:val="auto"/>
              </w:rPr>
              <w:t>For the year ended December 31, 2023</w:t>
            </w:r>
          </w:p>
        </w:tc>
        <w:tc>
          <w:tcPr>
            <w:tcW w:w="5740" w:type="dxa"/>
            <w:vAlign w:val="bottom"/>
            <w:shd w:val="clear" w:color="auto" w:fill="B7E5FF"/>
          </w:tcPr>
          <w:p>
            <w:pPr>
              <w:spacing w:after="0"/>
              <w:rPr>
                <w:sz w:val="13"/>
                <w:szCs w:val="13"/>
                <w:color w:val="auto"/>
              </w:rPr>
            </w:pPr>
          </w:p>
        </w:tc>
        <w:tc>
          <w:tcPr>
            <w:tcW w:w="540" w:type="dxa"/>
            <w:vAlign w:val="bottom"/>
            <w:shd w:val="clear" w:color="auto" w:fill="B7E5FF"/>
          </w:tcPr>
          <w:p>
            <w:pPr>
              <w:spacing w:after="0"/>
              <w:rPr>
                <w:sz w:val="13"/>
                <w:szCs w:val="13"/>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2,781</w:t>
            </w:r>
          </w:p>
        </w:tc>
      </w:tr>
      <w:tr>
        <w:trPr>
          <w:trHeight w:val="153"/>
        </w:trPr>
        <w:tc>
          <w:tcPr>
            <w:tcW w:w="560" w:type="dxa"/>
            <w:vAlign w:val="bottom"/>
          </w:tcPr>
          <w:p>
            <w:pPr>
              <w:spacing w:after="0"/>
              <w:rPr>
                <w:sz w:val="13"/>
                <w:szCs w:val="13"/>
                <w:color w:val="auto"/>
              </w:rPr>
            </w:pPr>
          </w:p>
        </w:tc>
        <w:tc>
          <w:tcPr>
            <w:tcW w:w="3800" w:type="dxa"/>
            <w:vAlign w:val="bottom"/>
            <w:tcBorders>
              <w:bottom w:val="single" w:sz="8" w:color="B7E5FF"/>
            </w:tcBorders>
          </w:tcPr>
          <w:p>
            <w:pPr>
              <w:ind w:left="20"/>
              <w:spacing w:after="0"/>
              <w:rPr>
                <w:sz w:val="20"/>
                <w:szCs w:val="20"/>
                <w:color w:val="auto"/>
              </w:rPr>
            </w:pPr>
            <w:r>
              <w:rPr>
                <w:rFonts w:ascii="Arial" w:cs="Arial" w:eastAsia="Arial" w:hAnsi="Arial"/>
                <w:sz w:val="12"/>
                <w:szCs w:val="12"/>
                <w:color w:val="auto"/>
              </w:rPr>
              <w:t>For the year ended December 31, 2024 and beyond</w:t>
            </w:r>
          </w:p>
        </w:tc>
        <w:tc>
          <w:tcPr>
            <w:tcW w:w="5740" w:type="dxa"/>
            <w:vAlign w:val="bottom"/>
            <w:tcBorders>
              <w:bottom w:val="single" w:sz="8" w:color="B7E5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8,425</w:t>
            </w:r>
          </w:p>
        </w:tc>
      </w:tr>
      <w:tr>
        <w:trPr>
          <w:trHeight w:val="133"/>
        </w:trPr>
        <w:tc>
          <w:tcPr>
            <w:tcW w:w="560" w:type="dxa"/>
            <w:vAlign w:val="bottom"/>
          </w:tcPr>
          <w:p>
            <w:pPr>
              <w:spacing w:after="0"/>
              <w:rPr>
                <w:sz w:val="11"/>
                <w:szCs w:val="11"/>
                <w:color w:val="auto"/>
              </w:rPr>
            </w:pPr>
          </w:p>
        </w:tc>
        <w:tc>
          <w:tcPr>
            <w:tcW w:w="3800" w:type="dxa"/>
            <w:vAlign w:val="bottom"/>
            <w:shd w:val="clear" w:color="auto" w:fill="B7E5FF"/>
          </w:tcPr>
          <w:p>
            <w:pPr>
              <w:ind w:left="20"/>
              <w:spacing w:after="0" w:line="133" w:lineRule="exact"/>
              <w:rPr>
                <w:sz w:val="20"/>
                <w:szCs w:val="20"/>
                <w:color w:val="auto"/>
              </w:rPr>
            </w:pPr>
            <w:r>
              <w:rPr>
                <w:rFonts w:ascii="Arial" w:cs="Arial" w:eastAsia="Arial" w:hAnsi="Arial"/>
                <w:sz w:val="12"/>
                <w:szCs w:val="12"/>
                <w:color w:val="auto"/>
              </w:rPr>
              <w:t>Total lease payments</w:t>
            </w:r>
          </w:p>
        </w:tc>
        <w:tc>
          <w:tcPr>
            <w:tcW w:w="5740" w:type="dxa"/>
            <w:vAlign w:val="bottom"/>
            <w:shd w:val="clear" w:color="auto" w:fill="B7E5FF"/>
          </w:tcPr>
          <w:p>
            <w:pPr>
              <w:spacing w:after="0"/>
              <w:rPr>
                <w:sz w:val="11"/>
                <w:szCs w:val="11"/>
                <w:color w:val="auto"/>
              </w:rPr>
            </w:pPr>
          </w:p>
        </w:tc>
        <w:tc>
          <w:tcPr>
            <w:tcW w:w="540" w:type="dxa"/>
            <w:vAlign w:val="bottom"/>
            <w:shd w:val="clear" w:color="auto" w:fill="B7E5FF"/>
          </w:tcPr>
          <w:p>
            <w:pPr>
              <w:spacing w:after="0"/>
              <w:rPr>
                <w:sz w:val="11"/>
                <w:szCs w:val="11"/>
                <w:color w:val="auto"/>
              </w:rPr>
            </w:pPr>
          </w:p>
        </w:tc>
        <w:tc>
          <w:tcPr>
            <w:tcW w:w="84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28,433</w:t>
            </w:r>
          </w:p>
        </w:tc>
      </w:tr>
      <w:tr>
        <w:trPr>
          <w:trHeight w:val="153"/>
        </w:trPr>
        <w:tc>
          <w:tcPr>
            <w:tcW w:w="560" w:type="dxa"/>
            <w:vAlign w:val="bottom"/>
          </w:tcPr>
          <w:p>
            <w:pPr>
              <w:spacing w:after="0"/>
              <w:rPr>
                <w:sz w:val="13"/>
                <w:szCs w:val="13"/>
                <w:color w:val="auto"/>
              </w:rPr>
            </w:pPr>
          </w:p>
        </w:tc>
        <w:tc>
          <w:tcPr>
            <w:tcW w:w="3800" w:type="dxa"/>
            <w:vAlign w:val="bottom"/>
            <w:tcBorders>
              <w:bottom w:val="single" w:sz="8" w:color="B7E5FF"/>
            </w:tcBorders>
          </w:tcPr>
          <w:p>
            <w:pPr>
              <w:ind w:left="20"/>
              <w:spacing w:after="0"/>
              <w:rPr>
                <w:sz w:val="20"/>
                <w:szCs w:val="20"/>
                <w:color w:val="auto"/>
              </w:rPr>
            </w:pPr>
            <w:r>
              <w:rPr>
                <w:rFonts w:ascii="Arial" w:cs="Arial" w:eastAsia="Arial" w:hAnsi="Arial"/>
                <w:sz w:val="12"/>
                <w:szCs w:val="12"/>
                <w:color w:val="auto"/>
              </w:rPr>
              <w:t>Less: imputed interest</w:t>
            </w:r>
          </w:p>
        </w:tc>
        <w:tc>
          <w:tcPr>
            <w:tcW w:w="5740" w:type="dxa"/>
            <w:vAlign w:val="bottom"/>
            <w:tcBorders>
              <w:bottom w:val="single" w:sz="8" w:color="B7E5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(4,134)</w:t>
            </w:r>
          </w:p>
        </w:tc>
      </w:tr>
      <w:tr>
        <w:trPr>
          <w:trHeight w:val="153"/>
        </w:trPr>
        <w:tc>
          <w:tcPr>
            <w:tcW w:w="560" w:type="dxa"/>
            <w:vAlign w:val="bottom"/>
          </w:tcPr>
          <w:p>
            <w:pPr>
              <w:spacing w:after="0"/>
              <w:rPr>
                <w:sz w:val="13"/>
                <w:szCs w:val="13"/>
                <w:color w:val="auto"/>
              </w:rPr>
            </w:pPr>
          </w:p>
        </w:tc>
        <w:tc>
          <w:tcPr>
            <w:tcW w:w="3800" w:type="dxa"/>
            <w:vAlign w:val="bottom"/>
            <w:tcBorders>
              <w:bottom w:val="single" w:sz="8" w:color="B7E5FF"/>
            </w:tcBorders>
            <w:shd w:val="clear" w:color="auto" w:fill="B7E5FF"/>
          </w:tcPr>
          <w:p>
            <w:pPr>
              <w:ind w:left="20"/>
              <w:spacing w:after="0" w:line="133" w:lineRule="exact"/>
              <w:rPr>
                <w:sz w:val="20"/>
                <w:szCs w:val="20"/>
                <w:color w:val="auto"/>
              </w:rPr>
            </w:pPr>
            <w:r>
              <w:rPr>
                <w:rFonts w:ascii="Arial" w:cs="Arial" w:eastAsia="Arial" w:hAnsi="Arial"/>
                <w:sz w:val="12"/>
                <w:szCs w:val="12"/>
                <w:color w:val="auto"/>
              </w:rPr>
              <w:t>Present value of lease liabilities</w:t>
            </w:r>
          </w:p>
        </w:tc>
        <w:tc>
          <w:tcPr>
            <w:tcW w:w="5740" w:type="dxa"/>
            <w:vAlign w:val="bottom"/>
            <w:tcBorders>
              <w:bottom w:val="single" w:sz="8" w:color="B7E5FF"/>
            </w:tcBorders>
            <w:shd w:val="clear" w:color="auto" w:fill="B7E5FF"/>
          </w:tcPr>
          <w:p>
            <w:pPr>
              <w:spacing w:after="0"/>
              <w:rPr>
                <w:sz w:val="13"/>
                <w:szCs w:val="13"/>
                <w:color w:val="auto"/>
              </w:rPr>
            </w:pPr>
          </w:p>
        </w:tc>
        <w:tc>
          <w:tcPr>
            <w:tcW w:w="540" w:type="dxa"/>
            <w:vAlign w:val="bottom"/>
            <w:tcBorders>
              <w:bottom w:val="single" w:sz="8" w:color="auto"/>
            </w:tcBorders>
            <w:shd w:val="clear" w:color="auto" w:fill="B7E5FF"/>
          </w:tcPr>
          <w:p>
            <w:pPr>
              <w:jc w:val="right"/>
              <w:ind w:right="43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24,299</w:t>
            </w:r>
          </w:p>
        </w:tc>
      </w:tr>
      <w:tr>
        <w:trPr>
          <w:trHeight w:val="131"/>
        </w:trPr>
        <w:tc>
          <w:tcPr>
            <w:tcW w:w="5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5740" w:type="dxa"/>
            <w:vAlign w:val="bottom"/>
          </w:tcPr>
          <w:p>
            <w:pPr>
              <w:jc w:val="right"/>
              <w:ind w:right="4240"/>
              <w:spacing w:after="0" w:line="132" w:lineRule="exact"/>
              <w:rPr>
                <w:sz w:val="20"/>
                <w:szCs w:val="20"/>
                <w:color w:val="auto"/>
              </w:rPr>
            </w:pPr>
            <w:r>
              <w:rPr>
                <w:rFonts w:ascii="Arial" w:cs="Arial" w:eastAsia="Arial" w:hAnsi="Arial"/>
                <w:sz w:val="12"/>
                <w:szCs w:val="12"/>
                <w:color w:val="auto"/>
              </w:rPr>
              <w:t>13</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72"/>
        </w:trPr>
        <w:tc>
          <w:tcPr>
            <w:tcW w:w="560" w:type="dxa"/>
            <w:vAlign w:val="bottom"/>
            <w:tcBorders>
              <w:bottom w:val="single" w:sz="8" w:color="9A9A9A"/>
            </w:tcBorders>
          </w:tcPr>
          <w:p>
            <w:pPr>
              <w:spacing w:after="0"/>
              <w:rPr>
                <w:sz w:val="6"/>
                <w:szCs w:val="6"/>
                <w:color w:val="auto"/>
              </w:rPr>
            </w:pPr>
          </w:p>
        </w:tc>
        <w:tc>
          <w:tcPr>
            <w:tcW w:w="3800" w:type="dxa"/>
            <w:vAlign w:val="bottom"/>
            <w:tcBorders>
              <w:bottom w:val="single" w:sz="8" w:color="9A9A9A"/>
            </w:tcBorders>
          </w:tcPr>
          <w:p>
            <w:pPr>
              <w:spacing w:after="0"/>
              <w:rPr>
                <w:sz w:val="6"/>
                <w:szCs w:val="6"/>
                <w:color w:val="auto"/>
              </w:rPr>
            </w:pPr>
          </w:p>
        </w:tc>
        <w:tc>
          <w:tcPr>
            <w:tcW w:w="574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-23495</wp:posOffset>
            </wp:positionV>
            <wp:extent cx="31115"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213" w:lineRule="exact"/>
        <w:rPr>
          <w:sz w:val="20"/>
          <w:szCs w:val="20"/>
          <w:color w:val="auto"/>
        </w:rPr>
      </w:pPr>
    </w:p>
    <w:p>
      <w:pPr>
        <w:ind w:right="300" w:firstLine="216"/>
        <w:spacing w:after="0" w:line="263" w:lineRule="auto"/>
        <w:rPr>
          <w:sz w:val="20"/>
          <w:szCs w:val="20"/>
          <w:color w:val="auto"/>
        </w:rPr>
      </w:pPr>
      <w:r>
        <w:rPr>
          <w:rFonts w:ascii="Arial" w:cs="Arial" w:eastAsia="Arial" w:hAnsi="Arial"/>
          <w:sz w:val="12"/>
          <w:szCs w:val="12"/>
          <w:color w:val="auto"/>
        </w:rPr>
        <w:t>Pursuant to the Company’s adoption of the new lease accounting guidance using a modified retrospective transition approach, as permitted, comparative information has not been restated and continues to be reported under the accounting standards in effect for those periods. As previously disclosed in its Annual Report filed on Form 10-K and 10-K/A for the year ended December 31, 2018, the following table presents the Company’s future minimum rental commitments under operating leases as of December 31, 2018:</w:t>
      </w:r>
    </w:p>
    <w:p>
      <w:pPr>
        <w:spacing w:after="0" w:line="60" w:lineRule="exact"/>
        <w:rPr>
          <w:sz w:val="20"/>
          <w:szCs w:val="20"/>
          <w:color w:val="auto"/>
        </w:rPr>
      </w:pPr>
    </w:p>
    <w:tbl>
      <w:tblPr>
        <w:tblLayout w:type="fixed"/>
        <w:tblInd w:w="560" w:type="dxa"/>
        <w:tblCellMar>
          <w:top w:w="0" w:type="dxa"/>
          <w:left w:w="0" w:type="dxa"/>
          <w:bottom w:w="0" w:type="dxa"/>
          <w:right w:w="0" w:type="dxa"/>
        </w:tblCellMar>
      </w:tblPr>
      <w:tr>
        <w:trPr>
          <w:trHeight w:val="144"/>
        </w:trPr>
        <w:tc>
          <w:tcPr>
            <w:tcW w:w="5660" w:type="dxa"/>
            <w:vAlign w:val="bottom"/>
            <w:shd w:val="clear" w:color="auto" w:fill="B7E5FF"/>
          </w:tcPr>
          <w:p>
            <w:pPr>
              <w:ind w:left="20"/>
              <w:spacing w:after="0"/>
              <w:rPr>
                <w:sz w:val="20"/>
                <w:szCs w:val="20"/>
                <w:color w:val="auto"/>
              </w:rPr>
            </w:pPr>
            <w:r>
              <w:rPr>
                <w:rFonts w:ascii="Arial" w:cs="Arial" w:eastAsia="Arial" w:hAnsi="Arial"/>
                <w:sz w:val="12"/>
                <w:szCs w:val="12"/>
                <w:color w:val="auto"/>
              </w:rPr>
              <w:t>For the year ended 2019</w:t>
            </w:r>
          </w:p>
        </w:tc>
        <w:tc>
          <w:tcPr>
            <w:tcW w:w="4440" w:type="dxa"/>
            <w:vAlign w:val="bottom"/>
            <w:shd w:val="clear" w:color="auto" w:fill="B7E5FF"/>
          </w:tcPr>
          <w:p>
            <w:pPr>
              <w:jc w:val="right"/>
              <w:ind w:right="440"/>
              <w:spacing w:after="0"/>
              <w:rPr>
                <w:sz w:val="20"/>
                <w:szCs w:val="20"/>
                <w:color w:val="auto"/>
              </w:rPr>
            </w:pPr>
            <w:r>
              <w:rPr>
                <w:rFonts w:ascii="Arial" w:cs="Arial" w:eastAsia="Arial" w:hAnsi="Arial"/>
                <w:sz w:val="12"/>
                <w:szCs w:val="12"/>
                <w:color w:val="auto"/>
              </w:rPr>
              <w:t>$</w:t>
            </w:r>
          </w:p>
        </w:tc>
        <w:tc>
          <w:tcPr>
            <w:tcW w:w="8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7,068</w:t>
            </w:r>
          </w:p>
        </w:tc>
      </w:tr>
      <w:tr>
        <w:trPr>
          <w:trHeight w:val="153"/>
        </w:trPr>
        <w:tc>
          <w:tcPr>
            <w:tcW w:w="5660" w:type="dxa"/>
            <w:vAlign w:val="bottom"/>
          </w:tcPr>
          <w:p>
            <w:pPr>
              <w:ind w:left="20"/>
              <w:spacing w:after="0"/>
              <w:rPr>
                <w:sz w:val="20"/>
                <w:szCs w:val="20"/>
                <w:color w:val="auto"/>
              </w:rPr>
            </w:pPr>
            <w:r>
              <w:rPr>
                <w:rFonts w:ascii="Arial" w:cs="Arial" w:eastAsia="Arial" w:hAnsi="Arial"/>
                <w:sz w:val="12"/>
                <w:szCs w:val="12"/>
                <w:color w:val="auto"/>
              </w:rPr>
              <w:t>For the year ended 2020</w:t>
            </w:r>
          </w:p>
        </w:tc>
        <w:tc>
          <w:tcPr>
            <w:tcW w:w="44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5,635</w:t>
            </w:r>
          </w:p>
        </w:tc>
      </w:tr>
      <w:tr>
        <w:trPr>
          <w:trHeight w:val="153"/>
        </w:trPr>
        <w:tc>
          <w:tcPr>
            <w:tcW w:w="5660" w:type="dxa"/>
            <w:vAlign w:val="bottom"/>
            <w:shd w:val="clear" w:color="auto" w:fill="B7E5FF"/>
          </w:tcPr>
          <w:p>
            <w:pPr>
              <w:ind w:left="20"/>
              <w:spacing w:after="0"/>
              <w:rPr>
                <w:sz w:val="20"/>
                <w:szCs w:val="20"/>
                <w:color w:val="auto"/>
              </w:rPr>
            </w:pPr>
            <w:r>
              <w:rPr>
                <w:rFonts w:ascii="Arial" w:cs="Arial" w:eastAsia="Arial" w:hAnsi="Arial"/>
                <w:sz w:val="12"/>
                <w:szCs w:val="12"/>
                <w:color w:val="auto"/>
              </w:rPr>
              <w:t>For the year ended 2021</w:t>
            </w:r>
          </w:p>
        </w:tc>
        <w:tc>
          <w:tcPr>
            <w:tcW w:w="4440" w:type="dxa"/>
            <w:vAlign w:val="bottom"/>
            <w:shd w:val="clear" w:color="auto" w:fill="B7E5FF"/>
          </w:tcPr>
          <w:p>
            <w:pPr>
              <w:spacing w:after="0"/>
              <w:rPr>
                <w:sz w:val="13"/>
                <w:szCs w:val="13"/>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4,509</w:t>
            </w:r>
          </w:p>
        </w:tc>
      </w:tr>
      <w:tr>
        <w:trPr>
          <w:trHeight w:val="153"/>
        </w:trPr>
        <w:tc>
          <w:tcPr>
            <w:tcW w:w="5660" w:type="dxa"/>
            <w:vAlign w:val="bottom"/>
          </w:tcPr>
          <w:p>
            <w:pPr>
              <w:ind w:left="20"/>
              <w:spacing w:after="0"/>
              <w:rPr>
                <w:sz w:val="20"/>
                <w:szCs w:val="20"/>
                <w:color w:val="auto"/>
              </w:rPr>
            </w:pPr>
            <w:r>
              <w:rPr>
                <w:rFonts w:ascii="Arial" w:cs="Arial" w:eastAsia="Arial" w:hAnsi="Arial"/>
                <w:sz w:val="12"/>
                <w:szCs w:val="12"/>
                <w:color w:val="auto"/>
              </w:rPr>
              <w:t>For the year ended 2022</w:t>
            </w:r>
          </w:p>
        </w:tc>
        <w:tc>
          <w:tcPr>
            <w:tcW w:w="44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3,523</w:t>
            </w:r>
          </w:p>
        </w:tc>
      </w:tr>
      <w:tr>
        <w:trPr>
          <w:trHeight w:val="153"/>
        </w:trPr>
        <w:tc>
          <w:tcPr>
            <w:tcW w:w="5660" w:type="dxa"/>
            <w:vAlign w:val="bottom"/>
            <w:shd w:val="clear" w:color="auto" w:fill="B7E5FF"/>
          </w:tcPr>
          <w:p>
            <w:pPr>
              <w:ind w:left="20"/>
              <w:spacing w:after="0"/>
              <w:rPr>
                <w:sz w:val="20"/>
                <w:szCs w:val="20"/>
                <w:color w:val="auto"/>
              </w:rPr>
            </w:pPr>
            <w:r>
              <w:rPr>
                <w:rFonts w:ascii="Arial" w:cs="Arial" w:eastAsia="Arial" w:hAnsi="Arial"/>
                <w:sz w:val="12"/>
                <w:szCs w:val="12"/>
                <w:color w:val="auto"/>
              </w:rPr>
              <w:t>For the year ended 2023</w:t>
            </w:r>
          </w:p>
        </w:tc>
        <w:tc>
          <w:tcPr>
            <w:tcW w:w="4440" w:type="dxa"/>
            <w:vAlign w:val="bottom"/>
            <w:shd w:val="clear" w:color="auto" w:fill="B7E5FF"/>
          </w:tcPr>
          <w:p>
            <w:pPr>
              <w:spacing w:after="0"/>
              <w:rPr>
                <w:sz w:val="13"/>
                <w:szCs w:val="13"/>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2,659</w:t>
            </w:r>
          </w:p>
        </w:tc>
      </w:tr>
      <w:tr>
        <w:trPr>
          <w:trHeight w:val="153"/>
        </w:trPr>
        <w:tc>
          <w:tcPr>
            <w:tcW w:w="5660" w:type="dxa"/>
            <w:vAlign w:val="bottom"/>
          </w:tcPr>
          <w:p>
            <w:pPr>
              <w:ind w:left="20"/>
              <w:spacing w:after="0"/>
              <w:rPr>
                <w:sz w:val="20"/>
                <w:szCs w:val="20"/>
                <w:color w:val="auto"/>
              </w:rPr>
            </w:pPr>
            <w:r>
              <w:rPr>
                <w:rFonts w:ascii="Arial" w:cs="Arial" w:eastAsia="Arial" w:hAnsi="Arial"/>
                <w:sz w:val="12"/>
                <w:szCs w:val="12"/>
                <w:color w:val="auto"/>
              </w:rPr>
              <w:t>For the year ended 2024 and beyond</w:t>
            </w:r>
          </w:p>
        </w:tc>
        <w:tc>
          <w:tcPr>
            <w:tcW w:w="44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7,779</w:t>
            </w:r>
          </w:p>
        </w:tc>
      </w:tr>
    </w:tbl>
    <w:p>
      <w:pPr>
        <w:spacing w:after="0" w:line="2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6 – Business Segments</w:t>
      </w:r>
    </w:p>
    <w:p>
      <w:pPr>
        <w:spacing w:after="0" w:line="82" w:lineRule="exact"/>
        <w:rPr>
          <w:sz w:val="20"/>
          <w:szCs w:val="20"/>
          <w:color w:val="auto"/>
        </w:rPr>
      </w:pPr>
    </w:p>
    <w:p>
      <w:pPr>
        <w:ind w:right="160" w:firstLine="216"/>
        <w:spacing w:after="0" w:line="259" w:lineRule="auto"/>
        <w:rPr>
          <w:sz w:val="20"/>
          <w:szCs w:val="20"/>
          <w:color w:val="auto"/>
        </w:rPr>
      </w:pPr>
      <w:r>
        <w:rPr>
          <w:rFonts w:ascii="Arial" w:cs="Arial" w:eastAsia="Arial" w:hAnsi="Arial"/>
          <w:sz w:val="12"/>
          <w:szCs w:val="12"/>
          <w:color w:val="auto"/>
        </w:rPr>
        <w:t>The Company’s reportable operating segments are organized by geography as follows: (i) North America; (ii) EMEA; (iii) Asia/Pacific; and (iv) South America. Operating earnings, excluding indirect operating expenses, for the Company’s reportable operating segments is comprised of revenues less cost of goods sold (“COGS”) and selling, general and administrative expenses (“SG&amp;A”) directly related to the respective region’s product sales. The indirect operating expenses consist of SG&amp;A not directly attributable to the product sales of each respective reportable operating segment. Other items not specifically identified with the Company’s reportable operating segments include interest expense, interest income, license fees from non-consolidated affiliates, amortization expense and other income (expense), net.</w:t>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presents information about the performance of the Company’s reportable operating segments for the three and six months ended June 30, 2019 and 2018:</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3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gridSpan w:val="3"/>
          </w:tcPr>
          <w:p>
            <w:pPr>
              <w:jc w:val="right"/>
              <w:spacing w:after="0"/>
              <w:rPr>
                <w:sz w:val="20"/>
                <w:szCs w:val="20"/>
                <w:color w:val="auto"/>
              </w:rPr>
            </w:pPr>
            <w:r>
              <w:rPr>
                <w:rFonts w:ascii="Arial" w:cs="Arial" w:eastAsia="Arial" w:hAnsi="Arial"/>
                <w:sz w:val="12"/>
                <w:szCs w:val="12"/>
                <w:b w:val="1"/>
                <w:bCs w:val="1"/>
                <w:color w:val="auto"/>
                <w:w w:val="92"/>
              </w:rPr>
              <w:t>Three Months Ended</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gridSpan w:val="3"/>
          </w:tcPr>
          <w:p>
            <w:pPr>
              <w:jc w:val="right"/>
              <w:ind w:right="10"/>
              <w:spacing w:after="0"/>
              <w:rPr>
                <w:sz w:val="20"/>
                <w:szCs w:val="20"/>
                <w:color w:val="auto"/>
              </w:rPr>
            </w:pPr>
            <w:r>
              <w:rPr>
                <w:rFonts w:ascii="Arial" w:cs="Arial" w:eastAsia="Arial" w:hAnsi="Arial"/>
                <w:sz w:val="12"/>
                <w:szCs w:val="12"/>
                <w:b w:val="1"/>
                <w:bCs w:val="1"/>
                <w:color w:val="auto"/>
              </w:rPr>
              <w:t>Six Months Ended</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2"/>
                <w:szCs w:val="12"/>
                <w:b w:val="1"/>
                <w:bCs w:val="1"/>
                <w:color w:val="auto"/>
              </w:rPr>
              <w:t>June 30,</w:t>
            </w: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2"/>
                <w:szCs w:val="12"/>
                <w:b w:val="1"/>
                <w:bCs w:val="1"/>
                <w:color w:val="auto"/>
              </w:rPr>
              <w:t>June 30,</w:t>
            </w: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360" w:type="dxa"/>
            <w:vAlign w:val="bottom"/>
            <w:vMerge w:val="restart"/>
          </w:tcPr>
          <w:p>
            <w:pPr>
              <w:spacing w:after="0"/>
              <w:rPr>
                <w:sz w:val="20"/>
                <w:szCs w:val="20"/>
                <w:color w:val="auto"/>
              </w:rPr>
            </w:pPr>
            <w:r>
              <w:rPr>
                <w:rFonts w:ascii="Arial" w:cs="Arial" w:eastAsia="Arial" w:hAnsi="Arial"/>
                <w:sz w:val="12"/>
                <w:szCs w:val="12"/>
                <w:color w:val="auto"/>
              </w:rPr>
              <w:t>Net sales</w:t>
            </w:r>
          </w:p>
        </w:tc>
        <w:tc>
          <w:tcPr>
            <w:tcW w:w="1520" w:type="dxa"/>
            <w:vAlign w:val="bottom"/>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2019</w:t>
            </w: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w w:val="89"/>
              </w:rPr>
              <w:t>2018</w:t>
            </w: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2018</w:t>
            </w:r>
          </w:p>
        </w:tc>
        <w:tc>
          <w:tcPr>
            <w:tcW w:w="0" w:type="dxa"/>
            <w:vAlign w:val="bottom"/>
          </w:tcPr>
          <w:p>
            <w:pPr>
              <w:spacing w:after="0"/>
              <w:rPr>
                <w:sz w:val="1"/>
                <w:szCs w:val="1"/>
                <w:color w:val="auto"/>
              </w:rPr>
            </w:pPr>
          </w:p>
        </w:tc>
      </w:tr>
      <w:tr>
        <w:trPr>
          <w:trHeight w:val="129"/>
        </w:trPr>
        <w:tc>
          <w:tcPr>
            <w:tcW w:w="4360" w:type="dxa"/>
            <w:vAlign w:val="bottom"/>
            <w:vMerge w:val="continue"/>
          </w:tcPr>
          <w:p>
            <w:pPr>
              <w:spacing w:after="0"/>
              <w:rPr>
                <w:sz w:val="11"/>
                <w:szCs w:val="11"/>
                <w:color w:val="auto"/>
              </w:rPr>
            </w:pPr>
          </w:p>
        </w:tc>
        <w:tc>
          <w:tcPr>
            <w:tcW w:w="1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360" w:type="dxa"/>
            <w:vAlign w:val="bottom"/>
            <w:shd w:val="clear" w:color="auto" w:fill="B7E5FF"/>
          </w:tcPr>
          <w:p>
            <w:pPr>
              <w:ind w:left="100"/>
              <w:spacing w:after="0"/>
              <w:rPr>
                <w:sz w:val="20"/>
                <w:szCs w:val="20"/>
                <w:color w:val="auto"/>
              </w:rPr>
            </w:pPr>
            <w:r>
              <w:rPr>
                <w:rFonts w:ascii="Arial" w:cs="Arial" w:eastAsia="Arial" w:hAnsi="Arial"/>
                <w:sz w:val="12"/>
                <w:szCs w:val="12"/>
                <w:color w:val="auto"/>
              </w:rPr>
              <w:t>North America</w:t>
            </w:r>
          </w:p>
        </w:tc>
        <w:tc>
          <w:tcPr>
            <w:tcW w:w="2300" w:type="dxa"/>
            <w:vAlign w:val="bottom"/>
            <w:gridSpan w:val="2"/>
            <w:shd w:val="clear" w:color="auto" w:fill="B7E5FF"/>
          </w:tcPr>
          <w:p>
            <w:pPr>
              <w:jc w:val="right"/>
              <w:ind w:right="665"/>
              <w:spacing w:after="0"/>
              <w:rPr>
                <w:sz w:val="20"/>
                <w:szCs w:val="20"/>
                <w:color w:val="auto"/>
              </w:rPr>
            </w:pPr>
            <w:r>
              <w:rPr>
                <w:rFonts w:ascii="Arial" w:cs="Arial" w:eastAsia="Arial" w:hAnsi="Arial"/>
                <w:sz w:val="12"/>
                <w:szCs w:val="12"/>
                <w:color w:val="auto"/>
              </w:rPr>
              <w:t>$</w:t>
            </w:r>
          </w:p>
        </w:tc>
        <w:tc>
          <w:tcPr>
            <w:tcW w:w="5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94,383</w:t>
            </w:r>
          </w:p>
        </w:tc>
        <w:tc>
          <w:tcPr>
            <w:tcW w:w="100" w:type="dxa"/>
            <w:vAlign w:val="bottom"/>
            <w:shd w:val="clear" w:color="auto" w:fill="B7E5FF"/>
          </w:tcPr>
          <w:p>
            <w:pPr>
              <w:spacing w:after="0"/>
              <w:rPr>
                <w:sz w:val="13"/>
                <w:szCs w:val="13"/>
                <w:color w:val="auto"/>
              </w:rPr>
            </w:pPr>
          </w:p>
        </w:tc>
        <w:tc>
          <w:tcPr>
            <w:tcW w:w="520" w:type="dxa"/>
            <w:vAlign w:val="bottom"/>
            <w:shd w:val="clear" w:color="auto" w:fill="B7E5FF"/>
          </w:tcPr>
          <w:p>
            <w:pPr>
              <w:jc w:val="right"/>
              <w:ind w:right="38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97,392</w:t>
            </w:r>
          </w:p>
        </w:tc>
        <w:tc>
          <w:tcPr>
            <w:tcW w:w="120" w:type="dxa"/>
            <w:vAlign w:val="bottom"/>
            <w:shd w:val="clear" w:color="auto" w:fill="B7E5FF"/>
          </w:tcPr>
          <w:p>
            <w:pPr>
              <w:spacing w:after="0"/>
              <w:rPr>
                <w:sz w:val="13"/>
                <w:szCs w:val="13"/>
                <w:color w:val="auto"/>
              </w:rPr>
            </w:pPr>
          </w:p>
        </w:tc>
        <w:tc>
          <w:tcPr>
            <w:tcW w:w="300" w:type="dxa"/>
            <w:vAlign w:val="bottom"/>
            <w:shd w:val="clear" w:color="auto" w:fill="B7E5FF"/>
          </w:tcPr>
          <w:p>
            <w:pPr>
              <w:jc w:val="right"/>
              <w:ind w:right="19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189,636</w:t>
            </w:r>
          </w:p>
        </w:tc>
        <w:tc>
          <w:tcPr>
            <w:tcW w:w="120" w:type="dxa"/>
            <w:vAlign w:val="bottom"/>
            <w:shd w:val="clear" w:color="auto" w:fill="B7E5FF"/>
          </w:tcPr>
          <w:p>
            <w:pPr>
              <w:spacing w:after="0"/>
              <w:rPr>
                <w:sz w:val="13"/>
                <w:szCs w:val="13"/>
                <w:color w:val="auto"/>
              </w:rPr>
            </w:pPr>
          </w:p>
        </w:tc>
        <w:tc>
          <w:tcPr>
            <w:tcW w:w="480" w:type="dxa"/>
            <w:vAlign w:val="bottom"/>
            <w:shd w:val="clear" w:color="auto" w:fill="B7E5FF"/>
          </w:tcPr>
          <w:p>
            <w:pPr>
              <w:jc w:val="right"/>
              <w:ind w:right="37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189,212</w:t>
            </w:r>
          </w:p>
        </w:tc>
        <w:tc>
          <w:tcPr>
            <w:tcW w:w="0" w:type="dxa"/>
            <w:vAlign w:val="bottom"/>
          </w:tcPr>
          <w:p>
            <w:pPr>
              <w:spacing w:after="0"/>
              <w:rPr>
                <w:sz w:val="1"/>
                <w:szCs w:val="1"/>
                <w:color w:val="auto"/>
              </w:rPr>
            </w:pPr>
          </w:p>
        </w:tc>
      </w:tr>
      <w:tr>
        <w:trPr>
          <w:trHeight w:val="153"/>
        </w:trPr>
        <w:tc>
          <w:tcPr>
            <w:tcW w:w="4360" w:type="dxa"/>
            <w:vAlign w:val="bottom"/>
          </w:tcPr>
          <w:p>
            <w:pPr>
              <w:ind w:left="100"/>
              <w:spacing w:after="0"/>
              <w:rPr>
                <w:sz w:val="20"/>
                <w:szCs w:val="20"/>
                <w:color w:val="auto"/>
              </w:rPr>
            </w:pPr>
            <w:r>
              <w:rPr>
                <w:rFonts w:ascii="Arial" w:cs="Arial" w:eastAsia="Arial" w:hAnsi="Arial"/>
                <w:sz w:val="12"/>
                <w:szCs w:val="12"/>
                <w:color w:val="auto"/>
              </w:rPr>
              <w:t>EMEA</w:t>
            </w:r>
          </w:p>
        </w:tc>
        <w:tc>
          <w:tcPr>
            <w:tcW w:w="1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53,150</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60,166</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109,438</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122,221</w:t>
            </w:r>
          </w:p>
        </w:tc>
        <w:tc>
          <w:tcPr>
            <w:tcW w:w="0" w:type="dxa"/>
            <w:vAlign w:val="bottom"/>
          </w:tcPr>
          <w:p>
            <w:pPr>
              <w:spacing w:after="0"/>
              <w:rPr>
                <w:sz w:val="1"/>
                <w:szCs w:val="1"/>
                <w:color w:val="auto"/>
              </w:rPr>
            </w:pPr>
          </w:p>
        </w:tc>
      </w:tr>
      <w:tr>
        <w:trPr>
          <w:trHeight w:val="153"/>
        </w:trPr>
        <w:tc>
          <w:tcPr>
            <w:tcW w:w="4360" w:type="dxa"/>
            <w:vAlign w:val="bottom"/>
            <w:shd w:val="clear" w:color="auto" w:fill="B7E5FF"/>
          </w:tcPr>
          <w:p>
            <w:pPr>
              <w:ind w:left="100"/>
              <w:spacing w:after="0"/>
              <w:rPr>
                <w:sz w:val="20"/>
                <w:szCs w:val="20"/>
                <w:color w:val="auto"/>
              </w:rPr>
            </w:pPr>
            <w:r>
              <w:rPr>
                <w:rFonts w:ascii="Arial" w:cs="Arial" w:eastAsia="Arial" w:hAnsi="Arial"/>
                <w:sz w:val="12"/>
                <w:szCs w:val="12"/>
                <w:color w:val="auto"/>
              </w:rPr>
              <w:t>Asia/Pacific</w:t>
            </w:r>
          </w:p>
        </w:tc>
        <w:tc>
          <w:tcPr>
            <w:tcW w:w="1520" w:type="dxa"/>
            <w:vAlign w:val="bottom"/>
            <w:shd w:val="clear" w:color="auto" w:fill="B7E5FF"/>
          </w:tcPr>
          <w:p>
            <w:pPr>
              <w:spacing w:after="0"/>
              <w:rPr>
                <w:sz w:val="13"/>
                <w:szCs w:val="13"/>
                <w:color w:val="auto"/>
              </w:rPr>
            </w:pPr>
          </w:p>
        </w:tc>
        <w:tc>
          <w:tcPr>
            <w:tcW w:w="780" w:type="dxa"/>
            <w:vAlign w:val="bottom"/>
            <w:shd w:val="clear" w:color="auto" w:fill="B7E5FF"/>
          </w:tcPr>
          <w:p>
            <w:pPr>
              <w:spacing w:after="0"/>
              <w:rPr>
                <w:sz w:val="13"/>
                <w:szCs w:val="13"/>
                <w:color w:val="auto"/>
              </w:rPr>
            </w:pPr>
          </w:p>
        </w:tc>
        <w:tc>
          <w:tcPr>
            <w:tcW w:w="5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49,827</w:t>
            </w:r>
          </w:p>
        </w:tc>
        <w:tc>
          <w:tcPr>
            <w:tcW w:w="100" w:type="dxa"/>
            <w:vAlign w:val="bottom"/>
            <w:shd w:val="clear" w:color="auto" w:fill="B7E5FF"/>
          </w:tcPr>
          <w:p>
            <w:pPr>
              <w:spacing w:after="0"/>
              <w:rPr>
                <w:sz w:val="13"/>
                <w:szCs w:val="13"/>
                <w:color w:val="auto"/>
              </w:rPr>
            </w:pPr>
          </w:p>
        </w:tc>
        <w:tc>
          <w:tcPr>
            <w:tcW w:w="520" w:type="dxa"/>
            <w:vAlign w:val="bottom"/>
            <w:shd w:val="clear" w:color="auto" w:fill="B7E5FF"/>
          </w:tcPr>
          <w:p>
            <w:pPr>
              <w:spacing w:after="0"/>
              <w:rPr>
                <w:sz w:val="13"/>
                <w:szCs w:val="13"/>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55,348</w:t>
            </w:r>
          </w:p>
        </w:tc>
        <w:tc>
          <w:tcPr>
            <w:tcW w:w="120" w:type="dxa"/>
            <w:vAlign w:val="bottom"/>
            <w:shd w:val="clear" w:color="auto" w:fill="B7E5FF"/>
          </w:tcPr>
          <w:p>
            <w:pPr>
              <w:spacing w:after="0"/>
              <w:rPr>
                <w:sz w:val="13"/>
                <w:szCs w:val="13"/>
                <w:color w:val="auto"/>
              </w:rPr>
            </w:pPr>
          </w:p>
        </w:tc>
        <w:tc>
          <w:tcPr>
            <w:tcW w:w="300" w:type="dxa"/>
            <w:vAlign w:val="bottom"/>
            <w:shd w:val="clear" w:color="auto" w:fill="B7E5FF"/>
          </w:tcPr>
          <w:p>
            <w:pPr>
              <w:spacing w:after="0"/>
              <w:rPr>
                <w:sz w:val="13"/>
                <w:szCs w:val="13"/>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100,354</w:t>
            </w:r>
          </w:p>
        </w:tc>
        <w:tc>
          <w:tcPr>
            <w:tcW w:w="120" w:type="dxa"/>
            <w:vAlign w:val="bottom"/>
            <w:shd w:val="clear" w:color="auto" w:fill="B7E5FF"/>
          </w:tcPr>
          <w:p>
            <w:pPr>
              <w:spacing w:after="0"/>
              <w:rPr>
                <w:sz w:val="13"/>
                <w:szCs w:val="13"/>
                <w:color w:val="auto"/>
              </w:rPr>
            </w:pPr>
          </w:p>
        </w:tc>
        <w:tc>
          <w:tcPr>
            <w:tcW w:w="480" w:type="dxa"/>
            <w:vAlign w:val="bottom"/>
            <w:shd w:val="clear" w:color="auto" w:fill="B7E5FF"/>
          </w:tcPr>
          <w:p>
            <w:pPr>
              <w:spacing w:after="0"/>
              <w:rPr>
                <w:sz w:val="13"/>
                <w:szCs w:val="13"/>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104,125</w:t>
            </w:r>
          </w:p>
        </w:tc>
        <w:tc>
          <w:tcPr>
            <w:tcW w:w="0" w:type="dxa"/>
            <w:vAlign w:val="bottom"/>
          </w:tcPr>
          <w:p>
            <w:pPr>
              <w:spacing w:after="0"/>
              <w:rPr>
                <w:sz w:val="1"/>
                <w:szCs w:val="1"/>
                <w:color w:val="auto"/>
              </w:rPr>
            </w:pPr>
          </w:p>
        </w:tc>
      </w:tr>
      <w:tr>
        <w:trPr>
          <w:trHeight w:val="153"/>
        </w:trPr>
        <w:tc>
          <w:tcPr>
            <w:tcW w:w="4360" w:type="dxa"/>
            <w:vAlign w:val="bottom"/>
            <w:tcBorders>
              <w:bottom w:val="single" w:sz="8" w:color="B7E5FF"/>
            </w:tcBorders>
          </w:tcPr>
          <w:p>
            <w:pPr>
              <w:ind w:left="100"/>
              <w:spacing w:after="0"/>
              <w:rPr>
                <w:sz w:val="20"/>
                <w:szCs w:val="20"/>
                <w:color w:val="auto"/>
              </w:rPr>
            </w:pPr>
            <w:r>
              <w:rPr>
                <w:rFonts w:ascii="Arial" w:cs="Arial" w:eastAsia="Arial" w:hAnsi="Arial"/>
                <w:sz w:val="12"/>
                <w:szCs w:val="12"/>
                <w:color w:val="auto"/>
              </w:rPr>
              <w:t>South America</w:t>
            </w:r>
          </w:p>
        </w:tc>
        <w:tc>
          <w:tcPr>
            <w:tcW w:w="1520" w:type="dxa"/>
            <w:vAlign w:val="bottom"/>
            <w:tcBorders>
              <w:bottom w:val="single" w:sz="8" w:color="B7E5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8,509</w:t>
            </w:r>
          </w:p>
        </w:tc>
        <w:tc>
          <w:tcPr>
            <w:tcW w:w="100" w:type="dxa"/>
            <w:vAlign w:val="bottom"/>
            <w:tcBorders>
              <w:bottom w:val="single" w:sz="8" w:color="B7E5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9,056</w:t>
            </w:r>
          </w:p>
        </w:tc>
        <w:tc>
          <w:tcPr>
            <w:tcW w:w="120" w:type="dxa"/>
            <w:vAlign w:val="bottom"/>
            <w:tcBorders>
              <w:bottom w:val="single" w:sz="8" w:color="B7E5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17,651</w:t>
            </w:r>
          </w:p>
        </w:tc>
        <w:tc>
          <w:tcPr>
            <w:tcW w:w="120" w:type="dxa"/>
            <w:vAlign w:val="bottom"/>
            <w:tcBorders>
              <w:bottom w:val="single" w:sz="8" w:color="B7E5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18,459</w:t>
            </w:r>
          </w:p>
        </w:tc>
        <w:tc>
          <w:tcPr>
            <w:tcW w:w="0" w:type="dxa"/>
            <w:vAlign w:val="bottom"/>
          </w:tcPr>
          <w:p>
            <w:pPr>
              <w:spacing w:after="0"/>
              <w:rPr>
                <w:sz w:val="1"/>
                <w:szCs w:val="1"/>
                <w:color w:val="auto"/>
              </w:rPr>
            </w:pPr>
          </w:p>
        </w:tc>
      </w:tr>
      <w:tr>
        <w:trPr>
          <w:trHeight w:val="140"/>
        </w:trPr>
        <w:tc>
          <w:tcPr>
            <w:tcW w:w="4360" w:type="dxa"/>
            <w:vAlign w:val="bottom"/>
            <w:tcBorders>
              <w:bottom w:val="single" w:sz="8" w:color="B7E5FF"/>
            </w:tcBorders>
            <w:shd w:val="clear" w:color="auto" w:fill="B7E5FF"/>
          </w:tcPr>
          <w:p>
            <w:pPr>
              <w:spacing w:after="0" w:line="133" w:lineRule="exact"/>
              <w:rPr>
                <w:sz w:val="20"/>
                <w:szCs w:val="20"/>
                <w:color w:val="auto"/>
              </w:rPr>
            </w:pPr>
            <w:r>
              <w:rPr>
                <w:rFonts w:ascii="Arial" w:cs="Arial" w:eastAsia="Arial" w:hAnsi="Arial"/>
                <w:sz w:val="12"/>
                <w:szCs w:val="12"/>
                <w:color w:val="auto"/>
              </w:rPr>
              <w:t>Total net sales</w:t>
            </w:r>
          </w:p>
        </w:tc>
        <w:tc>
          <w:tcPr>
            <w:tcW w:w="1520" w:type="dxa"/>
            <w:vAlign w:val="bottom"/>
            <w:tcBorders>
              <w:bottom w:val="single" w:sz="8" w:color="B7E5FF"/>
            </w:tcBorders>
            <w:shd w:val="clear" w:color="auto" w:fill="B7E5FF"/>
          </w:tcPr>
          <w:p>
            <w:pPr>
              <w:spacing w:after="0"/>
              <w:rPr>
                <w:sz w:val="12"/>
                <w:szCs w:val="12"/>
                <w:color w:val="auto"/>
              </w:rPr>
            </w:pPr>
          </w:p>
        </w:tc>
        <w:tc>
          <w:tcPr>
            <w:tcW w:w="780" w:type="dxa"/>
            <w:vAlign w:val="bottom"/>
            <w:tcBorders>
              <w:bottom w:val="single" w:sz="8" w:color="auto"/>
            </w:tcBorders>
            <w:shd w:val="clear" w:color="auto" w:fill="B7E5FF"/>
          </w:tcPr>
          <w:p>
            <w:pPr>
              <w:jc w:val="right"/>
              <w:ind w:right="665"/>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205,869</w:t>
            </w:r>
          </w:p>
        </w:tc>
        <w:tc>
          <w:tcPr>
            <w:tcW w:w="100" w:type="dxa"/>
            <w:vAlign w:val="bottom"/>
            <w:tcBorders>
              <w:bottom w:val="single" w:sz="8" w:color="B7E5FF"/>
            </w:tcBorders>
            <w:shd w:val="clear" w:color="auto" w:fill="B7E5FF"/>
          </w:tcPr>
          <w:p>
            <w:pPr>
              <w:spacing w:after="0"/>
              <w:rPr>
                <w:sz w:val="12"/>
                <w:szCs w:val="12"/>
                <w:color w:val="auto"/>
              </w:rPr>
            </w:pPr>
          </w:p>
        </w:tc>
        <w:tc>
          <w:tcPr>
            <w:tcW w:w="520" w:type="dxa"/>
            <w:vAlign w:val="bottom"/>
            <w:tcBorders>
              <w:bottom w:val="single" w:sz="8" w:color="auto"/>
            </w:tcBorders>
            <w:shd w:val="clear" w:color="auto" w:fill="B7E5FF"/>
          </w:tcPr>
          <w:p>
            <w:pPr>
              <w:jc w:val="right"/>
              <w:ind w:right="380"/>
              <w:spacing w:after="0" w:line="133" w:lineRule="exact"/>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221,962</w:t>
            </w:r>
          </w:p>
        </w:tc>
        <w:tc>
          <w:tcPr>
            <w:tcW w:w="120" w:type="dxa"/>
            <w:vAlign w:val="bottom"/>
            <w:tcBorders>
              <w:bottom w:val="single" w:sz="8" w:color="B7E5FF"/>
            </w:tcBorders>
            <w:shd w:val="clear" w:color="auto" w:fill="B7E5FF"/>
          </w:tcPr>
          <w:p>
            <w:pPr>
              <w:spacing w:after="0"/>
              <w:rPr>
                <w:sz w:val="12"/>
                <w:szCs w:val="12"/>
                <w:color w:val="auto"/>
              </w:rPr>
            </w:pPr>
          </w:p>
        </w:tc>
        <w:tc>
          <w:tcPr>
            <w:tcW w:w="300" w:type="dxa"/>
            <w:vAlign w:val="bottom"/>
            <w:tcBorders>
              <w:bottom w:val="single" w:sz="8" w:color="auto"/>
            </w:tcBorders>
            <w:shd w:val="clear" w:color="auto" w:fill="B7E5FF"/>
          </w:tcPr>
          <w:p>
            <w:pPr>
              <w:jc w:val="right"/>
              <w:ind w:right="19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417,079</w:t>
            </w:r>
          </w:p>
        </w:tc>
        <w:tc>
          <w:tcPr>
            <w:tcW w:w="120" w:type="dxa"/>
            <w:vAlign w:val="bottom"/>
            <w:tcBorders>
              <w:bottom w:val="single" w:sz="8" w:color="B7E5FF"/>
            </w:tcBorders>
            <w:shd w:val="clear" w:color="auto" w:fill="B7E5FF"/>
          </w:tcPr>
          <w:p>
            <w:pPr>
              <w:spacing w:after="0"/>
              <w:rPr>
                <w:sz w:val="12"/>
                <w:szCs w:val="12"/>
                <w:color w:val="auto"/>
              </w:rPr>
            </w:pPr>
          </w:p>
        </w:tc>
        <w:tc>
          <w:tcPr>
            <w:tcW w:w="480" w:type="dxa"/>
            <w:vAlign w:val="bottom"/>
            <w:tcBorders>
              <w:bottom w:val="single" w:sz="8" w:color="auto"/>
            </w:tcBorders>
            <w:shd w:val="clear" w:color="auto" w:fill="B7E5FF"/>
          </w:tcPr>
          <w:p>
            <w:pPr>
              <w:jc w:val="right"/>
              <w:ind w:right="37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434,017</w:t>
            </w:r>
          </w:p>
        </w:tc>
        <w:tc>
          <w:tcPr>
            <w:tcW w:w="0" w:type="dxa"/>
            <w:vAlign w:val="bottom"/>
          </w:tcPr>
          <w:p>
            <w:pPr>
              <w:spacing w:after="0"/>
              <w:rPr>
                <w:sz w:val="1"/>
                <w:szCs w:val="1"/>
                <w:color w:val="auto"/>
              </w:rPr>
            </w:pPr>
          </w:p>
        </w:tc>
      </w:tr>
      <w:tr>
        <w:trPr>
          <w:trHeight w:val="144"/>
        </w:trPr>
        <w:tc>
          <w:tcPr>
            <w:tcW w:w="4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360" w:type="dxa"/>
            <w:vAlign w:val="bottom"/>
            <w:shd w:val="clear" w:color="auto" w:fill="B7E5FF"/>
          </w:tcPr>
          <w:p>
            <w:pPr>
              <w:spacing w:after="0"/>
              <w:rPr>
                <w:sz w:val="20"/>
                <w:szCs w:val="20"/>
                <w:color w:val="auto"/>
              </w:rPr>
            </w:pPr>
            <w:r>
              <w:rPr>
                <w:rFonts w:ascii="Arial" w:cs="Arial" w:eastAsia="Arial" w:hAnsi="Arial"/>
                <w:sz w:val="12"/>
                <w:szCs w:val="12"/>
                <w:color w:val="auto"/>
              </w:rPr>
              <w:t>Operating earnings, excluding indirect operating expenses</w:t>
            </w:r>
          </w:p>
        </w:tc>
        <w:tc>
          <w:tcPr>
            <w:tcW w:w="1520" w:type="dxa"/>
            <w:vAlign w:val="bottom"/>
            <w:shd w:val="clear" w:color="auto" w:fill="B7E5FF"/>
          </w:tcPr>
          <w:p>
            <w:pPr>
              <w:spacing w:after="0"/>
              <w:rPr>
                <w:sz w:val="13"/>
                <w:szCs w:val="13"/>
                <w:color w:val="auto"/>
              </w:rPr>
            </w:pPr>
          </w:p>
        </w:tc>
        <w:tc>
          <w:tcPr>
            <w:tcW w:w="780" w:type="dxa"/>
            <w:vAlign w:val="bottom"/>
            <w:shd w:val="clear" w:color="auto" w:fill="B7E5FF"/>
          </w:tcPr>
          <w:p>
            <w:pPr>
              <w:spacing w:after="0"/>
              <w:rPr>
                <w:sz w:val="13"/>
                <w:szCs w:val="13"/>
                <w:color w:val="auto"/>
              </w:rPr>
            </w:pPr>
          </w:p>
        </w:tc>
        <w:tc>
          <w:tcPr>
            <w:tcW w:w="520" w:type="dxa"/>
            <w:vAlign w:val="bottom"/>
            <w:shd w:val="clear" w:color="auto" w:fill="B7E5FF"/>
          </w:tcPr>
          <w:p>
            <w:pPr>
              <w:spacing w:after="0"/>
              <w:rPr>
                <w:sz w:val="13"/>
                <w:szCs w:val="13"/>
                <w:color w:val="auto"/>
              </w:rPr>
            </w:pPr>
          </w:p>
        </w:tc>
        <w:tc>
          <w:tcPr>
            <w:tcW w:w="100" w:type="dxa"/>
            <w:vAlign w:val="bottom"/>
            <w:shd w:val="clear" w:color="auto" w:fill="B7E5FF"/>
          </w:tcPr>
          <w:p>
            <w:pPr>
              <w:spacing w:after="0"/>
              <w:rPr>
                <w:sz w:val="13"/>
                <w:szCs w:val="13"/>
                <w:color w:val="auto"/>
              </w:rPr>
            </w:pPr>
          </w:p>
        </w:tc>
        <w:tc>
          <w:tcPr>
            <w:tcW w:w="520" w:type="dxa"/>
            <w:vAlign w:val="bottom"/>
            <w:shd w:val="clear" w:color="auto" w:fill="B7E5FF"/>
          </w:tcPr>
          <w:p>
            <w:pPr>
              <w:spacing w:after="0"/>
              <w:rPr>
                <w:sz w:val="13"/>
                <w:szCs w:val="13"/>
                <w:color w:val="auto"/>
              </w:rPr>
            </w:pPr>
          </w:p>
        </w:tc>
        <w:tc>
          <w:tcPr>
            <w:tcW w:w="800" w:type="dxa"/>
            <w:vAlign w:val="bottom"/>
            <w:shd w:val="clear" w:color="auto" w:fill="B7E5FF"/>
          </w:tcPr>
          <w:p>
            <w:pPr>
              <w:spacing w:after="0"/>
              <w:rPr>
                <w:sz w:val="13"/>
                <w:szCs w:val="13"/>
                <w:color w:val="auto"/>
              </w:rPr>
            </w:pPr>
          </w:p>
        </w:tc>
        <w:tc>
          <w:tcPr>
            <w:tcW w:w="120" w:type="dxa"/>
            <w:vAlign w:val="bottom"/>
            <w:shd w:val="clear" w:color="auto" w:fill="B7E5FF"/>
          </w:tcPr>
          <w:p>
            <w:pPr>
              <w:spacing w:after="0"/>
              <w:rPr>
                <w:sz w:val="13"/>
                <w:szCs w:val="13"/>
                <w:color w:val="auto"/>
              </w:rPr>
            </w:pPr>
          </w:p>
        </w:tc>
        <w:tc>
          <w:tcPr>
            <w:tcW w:w="300" w:type="dxa"/>
            <w:vAlign w:val="bottom"/>
            <w:shd w:val="clear" w:color="auto" w:fill="B7E5FF"/>
          </w:tcPr>
          <w:p>
            <w:pPr>
              <w:spacing w:after="0"/>
              <w:rPr>
                <w:sz w:val="13"/>
                <w:szCs w:val="13"/>
                <w:color w:val="auto"/>
              </w:rPr>
            </w:pPr>
          </w:p>
        </w:tc>
        <w:tc>
          <w:tcPr>
            <w:tcW w:w="1000" w:type="dxa"/>
            <w:vAlign w:val="bottom"/>
            <w:shd w:val="clear" w:color="auto" w:fill="B7E5FF"/>
          </w:tcPr>
          <w:p>
            <w:pPr>
              <w:spacing w:after="0"/>
              <w:rPr>
                <w:sz w:val="13"/>
                <w:szCs w:val="13"/>
                <w:color w:val="auto"/>
              </w:rPr>
            </w:pPr>
          </w:p>
        </w:tc>
        <w:tc>
          <w:tcPr>
            <w:tcW w:w="120" w:type="dxa"/>
            <w:vAlign w:val="bottom"/>
            <w:shd w:val="clear" w:color="auto" w:fill="B7E5FF"/>
          </w:tcPr>
          <w:p>
            <w:pPr>
              <w:spacing w:after="0"/>
              <w:rPr>
                <w:sz w:val="13"/>
                <w:szCs w:val="13"/>
                <w:color w:val="auto"/>
              </w:rPr>
            </w:pPr>
          </w:p>
        </w:tc>
        <w:tc>
          <w:tcPr>
            <w:tcW w:w="480" w:type="dxa"/>
            <w:vAlign w:val="bottom"/>
            <w:shd w:val="clear" w:color="auto" w:fill="B7E5FF"/>
          </w:tcPr>
          <w:p>
            <w:pPr>
              <w:spacing w:after="0"/>
              <w:rPr>
                <w:sz w:val="13"/>
                <w:szCs w:val="13"/>
                <w:color w:val="auto"/>
              </w:rPr>
            </w:pPr>
          </w:p>
        </w:tc>
        <w:tc>
          <w:tcPr>
            <w:tcW w:w="860" w:type="dxa"/>
            <w:vAlign w:val="bottom"/>
            <w:shd w:val="clear" w:color="auto" w:fill="B7E5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60" w:type="dxa"/>
            <w:vAlign w:val="bottom"/>
          </w:tcPr>
          <w:p>
            <w:pPr>
              <w:ind w:left="100"/>
              <w:spacing w:after="0"/>
              <w:rPr>
                <w:sz w:val="20"/>
                <w:szCs w:val="20"/>
                <w:color w:val="auto"/>
              </w:rPr>
            </w:pPr>
            <w:r>
              <w:rPr>
                <w:rFonts w:ascii="Arial" w:cs="Arial" w:eastAsia="Arial" w:hAnsi="Arial"/>
                <w:sz w:val="12"/>
                <w:szCs w:val="12"/>
                <w:color w:val="auto"/>
              </w:rPr>
              <w:t>North America</w:t>
            </w:r>
          </w:p>
        </w:tc>
        <w:tc>
          <w:tcPr>
            <w:tcW w:w="2300" w:type="dxa"/>
            <w:vAlign w:val="bottom"/>
            <w:gridSpan w:val="2"/>
          </w:tcPr>
          <w:p>
            <w:pPr>
              <w:jc w:val="right"/>
              <w:ind w:right="665"/>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20,547</w:t>
            </w:r>
          </w:p>
        </w:tc>
        <w:tc>
          <w:tcPr>
            <w:tcW w:w="100" w:type="dxa"/>
            <w:vAlign w:val="bottom"/>
          </w:tcPr>
          <w:p>
            <w:pPr>
              <w:spacing w:after="0"/>
              <w:rPr>
                <w:sz w:val="13"/>
                <w:szCs w:val="13"/>
                <w:color w:val="auto"/>
              </w:rPr>
            </w:pPr>
          </w:p>
        </w:tc>
        <w:tc>
          <w:tcPr>
            <w:tcW w:w="520" w:type="dxa"/>
            <w:vAlign w:val="bottom"/>
          </w:tcPr>
          <w:p>
            <w:pPr>
              <w:jc w:val="right"/>
              <w:ind w:right="380"/>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23,237</w:t>
            </w:r>
          </w:p>
        </w:tc>
        <w:tc>
          <w:tcPr>
            <w:tcW w:w="120" w:type="dxa"/>
            <w:vAlign w:val="bottom"/>
          </w:tcPr>
          <w:p>
            <w:pPr>
              <w:spacing w:after="0"/>
              <w:rPr>
                <w:sz w:val="13"/>
                <w:szCs w:val="13"/>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41,419</w:t>
            </w:r>
          </w:p>
        </w:tc>
        <w:tc>
          <w:tcPr>
            <w:tcW w:w="120" w:type="dxa"/>
            <w:vAlign w:val="bottom"/>
          </w:tcPr>
          <w:p>
            <w:pPr>
              <w:spacing w:after="0"/>
              <w:rPr>
                <w:sz w:val="13"/>
                <w:szCs w:val="13"/>
                <w:color w:val="auto"/>
              </w:rPr>
            </w:pPr>
          </w:p>
        </w:tc>
        <w:tc>
          <w:tcPr>
            <w:tcW w:w="480" w:type="dxa"/>
            <w:vAlign w:val="bottom"/>
          </w:tcPr>
          <w:p>
            <w:pPr>
              <w:jc w:val="right"/>
              <w:ind w:right="37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43,602</w:t>
            </w:r>
          </w:p>
        </w:tc>
        <w:tc>
          <w:tcPr>
            <w:tcW w:w="0" w:type="dxa"/>
            <w:vAlign w:val="bottom"/>
          </w:tcPr>
          <w:p>
            <w:pPr>
              <w:spacing w:after="0"/>
              <w:rPr>
                <w:sz w:val="1"/>
                <w:szCs w:val="1"/>
                <w:color w:val="auto"/>
              </w:rPr>
            </w:pPr>
          </w:p>
        </w:tc>
      </w:tr>
      <w:tr>
        <w:trPr>
          <w:trHeight w:val="153"/>
        </w:trPr>
        <w:tc>
          <w:tcPr>
            <w:tcW w:w="4360" w:type="dxa"/>
            <w:vAlign w:val="bottom"/>
            <w:shd w:val="clear" w:color="auto" w:fill="B7E5FF"/>
          </w:tcPr>
          <w:p>
            <w:pPr>
              <w:ind w:left="100"/>
              <w:spacing w:after="0"/>
              <w:rPr>
                <w:sz w:val="20"/>
                <w:szCs w:val="20"/>
                <w:color w:val="auto"/>
              </w:rPr>
            </w:pPr>
            <w:r>
              <w:rPr>
                <w:rFonts w:ascii="Arial" w:cs="Arial" w:eastAsia="Arial" w:hAnsi="Arial"/>
                <w:sz w:val="12"/>
                <w:szCs w:val="12"/>
                <w:color w:val="auto"/>
              </w:rPr>
              <w:t>EMEA</w:t>
            </w:r>
          </w:p>
        </w:tc>
        <w:tc>
          <w:tcPr>
            <w:tcW w:w="1520" w:type="dxa"/>
            <w:vAlign w:val="bottom"/>
            <w:shd w:val="clear" w:color="auto" w:fill="B7E5FF"/>
          </w:tcPr>
          <w:p>
            <w:pPr>
              <w:spacing w:after="0"/>
              <w:rPr>
                <w:sz w:val="13"/>
                <w:szCs w:val="13"/>
                <w:color w:val="auto"/>
              </w:rPr>
            </w:pPr>
          </w:p>
        </w:tc>
        <w:tc>
          <w:tcPr>
            <w:tcW w:w="780" w:type="dxa"/>
            <w:vAlign w:val="bottom"/>
            <w:shd w:val="clear" w:color="auto" w:fill="B7E5FF"/>
          </w:tcPr>
          <w:p>
            <w:pPr>
              <w:spacing w:after="0"/>
              <w:rPr>
                <w:sz w:val="13"/>
                <w:szCs w:val="13"/>
                <w:color w:val="auto"/>
              </w:rPr>
            </w:pPr>
          </w:p>
        </w:tc>
        <w:tc>
          <w:tcPr>
            <w:tcW w:w="5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9,043</w:t>
            </w:r>
          </w:p>
        </w:tc>
        <w:tc>
          <w:tcPr>
            <w:tcW w:w="100" w:type="dxa"/>
            <w:vAlign w:val="bottom"/>
            <w:shd w:val="clear" w:color="auto" w:fill="B7E5FF"/>
          </w:tcPr>
          <w:p>
            <w:pPr>
              <w:spacing w:after="0"/>
              <w:rPr>
                <w:sz w:val="13"/>
                <w:szCs w:val="13"/>
                <w:color w:val="auto"/>
              </w:rPr>
            </w:pPr>
          </w:p>
        </w:tc>
        <w:tc>
          <w:tcPr>
            <w:tcW w:w="520" w:type="dxa"/>
            <w:vAlign w:val="bottom"/>
            <w:shd w:val="clear" w:color="auto" w:fill="B7E5FF"/>
          </w:tcPr>
          <w:p>
            <w:pPr>
              <w:spacing w:after="0"/>
              <w:rPr>
                <w:sz w:val="13"/>
                <w:szCs w:val="13"/>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9,096</w:t>
            </w:r>
          </w:p>
        </w:tc>
        <w:tc>
          <w:tcPr>
            <w:tcW w:w="120" w:type="dxa"/>
            <w:vAlign w:val="bottom"/>
            <w:shd w:val="clear" w:color="auto" w:fill="B7E5FF"/>
          </w:tcPr>
          <w:p>
            <w:pPr>
              <w:spacing w:after="0"/>
              <w:rPr>
                <w:sz w:val="13"/>
                <w:szCs w:val="13"/>
                <w:color w:val="auto"/>
              </w:rPr>
            </w:pPr>
          </w:p>
        </w:tc>
        <w:tc>
          <w:tcPr>
            <w:tcW w:w="300" w:type="dxa"/>
            <w:vAlign w:val="bottom"/>
            <w:shd w:val="clear" w:color="auto" w:fill="B7E5FF"/>
          </w:tcPr>
          <w:p>
            <w:pPr>
              <w:spacing w:after="0"/>
              <w:rPr>
                <w:sz w:val="13"/>
                <w:szCs w:val="13"/>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17,825</w:t>
            </w:r>
          </w:p>
        </w:tc>
        <w:tc>
          <w:tcPr>
            <w:tcW w:w="120" w:type="dxa"/>
            <w:vAlign w:val="bottom"/>
            <w:shd w:val="clear" w:color="auto" w:fill="B7E5FF"/>
          </w:tcPr>
          <w:p>
            <w:pPr>
              <w:spacing w:after="0"/>
              <w:rPr>
                <w:sz w:val="13"/>
                <w:szCs w:val="13"/>
                <w:color w:val="auto"/>
              </w:rPr>
            </w:pPr>
          </w:p>
        </w:tc>
        <w:tc>
          <w:tcPr>
            <w:tcW w:w="480" w:type="dxa"/>
            <w:vAlign w:val="bottom"/>
            <w:shd w:val="clear" w:color="auto" w:fill="B7E5FF"/>
          </w:tcPr>
          <w:p>
            <w:pPr>
              <w:spacing w:after="0"/>
              <w:rPr>
                <w:sz w:val="13"/>
                <w:szCs w:val="13"/>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19,389</w:t>
            </w:r>
          </w:p>
        </w:tc>
        <w:tc>
          <w:tcPr>
            <w:tcW w:w="0" w:type="dxa"/>
            <w:vAlign w:val="bottom"/>
          </w:tcPr>
          <w:p>
            <w:pPr>
              <w:spacing w:after="0"/>
              <w:rPr>
                <w:sz w:val="1"/>
                <w:szCs w:val="1"/>
                <w:color w:val="auto"/>
              </w:rPr>
            </w:pPr>
          </w:p>
        </w:tc>
      </w:tr>
      <w:tr>
        <w:trPr>
          <w:trHeight w:val="153"/>
        </w:trPr>
        <w:tc>
          <w:tcPr>
            <w:tcW w:w="4360" w:type="dxa"/>
            <w:vAlign w:val="bottom"/>
          </w:tcPr>
          <w:p>
            <w:pPr>
              <w:ind w:left="100"/>
              <w:spacing w:after="0"/>
              <w:rPr>
                <w:sz w:val="20"/>
                <w:szCs w:val="20"/>
                <w:color w:val="auto"/>
              </w:rPr>
            </w:pPr>
            <w:r>
              <w:rPr>
                <w:rFonts w:ascii="Arial" w:cs="Arial" w:eastAsia="Arial" w:hAnsi="Arial"/>
                <w:sz w:val="12"/>
                <w:szCs w:val="12"/>
                <w:color w:val="auto"/>
              </w:rPr>
              <w:t>Asia/Pacific</w:t>
            </w:r>
          </w:p>
        </w:tc>
        <w:tc>
          <w:tcPr>
            <w:tcW w:w="1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12,685</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14,621</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25,767</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26,763</w:t>
            </w:r>
          </w:p>
        </w:tc>
        <w:tc>
          <w:tcPr>
            <w:tcW w:w="0" w:type="dxa"/>
            <w:vAlign w:val="bottom"/>
          </w:tcPr>
          <w:p>
            <w:pPr>
              <w:spacing w:after="0"/>
              <w:rPr>
                <w:sz w:val="1"/>
                <w:szCs w:val="1"/>
                <w:color w:val="auto"/>
              </w:rPr>
            </w:pPr>
          </w:p>
        </w:tc>
      </w:tr>
      <w:tr>
        <w:trPr>
          <w:trHeight w:val="153"/>
        </w:trPr>
        <w:tc>
          <w:tcPr>
            <w:tcW w:w="4360" w:type="dxa"/>
            <w:vAlign w:val="bottom"/>
            <w:shd w:val="clear" w:color="auto" w:fill="B7E5FF"/>
          </w:tcPr>
          <w:p>
            <w:pPr>
              <w:ind w:left="100"/>
              <w:spacing w:after="0"/>
              <w:rPr>
                <w:sz w:val="20"/>
                <w:szCs w:val="20"/>
                <w:color w:val="auto"/>
              </w:rPr>
            </w:pPr>
            <w:r>
              <w:rPr>
                <w:rFonts w:ascii="Arial" w:cs="Arial" w:eastAsia="Arial" w:hAnsi="Arial"/>
                <w:sz w:val="12"/>
                <w:szCs w:val="12"/>
                <w:color w:val="auto"/>
              </w:rPr>
              <w:t>South America</w:t>
            </w:r>
          </w:p>
        </w:tc>
        <w:tc>
          <w:tcPr>
            <w:tcW w:w="1520" w:type="dxa"/>
            <w:vAlign w:val="bottom"/>
            <w:shd w:val="clear" w:color="auto" w:fill="B7E5FF"/>
          </w:tcPr>
          <w:p>
            <w:pPr>
              <w:spacing w:after="0"/>
              <w:rPr>
                <w:sz w:val="13"/>
                <w:szCs w:val="13"/>
                <w:color w:val="auto"/>
              </w:rPr>
            </w:pPr>
          </w:p>
        </w:tc>
        <w:tc>
          <w:tcPr>
            <w:tcW w:w="780" w:type="dxa"/>
            <w:vAlign w:val="bottom"/>
            <w:tcBorders>
              <w:bottom w:val="single" w:sz="8" w:color="auto"/>
            </w:tcBorders>
            <w:shd w:val="clear" w:color="auto" w:fill="B7E5FF"/>
          </w:tcPr>
          <w:p>
            <w:pPr>
              <w:spacing w:after="0"/>
              <w:rPr>
                <w:sz w:val="13"/>
                <w:szCs w:val="13"/>
                <w:color w:val="auto"/>
              </w:rPr>
            </w:pPr>
          </w:p>
        </w:tc>
        <w:tc>
          <w:tcPr>
            <w:tcW w:w="5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1,220</w:t>
            </w:r>
          </w:p>
        </w:tc>
        <w:tc>
          <w:tcPr>
            <w:tcW w:w="100" w:type="dxa"/>
            <w:vAlign w:val="bottom"/>
            <w:shd w:val="clear" w:color="auto" w:fill="B7E5FF"/>
          </w:tcPr>
          <w:p>
            <w:pPr>
              <w:spacing w:after="0"/>
              <w:rPr>
                <w:sz w:val="13"/>
                <w:szCs w:val="13"/>
                <w:color w:val="auto"/>
              </w:rPr>
            </w:pPr>
          </w:p>
        </w:tc>
        <w:tc>
          <w:tcPr>
            <w:tcW w:w="520" w:type="dxa"/>
            <w:vAlign w:val="bottom"/>
            <w:tcBorders>
              <w:bottom w:val="single" w:sz="8" w:color="auto"/>
            </w:tcBorders>
            <w:shd w:val="clear" w:color="auto" w:fill="B7E5FF"/>
          </w:tcPr>
          <w:p>
            <w:pPr>
              <w:spacing w:after="0"/>
              <w:rPr>
                <w:sz w:val="13"/>
                <w:szCs w:val="13"/>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1,114</w:t>
            </w:r>
          </w:p>
        </w:tc>
        <w:tc>
          <w:tcPr>
            <w:tcW w:w="120" w:type="dxa"/>
            <w:vAlign w:val="bottom"/>
            <w:shd w:val="clear" w:color="auto" w:fill="B7E5FF"/>
          </w:tcPr>
          <w:p>
            <w:pPr>
              <w:spacing w:after="0"/>
              <w:rPr>
                <w:sz w:val="13"/>
                <w:szCs w:val="13"/>
                <w:color w:val="auto"/>
              </w:rPr>
            </w:pPr>
          </w:p>
        </w:tc>
        <w:tc>
          <w:tcPr>
            <w:tcW w:w="300" w:type="dxa"/>
            <w:vAlign w:val="bottom"/>
            <w:tcBorders>
              <w:bottom w:val="single" w:sz="8" w:color="auto"/>
            </w:tcBorders>
            <w:shd w:val="clear" w:color="auto" w:fill="B7E5FF"/>
          </w:tcPr>
          <w:p>
            <w:pPr>
              <w:spacing w:after="0"/>
              <w:rPr>
                <w:sz w:val="13"/>
                <w:szCs w:val="13"/>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2,417</w:t>
            </w:r>
          </w:p>
        </w:tc>
        <w:tc>
          <w:tcPr>
            <w:tcW w:w="120" w:type="dxa"/>
            <w:vAlign w:val="bottom"/>
            <w:shd w:val="clear" w:color="auto" w:fill="B7E5FF"/>
          </w:tcPr>
          <w:p>
            <w:pPr>
              <w:spacing w:after="0"/>
              <w:rPr>
                <w:sz w:val="13"/>
                <w:szCs w:val="13"/>
                <w:color w:val="auto"/>
              </w:rPr>
            </w:pPr>
          </w:p>
        </w:tc>
        <w:tc>
          <w:tcPr>
            <w:tcW w:w="480" w:type="dxa"/>
            <w:vAlign w:val="bottom"/>
            <w:tcBorders>
              <w:bottom w:val="single" w:sz="8" w:color="auto"/>
            </w:tcBorders>
            <w:shd w:val="clear" w:color="auto" w:fill="B7E5FF"/>
          </w:tcPr>
          <w:p>
            <w:pPr>
              <w:spacing w:after="0"/>
              <w:rPr>
                <w:sz w:val="13"/>
                <w:szCs w:val="13"/>
                <w:color w:val="auto"/>
              </w:rPr>
            </w:pPr>
          </w:p>
        </w:tc>
        <w:tc>
          <w:tcPr>
            <w:tcW w:w="8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1,749</w:t>
            </w:r>
          </w:p>
        </w:tc>
        <w:tc>
          <w:tcPr>
            <w:tcW w:w="0" w:type="dxa"/>
            <w:vAlign w:val="bottom"/>
          </w:tcPr>
          <w:p>
            <w:pPr>
              <w:spacing w:after="0"/>
              <w:rPr>
                <w:sz w:val="1"/>
                <w:szCs w:val="1"/>
                <w:color w:val="auto"/>
              </w:rPr>
            </w:pPr>
          </w:p>
        </w:tc>
      </w:tr>
      <w:tr>
        <w:trPr>
          <w:trHeight w:val="133"/>
        </w:trPr>
        <w:tc>
          <w:tcPr>
            <w:tcW w:w="4360" w:type="dxa"/>
            <w:vAlign w:val="bottom"/>
          </w:tcPr>
          <w:p>
            <w:pPr>
              <w:spacing w:after="0" w:line="133" w:lineRule="exact"/>
              <w:rPr>
                <w:sz w:val="20"/>
                <w:szCs w:val="20"/>
                <w:color w:val="auto"/>
              </w:rPr>
            </w:pPr>
            <w:r>
              <w:rPr>
                <w:rFonts w:ascii="Arial" w:cs="Arial" w:eastAsia="Arial" w:hAnsi="Arial"/>
                <w:sz w:val="12"/>
                <w:szCs w:val="12"/>
                <w:color w:val="auto"/>
              </w:rPr>
              <w:t>Total operating earnings, excluding indirect operating expenses</w:t>
            </w:r>
          </w:p>
        </w:tc>
        <w:tc>
          <w:tcPr>
            <w:tcW w:w="1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jc w:val="right"/>
              <w:spacing w:after="0" w:line="133" w:lineRule="exact"/>
              <w:rPr>
                <w:sz w:val="20"/>
                <w:szCs w:val="20"/>
                <w:color w:val="auto"/>
              </w:rPr>
            </w:pPr>
            <w:r>
              <w:rPr>
                <w:rFonts w:ascii="Arial" w:cs="Arial" w:eastAsia="Arial" w:hAnsi="Arial"/>
                <w:sz w:val="12"/>
                <w:szCs w:val="12"/>
                <w:color w:val="auto"/>
              </w:rPr>
              <w:t>43,495</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48,068</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jc w:val="right"/>
              <w:spacing w:after="0" w:line="133" w:lineRule="exact"/>
              <w:rPr>
                <w:sz w:val="20"/>
                <w:szCs w:val="20"/>
                <w:color w:val="auto"/>
              </w:rPr>
            </w:pPr>
            <w:r>
              <w:rPr>
                <w:rFonts w:ascii="Arial" w:cs="Arial" w:eastAsia="Arial" w:hAnsi="Arial"/>
                <w:sz w:val="12"/>
                <w:szCs w:val="12"/>
                <w:color w:val="auto"/>
              </w:rPr>
              <w:t>87,428</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Arial" w:cs="Arial" w:eastAsia="Arial" w:hAnsi="Arial"/>
                <w:sz w:val="12"/>
                <w:szCs w:val="12"/>
                <w:color w:val="auto"/>
              </w:rPr>
              <w:t>91,503</w:t>
            </w:r>
          </w:p>
        </w:tc>
        <w:tc>
          <w:tcPr>
            <w:tcW w:w="0" w:type="dxa"/>
            <w:vAlign w:val="bottom"/>
          </w:tcPr>
          <w:p>
            <w:pPr>
              <w:spacing w:after="0"/>
              <w:rPr>
                <w:sz w:val="1"/>
                <w:szCs w:val="1"/>
                <w:color w:val="auto"/>
              </w:rPr>
            </w:pPr>
          </w:p>
        </w:tc>
      </w:tr>
      <w:tr>
        <w:trPr>
          <w:trHeight w:val="153"/>
        </w:trPr>
        <w:tc>
          <w:tcPr>
            <w:tcW w:w="4360" w:type="dxa"/>
            <w:vAlign w:val="bottom"/>
            <w:shd w:val="clear" w:color="auto" w:fill="B7E5FF"/>
          </w:tcPr>
          <w:p>
            <w:pPr>
              <w:spacing w:after="0"/>
              <w:rPr>
                <w:sz w:val="20"/>
                <w:szCs w:val="20"/>
                <w:color w:val="auto"/>
              </w:rPr>
            </w:pPr>
            <w:r>
              <w:rPr>
                <w:rFonts w:ascii="Arial" w:cs="Arial" w:eastAsia="Arial" w:hAnsi="Arial"/>
                <w:sz w:val="12"/>
                <w:szCs w:val="12"/>
                <w:color w:val="auto"/>
              </w:rPr>
              <w:t>Combination and other acquisition-related expenses</w:t>
            </w:r>
          </w:p>
        </w:tc>
        <w:tc>
          <w:tcPr>
            <w:tcW w:w="1520" w:type="dxa"/>
            <w:vAlign w:val="bottom"/>
            <w:shd w:val="clear" w:color="auto" w:fill="B7E5FF"/>
          </w:tcPr>
          <w:p>
            <w:pPr>
              <w:spacing w:after="0"/>
              <w:rPr>
                <w:sz w:val="13"/>
                <w:szCs w:val="13"/>
                <w:color w:val="auto"/>
              </w:rPr>
            </w:pPr>
          </w:p>
        </w:tc>
        <w:tc>
          <w:tcPr>
            <w:tcW w:w="780" w:type="dxa"/>
            <w:vAlign w:val="bottom"/>
            <w:shd w:val="clear" w:color="auto" w:fill="B7E5FF"/>
          </w:tcPr>
          <w:p>
            <w:pPr>
              <w:spacing w:after="0"/>
              <w:rPr>
                <w:sz w:val="13"/>
                <w:szCs w:val="13"/>
                <w:color w:val="auto"/>
              </w:rPr>
            </w:pPr>
          </w:p>
        </w:tc>
        <w:tc>
          <w:tcPr>
            <w:tcW w:w="5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(4,604)</w:t>
            </w:r>
          </w:p>
        </w:tc>
        <w:tc>
          <w:tcPr>
            <w:tcW w:w="100" w:type="dxa"/>
            <w:vAlign w:val="bottom"/>
            <w:shd w:val="clear" w:color="auto" w:fill="B7E5FF"/>
          </w:tcPr>
          <w:p>
            <w:pPr>
              <w:spacing w:after="0"/>
              <w:rPr>
                <w:sz w:val="13"/>
                <w:szCs w:val="13"/>
                <w:color w:val="auto"/>
              </w:rPr>
            </w:pPr>
          </w:p>
        </w:tc>
        <w:tc>
          <w:tcPr>
            <w:tcW w:w="520" w:type="dxa"/>
            <w:vAlign w:val="bottom"/>
            <w:shd w:val="clear" w:color="auto" w:fill="B7E5FF"/>
          </w:tcPr>
          <w:p>
            <w:pPr>
              <w:spacing w:after="0"/>
              <w:rPr>
                <w:sz w:val="13"/>
                <w:szCs w:val="13"/>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(4,291)</w:t>
            </w:r>
          </w:p>
        </w:tc>
        <w:tc>
          <w:tcPr>
            <w:tcW w:w="120" w:type="dxa"/>
            <w:vAlign w:val="bottom"/>
            <w:shd w:val="clear" w:color="auto" w:fill="B7E5FF"/>
          </w:tcPr>
          <w:p>
            <w:pPr>
              <w:spacing w:after="0"/>
              <w:rPr>
                <w:sz w:val="13"/>
                <w:szCs w:val="13"/>
                <w:color w:val="auto"/>
              </w:rPr>
            </w:pPr>
          </w:p>
        </w:tc>
        <w:tc>
          <w:tcPr>
            <w:tcW w:w="300" w:type="dxa"/>
            <w:vAlign w:val="bottom"/>
            <w:shd w:val="clear" w:color="auto" w:fill="B7E5FF"/>
          </w:tcPr>
          <w:p>
            <w:pPr>
              <w:spacing w:after="0"/>
              <w:rPr>
                <w:sz w:val="13"/>
                <w:szCs w:val="13"/>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(9,087)</w:t>
            </w:r>
          </w:p>
        </w:tc>
        <w:tc>
          <w:tcPr>
            <w:tcW w:w="120" w:type="dxa"/>
            <w:vAlign w:val="bottom"/>
            <w:shd w:val="clear" w:color="auto" w:fill="B7E5FF"/>
          </w:tcPr>
          <w:p>
            <w:pPr>
              <w:spacing w:after="0"/>
              <w:rPr>
                <w:sz w:val="13"/>
                <w:szCs w:val="13"/>
                <w:color w:val="auto"/>
              </w:rPr>
            </w:pPr>
          </w:p>
        </w:tc>
        <w:tc>
          <w:tcPr>
            <w:tcW w:w="480" w:type="dxa"/>
            <w:vAlign w:val="bottom"/>
            <w:shd w:val="clear" w:color="auto" w:fill="B7E5FF"/>
          </w:tcPr>
          <w:p>
            <w:pPr>
              <w:spacing w:after="0"/>
              <w:rPr>
                <w:sz w:val="13"/>
                <w:szCs w:val="13"/>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(9,500)</w:t>
            </w:r>
          </w:p>
        </w:tc>
        <w:tc>
          <w:tcPr>
            <w:tcW w:w="0" w:type="dxa"/>
            <w:vAlign w:val="bottom"/>
          </w:tcPr>
          <w:p>
            <w:pPr>
              <w:spacing w:after="0"/>
              <w:rPr>
                <w:sz w:val="1"/>
                <w:szCs w:val="1"/>
                <w:color w:val="auto"/>
              </w:rPr>
            </w:pPr>
          </w:p>
        </w:tc>
      </w:tr>
      <w:tr>
        <w:trPr>
          <w:trHeight w:val="153"/>
        </w:trPr>
        <w:tc>
          <w:tcPr>
            <w:tcW w:w="4360" w:type="dxa"/>
            <w:vAlign w:val="bottom"/>
          </w:tcPr>
          <w:p>
            <w:pPr>
              <w:spacing w:after="0"/>
              <w:rPr>
                <w:sz w:val="20"/>
                <w:szCs w:val="20"/>
                <w:color w:val="auto"/>
              </w:rPr>
            </w:pPr>
            <w:r>
              <w:rPr>
                <w:rFonts w:ascii="Arial" w:cs="Arial" w:eastAsia="Arial" w:hAnsi="Arial"/>
                <w:sz w:val="12"/>
                <w:szCs w:val="12"/>
                <w:color w:val="auto"/>
              </w:rPr>
              <w:t>Non-operating charges</w:t>
            </w:r>
          </w:p>
        </w:tc>
        <w:tc>
          <w:tcPr>
            <w:tcW w:w="1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(16,533)</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(19,344)</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(34,266)</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(35,383)</w:t>
            </w:r>
          </w:p>
        </w:tc>
        <w:tc>
          <w:tcPr>
            <w:tcW w:w="0" w:type="dxa"/>
            <w:vAlign w:val="bottom"/>
          </w:tcPr>
          <w:p>
            <w:pPr>
              <w:spacing w:after="0"/>
              <w:rPr>
                <w:sz w:val="1"/>
                <w:szCs w:val="1"/>
                <w:color w:val="auto"/>
              </w:rPr>
            </w:pPr>
          </w:p>
        </w:tc>
      </w:tr>
      <w:tr>
        <w:trPr>
          <w:trHeight w:val="153"/>
        </w:trPr>
        <w:tc>
          <w:tcPr>
            <w:tcW w:w="4360" w:type="dxa"/>
            <w:vAlign w:val="bottom"/>
            <w:shd w:val="clear" w:color="auto" w:fill="B7E5FF"/>
          </w:tcPr>
          <w:p>
            <w:pPr>
              <w:spacing w:after="0"/>
              <w:rPr>
                <w:sz w:val="20"/>
                <w:szCs w:val="20"/>
                <w:color w:val="auto"/>
              </w:rPr>
            </w:pPr>
            <w:r>
              <w:rPr>
                <w:rFonts w:ascii="Arial" w:cs="Arial" w:eastAsia="Arial" w:hAnsi="Arial"/>
                <w:sz w:val="12"/>
                <w:szCs w:val="12"/>
                <w:color w:val="auto"/>
              </w:rPr>
              <w:t>Depreciation of corporate assets and amortization</w:t>
            </w:r>
          </w:p>
        </w:tc>
        <w:tc>
          <w:tcPr>
            <w:tcW w:w="1520" w:type="dxa"/>
            <w:vAlign w:val="bottom"/>
            <w:shd w:val="clear" w:color="auto" w:fill="B7E5FF"/>
          </w:tcPr>
          <w:p>
            <w:pPr>
              <w:spacing w:after="0"/>
              <w:rPr>
                <w:sz w:val="13"/>
                <w:szCs w:val="13"/>
                <w:color w:val="auto"/>
              </w:rPr>
            </w:pPr>
          </w:p>
        </w:tc>
        <w:tc>
          <w:tcPr>
            <w:tcW w:w="780" w:type="dxa"/>
            <w:vAlign w:val="bottom"/>
            <w:tcBorders>
              <w:bottom w:val="single" w:sz="8" w:color="auto"/>
            </w:tcBorders>
            <w:shd w:val="clear" w:color="auto" w:fill="B7E5FF"/>
          </w:tcPr>
          <w:p>
            <w:pPr>
              <w:spacing w:after="0"/>
              <w:rPr>
                <w:sz w:val="13"/>
                <w:szCs w:val="13"/>
                <w:color w:val="auto"/>
              </w:rPr>
            </w:pPr>
          </w:p>
        </w:tc>
        <w:tc>
          <w:tcPr>
            <w:tcW w:w="5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(1,827)</w:t>
            </w:r>
          </w:p>
        </w:tc>
        <w:tc>
          <w:tcPr>
            <w:tcW w:w="100" w:type="dxa"/>
            <w:vAlign w:val="bottom"/>
            <w:shd w:val="clear" w:color="auto" w:fill="B7E5FF"/>
          </w:tcPr>
          <w:p>
            <w:pPr>
              <w:spacing w:after="0"/>
              <w:rPr>
                <w:sz w:val="13"/>
                <w:szCs w:val="13"/>
                <w:color w:val="auto"/>
              </w:rPr>
            </w:pPr>
          </w:p>
        </w:tc>
        <w:tc>
          <w:tcPr>
            <w:tcW w:w="520" w:type="dxa"/>
            <w:vAlign w:val="bottom"/>
            <w:tcBorders>
              <w:bottom w:val="single" w:sz="8" w:color="auto"/>
            </w:tcBorders>
            <w:shd w:val="clear" w:color="auto" w:fill="B7E5FF"/>
          </w:tcPr>
          <w:p>
            <w:pPr>
              <w:spacing w:after="0"/>
              <w:rPr>
                <w:sz w:val="13"/>
                <w:szCs w:val="13"/>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(1,870)</w:t>
            </w:r>
          </w:p>
        </w:tc>
        <w:tc>
          <w:tcPr>
            <w:tcW w:w="120" w:type="dxa"/>
            <w:vAlign w:val="bottom"/>
            <w:shd w:val="clear" w:color="auto" w:fill="B7E5FF"/>
          </w:tcPr>
          <w:p>
            <w:pPr>
              <w:spacing w:after="0"/>
              <w:rPr>
                <w:sz w:val="13"/>
                <w:szCs w:val="13"/>
                <w:color w:val="auto"/>
              </w:rPr>
            </w:pPr>
          </w:p>
        </w:tc>
        <w:tc>
          <w:tcPr>
            <w:tcW w:w="300" w:type="dxa"/>
            <w:vAlign w:val="bottom"/>
            <w:tcBorders>
              <w:bottom w:val="single" w:sz="8" w:color="auto"/>
            </w:tcBorders>
            <w:shd w:val="clear" w:color="auto" w:fill="B7E5FF"/>
          </w:tcPr>
          <w:p>
            <w:pPr>
              <w:spacing w:after="0"/>
              <w:rPr>
                <w:sz w:val="13"/>
                <w:szCs w:val="13"/>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(3,715)</w:t>
            </w:r>
          </w:p>
        </w:tc>
        <w:tc>
          <w:tcPr>
            <w:tcW w:w="120" w:type="dxa"/>
            <w:vAlign w:val="bottom"/>
            <w:shd w:val="clear" w:color="auto" w:fill="B7E5FF"/>
          </w:tcPr>
          <w:p>
            <w:pPr>
              <w:spacing w:after="0"/>
              <w:rPr>
                <w:sz w:val="13"/>
                <w:szCs w:val="13"/>
                <w:color w:val="auto"/>
              </w:rPr>
            </w:pPr>
          </w:p>
        </w:tc>
        <w:tc>
          <w:tcPr>
            <w:tcW w:w="480" w:type="dxa"/>
            <w:vAlign w:val="bottom"/>
            <w:tcBorders>
              <w:bottom w:val="single" w:sz="8" w:color="auto"/>
            </w:tcBorders>
            <w:shd w:val="clear" w:color="auto" w:fill="B7E5FF"/>
          </w:tcPr>
          <w:p>
            <w:pPr>
              <w:spacing w:after="0"/>
              <w:rPr>
                <w:sz w:val="13"/>
                <w:szCs w:val="13"/>
                <w:color w:val="auto"/>
              </w:rPr>
            </w:pPr>
          </w:p>
        </w:tc>
        <w:tc>
          <w:tcPr>
            <w:tcW w:w="8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(3,826)</w:t>
            </w:r>
          </w:p>
        </w:tc>
        <w:tc>
          <w:tcPr>
            <w:tcW w:w="0" w:type="dxa"/>
            <w:vAlign w:val="bottom"/>
          </w:tcPr>
          <w:p>
            <w:pPr>
              <w:spacing w:after="0"/>
              <w:rPr>
                <w:sz w:val="1"/>
                <w:szCs w:val="1"/>
                <w:color w:val="auto"/>
              </w:rPr>
            </w:pPr>
          </w:p>
        </w:tc>
      </w:tr>
      <w:tr>
        <w:trPr>
          <w:trHeight w:val="133"/>
        </w:trPr>
        <w:tc>
          <w:tcPr>
            <w:tcW w:w="4360" w:type="dxa"/>
            <w:vAlign w:val="bottom"/>
          </w:tcPr>
          <w:p>
            <w:pPr>
              <w:spacing w:after="0" w:line="133" w:lineRule="exact"/>
              <w:rPr>
                <w:sz w:val="20"/>
                <w:szCs w:val="20"/>
                <w:color w:val="auto"/>
              </w:rPr>
            </w:pPr>
            <w:r>
              <w:rPr>
                <w:rFonts w:ascii="Arial" w:cs="Arial" w:eastAsia="Arial" w:hAnsi="Arial"/>
                <w:sz w:val="12"/>
                <w:szCs w:val="12"/>
                <w:color w:val="auto"/>
              </w:rPr>
              <w:t>Operating income</w:t>
            </w:r>
          </w:p>
        </w:tc>
        <w:tc>
          <w:tcPr>
            <w:tcW w:w="1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jc w:val="right"/>
              <w:spacing w:after="0" w:line="133" w:lineRule="exact"/>
              <w:rPr>
                <w:sz w:val="20"/>
                <w:szCs w:val="20"/>
                <w:color w:val="auto"/>
              </w:rPr>
            </w:pPr>
            <w:r>
              <w:rPr>
                <w:rFonts w:ascii="Arial" w:cs="Arial" w:eastAsia="Arial" w:hAnsi="Arial"/>
                <w:sz w:val="12"/>
                <w:szCs w:val="12"/>
                <w:color w:val="auto"/>
              </w:rPr>
              <w:t>20,531</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22,563</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jc w:val="right"/>
              <w:spacing w:after="0" w:line="133" w:lineRule="exact"/>
              <w:rPr>
                <w:sz w:val="20"/>
                <w:szCs w:val="20"/>
                <w:color w:val="auto"/>
              </w:rPr>
            </w:pPr>
            <w:r>
              <w:rPr>
                <w:rFonts w:ascii="Arial" w:cs="Arial" w:eastAsia="Arial" w:hAnsi="Arial"/>
                <w:sz w:val="12"/>
                <w:szCs w:val="12"/>
                <w:color w:val="auto"/>
              </w:rPr>
              <w:t>40,360</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Arial" w:cs="Arial" w:eastAsia="Arial" w:hAnsi="Arial"/>
                <w:sz w:val="12"/>
                <w:szCs w:val="12"/>
                <w:color w:val="auto"/>
              </w:rPr>
              <w:t>42,794</w:t>
            </w:r>
          </w:p>
        </w:tc>
        <w:tc>
          <w:tcPr>
            <w:tcW w:w="0" w:type="dxa"/>
            <w:vAlign w:val="bottom"/>
          </w:tcPr>
          <w:p>
            <w:pPr>
              <w:spacing w:after="0"/>
              <w:rPr>
                <w:sz w:val="1"/>
                <w:szCs w:val="1"/>
                <w:color w:val="auto"/>
              </w:rPr>
            </w:pPr>
          </w:p>
        </w:tc>
      </w:tr>
      <w:tr>
        <w:trPr>
          <w:trHeight w:val="153"/>
        </w:trPr>
        <w:tc>
          <w:tcPr>
            <w:tcW w:w="4360" w:type="dxa"/>
            <w:vAlign w:val="bottom"/>
            <w:shd w:val="clear" w:color="auto" w:fill="B7E5FF"/>
          </w:tcPr>
          <w:p>
            <w:pPr>
              <w:spacing w:after="0"/>
              <w:rPr>
                <w:sz w:val="20"/>
                <w:szCs w:val="20"/>
                <w:color w:val="auto"/>
              </w:rPr>
            </w:pPr>
            <w:r>
              <w:rPr>
                <w:rFonts w:ascii="Arial" w:cs="Arial" w:eastAsia="Arial" w:hAnsi="Arial"/>
                <w:sz w:val="12"/>
                <w:szCs w:val="12"/>
                <w:color w:val="auto"/>
              </w:rPr>
              <w:t>Other income (expense), net</w:t>
            </w:r>
          </w:p>
        </w:tc>
        <w:tc>
          <w:tcPr>
            <w:tcW w:w="1520" w:type="dxa"/>
            <w:vAlign w:val="bottom"/>
            <w:shd w:val="clear" w:color="auto" w:fill="B7E5FF"/>
          </w:tcPr>
          <w:p>
            <w:pPr>
              <w:spacing w:after="0"/>
              <w:rPr>
                <w:sz w:val="13"/>
                <w:szCs w:val="13"/>
                <w:color w:val="auto"/>
              </w:rPr>
            </w:pPr>
          </w:p>
        </w:tc>
        <w:tc>
          <w:tcPr>
            <w:tcW w:w="780" w:type="dxa"/>
            <w:vAlign w:val="bottom"/>
            <w:shd w:val="clear" w:color="auto" w:fill="B7E5FF"/>
          </w:tcPr>
          <w:p>
            <w:pPr>
              <w:spacing w:after="0"/>
              <w:rPr>
                <w:sz w:val="13"/>
                <w:szCs w:val="13"/>
                <w:color w:val="auto"/>
              </w:rPr>
            </w:pPr>
          </w:p>
        </w:tc>
        <w:tc>
          <w:tcPr>
            <w:tcW w:w="5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43</w:t>
            </w:r>
          </w:p>
        </w:tc>
        <w:tc>
          <w:tcPr>
            <w:tcW w:w="100" w:type="dxa"/>
            <w:vAlign w:val="bottom"/>
            <w:shd w:val="clear" w:color="auto" w:fill="B7E5FF"/>
          </w:tcPr>
          <w:p>
            <w:pPr>
              <w:spacing w:after="0"/>
              <w:rPr>
                <w:sz w:val="13"/>
                <w:szCs w:val="13"/>
                <w:color w:val="auto"/>
              </w:rPr>
            </w:pPr>
          </w:p>
        </w:tc>
        <w:tc>
          <w:tcPr>
            <w:tcW w:w="520" w:type="dxa"/>
            <w:vAlign w:val="bottom"/>
            <w:shd w:val="clear" w:color="auto" w:fill="B7E5FF"/>
          </w:tcPr>
          <w:p>
            <w:pPr>
              <w:spacing w:after="0"/>
              <w:rPr>
                <w:sz w:val="13"/>
                <w:szCs w:val="13"/>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261</w:t>
            </w:r>
          </w:p>
        </w:tc>
        <w:tc>
          <w:tcPr>
            <w:tcW w:w="120" w:type="dxa"/>
            <w:vAlign w:val="bottom"/>
            <w:shd w:val="clear" w:color="auto" w:fill="B7E5FF"/>
          </w:tcPr>
          <w:p>
            <w:pPr>
              <w:spacing w:after="0"/>
              <w:rPr>
                <w:sz w:val="13"/>
                <w:szCs w:val="13"/>
                <w:color w:val="auto"/>
              </w:rPr>
            </w:pPr>
          </w:p>
        </w:tc>
        <w:tc>
          <w:tcPr>
            <w:tcW w:w="300" w:type="dxa"/>
            <w:vAlign w:val="bottom"/>
            <w:shd w:val="clear" w:color="auto" w:fill="B7E5FF"/>
          </w:tcPr>
          <w:p>
            <w:pPr>
              <w:spacing w:after="0"/>
              <w:rPr>
                <w:sz w:val="13"/>
                <w:szCs w:val="13"/>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(592)</w:t>
            </w:r>
          </w:p>
        </w:tc>
        <w:tc>
          <w:tcPr>
            <w:tcW w:w="120" w:type="dxa"/>
            <w:vAlign w:val="bottom"/>
            <w:shd w:val="clear" w:color="auto" w:fill="B7E5FF"/>
          </w:tcPr>
          <w:p>
            <w:pPr>
              <w:spacing w:after="0"/>
              <w:rPr>
                <w:sz w:val="13"/>
                <w:szCs w:val="13"/>
                <w:color w:val="auto"/>
              </w:rPr>
            </w:pPr>
          </w:p>
        </w:tc>
        <w:tc>
          <w:tcPr>
            <w:tcW w:w="480" w:type="dxa"/>
            <w:vAlign w:val="bottom"/>
            <w:shd w:val="clear" w:color="auto" w:fill="B7E5FF"/>
          </w:tcPr>
          <w:p>
            <w:pPr>
              <w:spacing w:after="0"/>
              <w:rPr>
                <w:sz w:val="13"/>
                <w:szCs w:val="13"/>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(108)</w:t>
            </w:r>
          </w:p>
        </w:tc>
        <w:tc>
          <w:tcPr>
            <w:tcW w:w="0" w:type="dxa"/>
            <w:vAlign w:val="bottom"/>
          </w:tcPr>
          <w:p>
            <w:pPr>
              <w:spacing w:after="0"/>
              <w:rPr>
                <w:sz w:val="1"/>
                <w:szCs w:val="1"/>
                <w:color w:val="auto"/>
              </w:rPr>
            </w:pPr>
          </w:p>
        </w:tc>
      </w:tr>
      <w:tr>
        <w:trPr>
          <w:trHeight w:val="153"/>
        </w:trPr>
        <w:tc>
          <w:tcPr>
            <w:tcW w:w="4360" w:type="dxa"/>
            <w:vAlign w:val="bottom"/>
          </w:tcPr>
          <w:p>
            <w:pPr>
              <w:spacing w:after="0"/>
              <w:rPr>
                <w:sz w:val="20"/>
                <w:szCs w:val="20"/>
                <w:color w:val="auto"/>
              </w:rPr>
            </w:pPr>
            <w:r>
              <w:rPr>
                <w:rFonts w:ascii="Arial" w:cs="Arial" w:eastAsia="Arial" w:hAnsi="Arial"/>
                <w:sz w:val="12"/>
                <w:szCs w:val="12"/>
                <w:color w:val="auto"/>
              </w:rPr>
              <w:t>Interest expense</w:t>
            </w:r>
          </w:p>
        </w:tc>
        <w:tc>
          <w:tcPr>
            <w:tcW w:w="1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(1,283)</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(1,602)</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(2,497)</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(3,294)</w:t>
            </w:r>
          </w:p>
        </w:tc>
        <w:tc>
          <w:tcPr>
            <w:tcW w:w="0" w:type="dxa"/>
            <w:vAlign w:val="bottom"/>
          </w:tcPr>
          <w:p>
            <w:pPr>
              <w:spacing w:after="0"/>
              <w:rPr>
                <w:sz w:val="1"/>
                <w:szCs w:val="1"/>
                <w:color w:val="auto"/>
              </w:rPr>
            </w:pPr>
          </w:p>
        </w:tc>
      </w:tr>
      <w:tr>
        <w:trPr>
          <w:trHeight w:val="153"/>
        </w:trPr>
        <w:tc>
          <w:tcPr>
            <w:tcW w:w="4360" w:type="dxa"/>
            <w:vAlign w:val="bottom"/>
            <w:shd w:val="clear" w:color="auto" w:fill="B7E5FF"/>
          </w:tcPr>
          <w:p>
            <w:pPr>
              <w:spacing w:after="0"/>
              <w:rPr>
                <w:sz w:val="20"/>
                <w:szCs w:val="20"/>
                <w:color w:val="auto"/>
              </w:rPr>
            </w:pPr>
            <w:r>
              <w:rPr>
                <w:rFonts w:ascii="Arial" w:cs="Arial" w:eastAsia="Arial" w:hAnsi="Arial"/>
                <w:sz w:val="12"/>
                <w:szCs w:val="12"/>
                <w:color w:val="auto"/>
              </w:rPr>
              <w:t>Interest income</w:t>
            </w:r>
          </w:p>
        </w:tc>
        <w:tc>
          <w:tcPr>
            <w:tcW w:w="1520" w:type="dxa"/>
            <w:vAlign w:val="bottom"/>
            <w:shd w:val="clear" w:color="auto" w:fill="B7E5FF"/>
          </w:tcPr>
          <w:p>
            <w:pPr>
              <w:spacing w:after="0"/>
              <w:rPr>
                <w:sz w:val="13"/>
                <w:szCs w:val="13"/>
                <w:color w:val="auto"/>
              </w:rPr>
            </w:pPr>
          </w:p>
        </w:tc>
        <w:tc>
          <w:tcPr>
            <w:tcW w:w="780" w:type="dxa"/>
            <w:vAlign w:val="bottom"/>
            <w:tcBorders>
              <w:bottom w:val="single" w:sz="8" w:color="auto"/>
            </w:tcBorders>
            <w:shd w:val="clear" w:color="auto" w:fill="B7E5FF"/>
          </w:tcPr>
          <w:p>
            <w:pPr>
              <w:spacing w:after="0"/>
              <w:rPr>
                <w:sz w:val="13"/>
                <w:szCs w:val="13"/>
                <w:color w:val="auto"/>
              </w:rPr>
            </w:pPr>
          </w:p>
        </w:tc>
        <w:tc>
          <w:tcPr>
            <w:tcW w:w="5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550</w:t>
            </w:r>
          </w:p>
        </w:tc>
        <w:tc>
          <w:tcPr>
            <w:tcW w:w="100" w:type="dxa"/>
            <w:vAlign w:val="bottom"/>
            <w:shd w:val="clear" w:color="auto" w:fill="B7E5FF"/>
          </w:tcPr>
          <w:p>
            <w:pPr>
              <w:spacing w:after="0"/>
              <w:rPr>
                <w:sz w:val="13"/>
                <w:szCs w:val="13"/>
                <w:color w:val="auto"/>
              </w:rPr>
            </w:pPr>
          </w:p>
        </w:tc>
        <w:tc>
          <w:tcPr>
            <w:tcW w:w="520" w:type="dxa"/>
            <w:vAlign w:val="bottom"/>
            <w:tcBorders>
              <w:bottom w:val="single" w:sz="8" w:color="auto"/>
            </w:tcBorders>
            <w:shd w:val="clear" w:color="auto" w:fill="B7E5FF"/>
          </w:tcPr>
          <w:p>
            <w:pPr>
              <w:spacing w:after="0"/>
              <w:rPr>
                <w:sz w:val="13"/>
                <w:szCs w:val="13"/>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571</w:t>
            </w:r>
          </w:p>
        </w:tc>
        <w:tc>
          <w:tcPr>
            <w:tcW w:w="120" w:type="dxa"/>
            <w:vAlign w:val="bottom"/>
            <w:shd w:val="clear" w:color="auto" w:fill="B7E5FF"/>
          </w:tcPr>
          <w:p>
            <w:pPr>
              <w:spacing w:after="0"/>
              <w:rPr>
                <w:sz w:val="13"/>
                <w:szCs w:val="13"/>
                <w:color w:val="auto"/>
              </w:rPr>
            </w:pPr>
          </w:p>
        </w:tc>
        <w:tc>
          <w:tcPr>
            <w:tcW w:w="300" w:type="dxa"/>
            <w:vAlign w:val="bottom"/>
            <w:tcBorders>
              <w:bottom w:val="single" w:sz="8" w:color="auto"/>
            </w:tcBorders>
            <w:shd w:val="clear" w:color="auto" w:fill="B7E5FF"/>
          </w:tcPr>
          <w:p>
            <w:pPr>
              <w:spacing w:after="0"/>
              <w:rPr>
                <w:sz w:val="13"/>
                <w:szCs w:val="13"/>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988</w:t>
            </w:r>
          </w:p>
        </w:tc>
        <w:tc>
          <w:tcPr>
            <w:tcW w:w="120" w:type="dxa"/>
            <w:vAlign w:val="bottom"/>
            <w:shd w:val="clear" w:color="auto" w:fill="B7E5FF"/>
          </w:tcPr>
          <w:p>
            <w:pPr>
              <w:spacing w:after="0"/>
              <w:rPr>
                <w:sz w:val="13"/>
                <w:szCs w:val="13"/>
                <w:color w:val="auto"/>
              </w:rPr>
            </w:pPr>
          </w:p>
        </w:tc>
        <w:tc>
          <w:tcPr>
            <w:tcW w:w="480" w:type="dxa"/>
            <w:vAlign w:val="bottom"/>
            <w:tcBorders>
              <w:bottom w:val="single" w:sz="8" w:color="auto"/>
            </w:tcBorders>
            <w:shd w:val="clear" w:color="auto" w:fill="B7E5FF"/>
          </w:tcPr>
          <w:p>
            <w:pPr>
              <w:spacing w:after="0"/>
              <w:rPr>
                <w:sz w:val="13"/>
                <w:szCs w:val="13"/>
                <w:color w:val="auto"/>
              </w:rPr>
            </w:pPr>
          </w:p>
        </w:tc>
        <w:tc>
          <w:tcPr>
            <w:tcW w:w="8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1,060</w:t>
            </w:r>
          </w:p>
        </w:tc>
        <w:tc>
          <w:tcPr>
            <w:tcW w:w="0" w:type="dxa"/>
            <w:vAlign w:val="bottom"/>
          </w:tcPr>
          <w:p>
            <w:pPr>
              <w:spacing w:after="0"/>
              <w:rPr>
                <w:sz w:val="1"/>
                <w:szCs w:val="1"/>
                <w:color w:val="auto"/>
              </w:rPr>
            </w:pPr>
          </w:p>
        </w:tc>
      </w:tr>
      <w:tr>
        <w:trPr>
          <w:trHeight w:val="133"/>
        </w:trPr>
        <w:tc>
          <w:tcPr>
            <w:tcW w:w="4360" w:type="dxa"/>
            <w:vAlign w:val="bottom"/>
          </w:tcPr>
          <w:p>
            <w:pPr>
              <w:spacing w:after="0" w:line="133" w:lineRule="exact"/>
              <w:rPr>
                <w:sz w:val="20"/>
                <w:szCs w:val="20"/>
                <w:color w:val="auto"/>
              </w:rPr>
            </w:pPr>
            <w:r>
              <w:rPr>
                <w:rFonts w:ascii="Arial" w:cs="Arial" w:eastAsia="Arial" w:hAnsi="Arial"/>
                <w:sz w:val="12"/>
                <w:szCs w:val="12"/>
                <w:color w:val="auto"/>
              </w:rPr>
              <w:t>Income before taxes and equity in net income of</w:t>
            </w:r>
          </w:p>
        </w:tc>
        <w:tc>
          <w:tcPr>
            <w:tcW w:w="1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360" w:type="dxa"/>
            <w:vAlign w:val="bottom"/>
            <w:shd w:val="clear" w:color="auto" w:fill="B7E5FF"/>
          </w:tcPr>
          <w:p>
            <w:pPr>
              <w:ind w:left="100"/>
              <w:spacing w:after="0"/>
              <w:rPr>
                <w:sz w:val="20"/>
                <w:szCs w:val="20"/>
                <w:color w:val="auto"/>
              </w:rPr>
            </w:pPr>
            <w:r>
              <w:rPr>
                <w:rFonts w:ascii="Arial" w:cs="Arial" w:eastAsia="Arial" w:hAnsi="Arial"/>
                <w:sz w:val="12"/>
                <w:szCs w:val="12"/>
                <w:color w:val="auto"/>
              </w:rPr>
              <w:t>associated companies</w:t>
            </w:r>
          </w:p>
        </w:tc>
        <w:tc>
          <w:tcPr>
            <w:tcW w:w="2300" w:type="dxa"/>
            <w:vAlign w:val="bottom"/>
            <w:gridSpan w:val="2"/>
            <w:shd w:val="clear" w:color="auto" w:fill="B7E5FF"/>
          </w:tcPr>
          <w:p>
            <w:pPr>
              <w:jc w:val="right"/>
              <w:ind w:right="665"/>
              <w:spacing w:after="0"/>
              <w:rPr>
                <w:sz w:val="20"/>
                <w:szCs w:val="20"/>
                <w:color w:val="auto"/>
              </w:rPr>
            </w:pPr>
            <w:r>
              <w:rPr>
                <w:rFonts w:ascii="Arial" w:cs="Arial" w:eastAsia="Arial" w:hAnsi="Arial"/>
                <w:sz w:val="12"/>
                <w:szCs w:val="12"/>
                <w:color w:val="auto"/>
              </w:rPr>
              <w:t>$</w:t>
            </w:r>
          </w:p>
        </w:tc>
        <w:tc>
          <w:tcPr>
            <w:tcW w:w="5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19,841</w:t>
            </w:r>
          </w:p>
        </w:tc>
        <w:tc>
          <w:tcPr>
            <w:tcW w:w="100" w:type="dxa"/>
            <w:vAlign w:val="bottom"/>
            <w:shd w:val="clear" w:color="auto" w:fill="B7E5FF"/>
          </w:tcPr>
          <w:p>
            <w:pPr>
              <w:spacing w:after="0"/>
              <w:rPr>
                <w:sz w:val="15"/>
                <w:szCs w:val="15"/>
                <w:color w:val="auto"/>
              </w:rPr>
            </w:pPr>
          </w:p>
        </w:tc>
        <w:tc>
          <w:tcPr>
            <w:tcW w:w="520" w:type="dxa"/>
            <w:vAlign w:val="bottom"/>
            <w:shd w:val="clear" w:color="auto" w:fill="B7E5FF"/>
          </w:tcPr>
          <w:p>
            <w:pPr>
              <w:jc w:val="right"/>
              <w:ind w:right="38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21,793</w:t>
            </w:r>
          </w:p>
        </w:tc>
        <w:tc>
          <w:tcPr>
            <w:tcW w:w="120" w:type="dxa"/>
            <w:vAlign w:val="bottom"/>
            <w:shd w:val="clear" w:color="auto" w:fill="B7E5FF"/>
          </w:tcPr>
          <w:p>
            <w:pPr>
              <w:spacing w:after="0"/>
              <w:rPr>
                <w:sz w:val="15"/>
                <w:szCs w:val="15"/>
                <w:color w:val="auto"/>
              </w:rPr>
            </w:pPr>
          </w:p>
        </w:tc>
        <w:tc>
          <w:tcPr>
            <w:tcW w:w="300" w:type="dxa"/>
            <w:vAlign w:val="bottom"/>
            <w:shd w:val="clear" w:color="auto" w:fill="B7E5FF"/>
          </w:tcPr>
          <w:p>
            <w:pPr>
              <w:jc w:val="right"/>
              <w:ind w:right="19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38,259</w:t>
            </w:r>
          </w:p>
        </w:tc>
        <w:tc>
          <w:tcPr>
            <w:tcW w:w="120" w:type="dxa"/>
            <w:vAlign w:val="bottom"/>
            <w:shd w:val="clear" w:color="auto" w:fill="B7E5FF"/>
          </w:tcPr>
          <w:p>
            <w:pPr>
              <w:spacing w:after="0"/>
              <w:rPr>
                <w:sz w:val="15"/>
                <w:szCs w:val="15"/>
                <w:color w:val="auto"/>
              </w:rPr>
            </w:pPr>
          </w:p>
        </w:tc>
        <w:tc>
          <w:tcPr>
            <w:tcW w:w="480" w:type="dxa"/>
            <w:vAlign w:val="bottom"/>
            <w:shd w:val="clear" w:color="auto" w:fill="B7E5FF"/>
          </w:tcPr>
          <w:p>
            <w:pPr>
              <w:jc w:val="right"/>
              <w:ind w:right="37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40,452</w:t>
            </w:r>
          </w:p>
        </w:tc>
        <w:tc>
          <w:tcPr>
            <w:tcW w:w="0" w:type="dxa"/>
            <w:vAlign w:val="bottom"/>
          </w:tcPr>
          <w:p>
            <w:pPr>
              <w:spacing w:after="0"/>
              <w:rPr>
                <w:sz w:val="1"/>
                <w:szCs w:val="1"/>
                <w:color w:val="auto"/>
              </w:rPr>
            </w:pPr>
          </w:p>
        </w:tc>
      </w:tr>
      <w:tr>
        <w:trPr>
          <w:trHeight w:val="131"/>
        </w:trPr>
        <w:tc>
          <w:tcPr>
            <w:tcW w:w="4360" w:type="dxa"/>
            <w:vAlign w:val="bottom"/>
            <w:tcBorders>
              <w:top w:val="single" w:sz="8" w:color="B7E5FF"/>
            </w:tcBorders>
          </w:tcPr>
          <w:p>
            <w:pPr>
              <w:spacing w:after="0"/>
              <w:rPr>
                <w:sz w:val="11"/>
                <w:szCs w:val="11"/>
                <w:color w:val="auto"/>
              </w:rPr>
            </w:pPr>
          </w:p>
        </w:tc>
        <w:tc>
          <w:tcPr>
            <w:tcW w:w="1520" w:type="dxa"/>
            <w:vAlign w:val="bottom"/>
            <w:tcBorders>
              <w:top w:val="single" w:sz="8" w:color="B7E5FF"/>
            </w:tcBorders>
          </w:tcPr>
          <w:p>
            <w:pPr>
              <w:jc w:val="right"/>
              <w:ind w:right="20"/>
              <w:spacing w:after="0" w:line="132" w:lineRule="exact"/>
              <w:rPr>
                <w:sz w:val="20"/>
                <w:szCs w:val="20"/>
                <w:color w:val="auto"/>
              </w:rPr>
            </w:pPr>
            <w:r>
              <w:rPr>
                <w:rFonts w:ascii="Arial" w:cs="Arial" w:eastAsia="Arial" w:hAnsi="Arial"/>
                <w:sz w:val="12"/>
                <w:szCs w:val="12"/>
                <w:color w:val="auto"/>
              </w:rPr>
              <w:t>14</w:t>
            </w:r>
          </w:p>
        </w:tc>
        <w:tc>
          <w:tcPr>
            <w:tcW w:w="7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B7E5FF"/>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Borders>
              <w:top w:val="single" w:sz="8" w:color="B7E5FF"/>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Borders>
              <w:top w:val="single" w:sz="8" w:color="B7E5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4360" w:type="dxa"/>
            <w:vAlign w:val="bottom"/>
            <w:tcBorders>
              <w:bottom w:val="single" w:sz="8" w:color="9A9A9A"/>
            </w:tcBorders>
          </w:tcPr>
          <w:p>
            <w:pPr>
              <w:spacing w:after="0"/>
              <w:rPr>
                <w:sz w:val="6"/>
                <w:szCs w:val="6"/>
                <w:color w:val="auto"/>
              </w:rPr>
            </w:pPr>
          </w:p>
        </w:tc>
        <w:tc>
          <w:tcPr>
            <w:tcW w:w="15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-23495</wp:posOffset>
            </wp:positionV>
            <wp:extent cx="31115"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15" w:name="page16"/>
    <w:bookmarkEnd w:id="15"/>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213" w:lineRule="exact"/>
        <w:rPr>
          <w:sz w:val="20"/>
          <w:szCs w:val="20"/>
          <w:color w:val="auto"/>
        </w:rPr>
      </w:pPr>
    </w:p>
    <w:p>
      <w:pPr>
        <w:ind w:right="60" w:firstLine="216"/>
        <w:spacing w:after="0" w:line="259" w:lineRule="auto"/>
        <w:rPr>
          <w:sz w:val="20"/>
          <w:szCs w:val="20"/>
          <w:color w:val="auto"/>
        </w:rPr>
      </w:pPr>
      <w:r>
        <w:rPr>
          <w:rFonts w:ascii="Arial" w:cs="Arial" w:eastAsia="Arial" w:hAnsi="Arial"/>
          <w:sz w:val="12"/>
          <w:szCs w:val="12"/>
          <w:color w:val="auto"/>
        </w:rPr>
        <w:t>Inter-segment revenues for the three and six months ended June 30, 2019 were $1.4 million and $3.2 million for North America, $4.8 million and $10.1 million for EMEA, less than $0.1 million and $0.1 million for Asia/Pacific, respectively, and less than $0.1 million for South America in both periods. Inter-segment revenues for the three and six months ended June 30, 2018 were $1.8 million and $4.8 million for North America, $5.4 million and $11.0 million for EMEA, $0.1 million and $0.4 million for Asia/Pacific, respectively, and less than $0.1 million for South America in both periods. However, all inter-segment transactions have been eliminated from each reportable operating segment’s net sales and earnings for all periods presented above.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880" w:type="dxa"/>
            <w:vAlign w:val="bottom"/>
          </w:tcPr>
          <w:p>
            <w:pPr>
              <w:spacing w:after="0"/>
              <w:rPr>
                <w:sz w:val="20"/>
                <w:szCs w:val="20"/>
                <w:color w:val="auto"/>
              </w:rPr>
            </w:pPr>
            <w:r>
              <w:rPr>
                <w:rFonts w:ascii="Arial" w:cs="Arial" w:eastAsia="Arial" w:hAnsi="Arial"/>
                <w:sz w:val="12"/>
                <w:szCs w:val="12"/>
                <w:b w:val="1"/>
                <w:bCs w:val="1"/>
                <w:color w:val="auto"/>
              </w:rPr>
              <w:t>Note 7 – Share-Based Compensation</w:t>
            </w: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12"/>
        </w:trPr>
        <w:tc>
          <w:tcPr>
            <w:tcW w:w="10140" w:type="dxa"/>
            <w:vAlign w:val="bottom"/>
            <w:gridSpan w:val="10"/>
          </w:tcPr>
          <w:p>
            <w:pPr>
              <w:ind w:left="200"/>
              <w:spacing w:after="0"/>
              <w:rPr>
                <w:sz w:val="20"/>
                <w:szCs w:val="20"/>
                <w:color w:val="auto"/>
              </w:rPr>
            </w:pPr>
            <w:r>
              <w:rPr>
                <w:rFonts w:ascii="Arial" w:cs="Arial" w:eastAsia="Arial" w:hAnsi="Arial"/>
                <w:sz w:val="12"/>
                <w:szCs w:val="12"/>
                <w:color w:val="auto"/>
                <w:w w:val="93"/>
              </w:rPr>
              <w:t>The Company recognized the following share-based compensation expense in SG&amp;A in its Condensed Consolidated Statements of Income for the three and six months ended June 30, 2019 and 2018:</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53"/>
        </w:trPr>
        <w:tc>
          <w:tcPr>
            <w:tcW w:w="5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60" w:type="dxa"/>
            <w:vAlign w:val="bottom"/>
            <w:gridSpan w:val="3"/>
          </w:tcPr>
          <w:p>
            <w:pPr>
              <w:jc w:val="right"/>
              <w:ind w:right="380"/>
              <w:spacing w:after="0"/>
              <w:rPr>
                <w:sz w:val="20"/>
                <w:szCs w:val="20"/>
                <w:color w:val="auto"/>
              </w:rPr>
            </w:pPr>
            <w:r>
              <w:rPr>
                <w:rFonts w:ascii="Arial" w:cs="Arial" w:eastAsia="Arial" w:hAnsi="Arial"/>
                <w:sz w:val="12"/>
                <w:szCs w:val="12"/>
                <w:b w:val="1"/>
                <w:bCs w:val="1"/>
                <w:color w:val="auto"/>
                <w:w w:val="92"/>
              </w:rPr>
              <w:t>Three Months Ended</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gridSpan w:val="3"/>
          </w:tcPr>
          <w:p>
            <w:pPr>
              <w:jc w:val="right"/>
              <w:ind w:right="10"/>
              <w:spacing w:after="0"/>
              <w:rPr>
                <w:sz w:val="20"/>
                <w:szCs w:val="20"/>
                <w:color w:val="auto"/>
              </w:rPr>
            </w:pPr>
            <w:r>
              <w:rPr>
                <w:rFonts w:ascii="Arial" w:cs="Arial" w:eastAsia="Arial" w:hAnsi="Arial"/>
                <w:sz w:val="12"/>
                <w:szCs w:val="12"/>
                <w:b w:val="1"/>
                <w:bCs w:val="1"/>
                <w:color w:val="auto"/>
              </w:rPr>
              <w:t>Six Months Ended</w:t>
            </w:r>
          </w:p>
        </w:tc>
        <w:tc>
          <w:tcPr>
            <w:tcW w:w="860" w:type="dxa"/>
            <w:vAlign w:val="bottom"/>
          </w:tcPr>
          <w:p>
            <w:pPr>
              <w:spacing w:after="0"/>
              <w:rPr>
                <w:sz w:val="13"/>
                <w:szCs w:val="13"/>
                <w:color w:val="auto"/>
              </w:rPr>
            </w:pPr>
          </w:p>
        </w:tc>
      </w:tr>
      <w:tr>
        <w:trPr>
          <w:trHeight w:val="157"/>
        </w:trPr>
        <w:tc>
          <w:tcPr>
            <w:tcW w:w="58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2"/>
                <w:szCs w:val="12"/>
                <w:b w:val="1"/>
                <w:bCs w:val="1"/>
                <w:color w:val="auto"/>
              </w:rPr>
              <w:t>June 30,</w:t>
            </w:r>
          </w:p>
        </w:tc>
        <w:tc>
          <w:tcPr>
            <w:tcW w:w="3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2"/>
                <w:szCs w:val="12"/>
                <w:b w:val="1"/>
                <w:bCs w:val="1"/>
                <w:color w:val="auto"/>
              </w:rPr>
              <w:t>June 30,</w:t>
            </w:r>
          </w:p>
        </w:tc>
        <w:tc>
          <w:tcPr>
            <w:tcW w:w="860" w:type="dxa"/>
            <w:vAlign w:val="bottom"/>
            <w:tcBorders>
              <w:bottom w:val="single" w:sz="8" w:color="auto"/>
            </w:tcBorders>
          </w:tcPr>
          <w:p>
            <w:pPr>
              <w:spacing w:after="0"/>
              <w:rPr>
                <w:sz w:val="13"/>
                <w:szCs w:val="13"/>
                <w:color w:val="auto"/>
              </w:rPr>
            </w:pPr>
          </w:p>
        </w:tc>
      </w:tr>
      <w:tr>
        <w:trPr>
          <w:trHeight w:val="133"/>
        </w:trPr>
        <w:tc>
          <w:tcPr>
            <w:tcW w:w="5880" w:type="dxa"/>
            <w:vAlign w:val="bottom"/>
            <w:tcBorders>
              <w:bottom w:val="single" w:sz="8" w:color="B7E5FF"/>
            </w:tcBorders>
          </w:tcPr>
          <w:p>
            <w:pPr>
              <w:spacing w:after="0"/>
              <w:rPr>
                <w:sz w:val="11"/>
                <w:szCs w:val="11"/>
                <w:color w:val="auto"/>
              </w:rPr>
            </w:pPr>
          </w:p>
        </w:tc>
        <w:tc>
          <w:tcPr>
            <w:tcW w:w="7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2019</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B7E5FF"/>
            </w:tcBorders>
          </w:tcPr>
          <w:p>
            <w:pPr>
              <w:spacing w:after="0"/>
              <w:rPr>
                <w:sz w:val="11"/>
                <w:szCs w:val="11"/>
                <w:color w:val="auto"/>
              </w:rPr>
            </w:pPr>
          </w:p>
        </w:tc>
        <w:tc>
          <w:tcPr>
            <w:tcW w:w="940" w:type="dxa"/>
            <w:vAlign w:val="bottom"/>
            <w:tcBorders>
              <w:bottom w:val="single" w:sz="8" w:color="auto"/>
            </w:tcBorders>
          </w:tcPr>
          <w:p>
            <w:pPr>
              <w:jc w:val="right"/>
              <w:ind w:right="100"/>
              <w:spacing w:after="0" w:line="133" w:lineRule="exact"/>
              <w:rPr>
                <w:sz w:val="20"/>
                <w:szCs w:val="20"/>
                <w:color w:val="auto"/>
              </w:rPr>
            </w:pPr>
            <w:r>
              <w:rPr>
                <w:rFonts w:ascii="Arial" w:cs="Arial" w:eastAsia="Arial" w:hAnsi="Arial"/>
                <w:sz w:val="12"/>
                <w:szCs w:val="12"/>
                <w:b w:val="1"/>
                <w:bCs w:val="1"/>
                <w:color w:val="auto"/>
              </w:rPr>
              <w:t>2018</w:t>
            </w:r>
          </w:p>
        </w:tc>
        <w:tc>
          <w:tcPr>
            <w:tcW w:w="380" w:type="dxa"/>
            <w:vAlign w:val="bottom"/>
            <w:tcBorders>
              <w:bottom w:val="single" w:sz="8" w:color="auto"/>
            </w:tcBorders>
          </w:tcPr>
          <w:p>
            <w:pPr>
              <w:spacing w:after="0"/>
              <w:rPr>
                <w:sz w:val="11"/>
                <w:szCs w:val="11"/>
                <w:color w:val="auto"/>
              </w:rPr>
            </w:pPr>
          </w:p>
        </w:tc>
        <w:tc>
          <w:tcPr>
            <w:tcW w:w="120" w:type="dxa"/>
            <w:vAlign w:val="bottom"/>
            <w:tcBorders>
              <w:bottom w:val="single" w:sz="8" w:color="B7E5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80"/>
              <w:spacing w:after="0" w:line="133" w:lineRule="exact"/>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B7E5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00"/>
              <w:spacing w:after="0" w:line="133" w:lineRule="exact"/>
              <w:rPr>
                <w:sz w:val="20"/>
                <w:szCs w:val="20"/>
                <w:color w:val="auto"/>
              </w:rPr>
            </w:pPr>
            <w:r>
              <w:rPr>
                <w:rFonts w:ascii="Arial" w:cs="Arial" w:eastAsia="Arial" w:hAnsi="Arial"/>
                <w:sz w:val="12"/>
                <w:szCs w:val="12"/>
                <w:b w:val="1"/>
                <w:bCs w:val="1"/>
                <w:color w:val="auto"/>
              </w:rPr>
              <w:t>2018</w:t>
            </w:r>
          </w:p>
        </w:tc>
      </w:tr>
      <w:tr>
        <w:trPr>
          <w:trHeight w:val="133"/>
        </w:trPr>
        <w:tc>
          <w:tcPr>
            <w:tcW w:w="5880" w:type="dxa"/>
            <w:vAlign w:val="bottom"/>
            <w:shd w:val="clear" w:color="auto" w:fill="B7E5FF"/>
          </w:tcPr>
          <w:p>
            <w:pPr>
              <w:spacing w:after="0" w:line="133" w:lineRule="exact"/>
              <w:rPr>
                <w:sz w:val="20"/>
                <w:szCs w:val="20"/>
                <w:color w:val="auto"/>
              </w:rPr>
            </w:pPr>
            <w:r>
              <w:rPr>
                <w:rFonts w:ascii="Arial" w:cs="Arial" w:eastAsia="Arial" w:hAnsi="Arial"/>
                <w:sz w:val="12"/>
                <w:szCs w:val="12"/>
                <w:color w:val="auto"/>
              </w:rPr>
              <w:t>Stock options</w:t>
            </w:r>
          </w:p>
        </w:tc>
        <w:tc>
          <w:tcPr>
            <w:tcW w:w="780" w:type="dxa"/>
            <w:vAlign w:val="bottom"/>
            <w:shd w:val="clear" w:color="auto" w:fill="B7E5FF"/>
          </w:tcPr>
          <w:p>
            <w:pPr>
              <w:jc w:val="right"/>
              <w:ind w:right="667"/>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173</w:t>
            </w:r>
          </w:p>
        </w:tc>
        <w:tc>
          <w:tcPr>
            <w:tcW w:w="100" w:type="dxa"/>
            <w:vAlign w:val="bottom"/>
            <w:shd w:val="clear" w:color="auto" w:fill="B7E5FF"/>
          </w:tcPr>
          <w:p>
            <w:pPr>
              <w:spacing w:after="0"/>
              <w:rPr>
                <w:sz w:val="11"/>
                <w:szCs w:val="11"/>
                <w:color w:val="auto"/>
              </w:rPr>
            </w:pPr>
          </w:p>
        </w:tc>
        <w:tc>
          <w:tcPr>
            <w:tcW w:w="940" w:type="dxa"/>
            <w:vAlign w:val="bottom"/>
            <w:shd w:val="clear" w:color="auto" w:fill="B7E5FF"/>
          </w:tcPr>
          <w:p>
            <w:pPr>
              <w:jc w:val="right"/>
              <w:ind w:right="800"/>
              <w:spacing w:after="0" w:line="133" w:lineRule="exact"/>
              <w:rPr>
                <w:sz w:val="20"/>
                <w:szCs w:val="20"/>
                <w:color w:val="auto"/>
              </w:rPr>
            </w:pPr>
            <w:r>
              <w:rPr>
                <w:rFonts w:ascii="Arial" w:cs="Arial" w:eastAsia="Arial" w:hAnsi="Arial"/>
                <w:sz w:val="12"/>
                <w:szCs w:val="12"/>
                <w:color w:val="auto"/>
                <w:w w:val="89"/>
              </w:rPr>
              <w:t>$</w:t>
            </w:r>
          </w:p>
        </w:tc>
        <w:tc>
          <w:tcPr>
            <w:tcW w:w="38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266</w:t>
            </w:r>
          </w:p>
        </w:tc>
        <w:tc>
          <w:tcPr>
            <w:tcW w:w="120" w:type="dxa"/>
            <w:vAlign w:val="bottom"/>
            <w:shd w:val="clear" w:color="auto" w:fill="B7E5FF"/>
          </w:tcPr>
          <w:p>
            <w:pPr>
              <w:spacing w:after="0"/>
              <w:rPr>
                <w:sz w:val="11"/>
                <w:szCs w:val="11"/>
                <w:color w:val="auto"/>
              </w:rPr>
            </w:pPr>
          </w:p>
        </w:tc>
        <w:tc>
          <w:tcPr>
            <w:tcW w:w="300" w:type="dxa"/>
            <w:vAlign w:val="bottom"/>
            <w:shd w:val="clear" w:color="auto" w:fill="B7E5FF"/>
          </w:tcPr>
          <w:p>
            <w:pPr>
              <w:jc w:val="right"/>
              <w:ind w:right="19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433</w:t>
            </w:r>
          </w:p>
        </w:tc>
        <w:tc>
          <w:tcPr>
            <w:tcW w:w="120" w:type="dxa"/>
            <w:vAlign w:val="bottom"/>
            <w:shd w:val="clear" w:color="auto" w:fill="B7E5FF"/>
          </w:tcPr>
          <w:p>
            <w:pPr>
              <w:spacing w:after="0"/>
              <w:rPr>
                <w:sz w:val="11"/>
                <w:szCs w:val="11"/>
                <w:color w:val="auto"/>
              </w:rPr>
            </w:pPr>
          </w:p>
        </w:tc>
        <w:tc>
          <w:tcPr>
            <w:tcW w:w="480" w:type="dxa"/>
            <w:vAlign w:val="bottom"/>
            <w:shd w:val="clear" w:color="auto" w:fill="B7E5FF"/>
          </w:tcPr>
          <w:p>
            <w:pPr>
              <w:jc w:val="right"/>
              <w:ind w:right="37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518</w:t>
            </w:r>
          </w:p>
        </w:tc>
      </w:tr>
      <w:tr>
        <w:trPr>
          <w:trHeight w:val="153"/>
        </w:trPr>
        <w:tc>
          <w:tcPr>
            <w:tcW w:w="5880" w:type="dxa"/>
            <w:vAlign w:val="bottom"/>
          </w:tcPr>
          <w:p>
            <w:pPr>
              <w:spacing w:after="0"/>
              <w:rPr>
                <w:sz w:val="20"/>
                <w:szCs w:val="20"/>
                <w:color w:val="auto"/>
              </w:rPr>
            </w:pPr>
            <w:r>
              <w:rPr>
                <w:rFonts w:ascii="Arial" w:cs="Arial" w:eastAsia="Arial" w:hAnsi="Arial"/>
                <w:sz w:val="12"/>
                <w:szCs w:val="12"/>
                <w:color w:val="auto"/>
              </w:rPr>
              <w:t>Nonvested stock awards and restricted stock units</w:t>
            </w:r>
          </w:p>
        </w:tc>
        <w:tc>
          <w:tcPr>
            <w:tcW w:w="7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440</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576</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1,138</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1,351</w:t>
            </w:r>
          </w:p>
        </w:tc>
      </w:tr>
      <w:tr>
        <w:trPr>
          <w:trHeight w:val="153"/>
        </w:trPr>
        <w:tc>
          <w:tcPr>
            <w:tcW w:w="5880" w:type="dxa"/>
            <w:vAlign w:val="bottom"/>
            <w:shd w:val="clear" w:color="auto" w:fill="B7E5FF"/>
          </w:tcPr>
          <w:p>
            <w:pPr>
              <w:spacing w:after="0"/>
              <w:rPr>
                <w:sz w:val="20"/>
                <w:szCs w:val="20"/>
                <w:color w:val="auto"/>
              </w:rPr>
            </w:pPr>
            <w:r>
              <w:rPr>
                <w:rFonts w:ascii="Arial" w:cs="Arial" w:eastAsia="Arial" w:hAnsi="Arial"/>
                <w:sz w:val="12"/>
                <w:szCs w:val="12"/>
                <w:color w:val="auto"/>
              </w:rPr>
              <w:t>Employee stock purchase plan</w:t>
            </w:r>
          </w:p>
        </w:tc>
        <w:tc>
          <w:tcPr>
            <w:tcW w:w="780" w:type="dxa"/>
            <w:vAlign w:val="bottom"/>
            <w:shd w:val="clear" w:color="auto" w:fill="B7E5FF"/>
          </w:tcPr>
          <w:p>
            <w:pPr>
              <w:spacing w:after="0"/>
              <w:rPr>
                <w:sz w:val="13"/>
                <w:szCs w:val="13"/>
                <w:color w:val="auto"/>
              </w:rPr>
            </w:pPr>
          </w:p>
        </w:tc>
        <w:tc>
          <w:tcPr>
            <w:tcW w:w="5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24</w:t>
            </w:r>
          </w:p>
        </w:tc>
        <w:tc>
          <w:tcPr>
            <w:tcW w:w="100" w:type="dxa"/>
            <w:vAlign w:val="bottom"/>
            <w:shd w:val="clear" w:color="auto" w:fill="B7E5FF"/>
          </w:tcPr>
          <w:p>
            <w:pPr>
              <w:spacing w:after="0"/>
              <w:rPr>
                <w:sz w:val="13"/>
                <w:szCs w:val="13"/>
                <w:color w:val="auto"/>
              </w:rPr>
            </w:pPr>
          </w:p>
        </w:tc>
        <w:tc>
          <w:tcPr>
            <w:tcW w:w="940" w:type="dxa"/>
            <w:vAlign w:val="bottom"/>
            <w:shd w:val="clear" w:color="auto" w:fill="B7E5FF"/>
          </w:tcPr>
          <w:p>
            <w:pPr>
              <w:spacing w:after="0"/>
              <w:rPr>
                <w:sz w:val="13"/>
                <w:szCs w:val="13"/>
                <w:color w:val="auto"/>
              </w:rPr>
            </w:pPr>
          </w:p>
        </w:tc>
        <w:tc>
          <w:tcPr>
            <w:tcW w:w="3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22</w:t>
            </w:r>
          </w:p>
        </w:tc>
        <w:tc>
          <w:tcPr>
            <w:tcW w:w="120" w:type="dxa"/>
            <w:vAlign w:val="bottom"/>
            <w:shd w:val="clear" w:color="auto" w:fill="B7E5FF"/>
          </w:tcPr>
          <w:p>
            <w:pPr>
              <w:spacing w:after="0"/>
              <w:rPr>
                <w:sz w:val="13"/>
                <w:szCs w:val="13"/>
                <w:color w:val="auto"/>
              </w:rPr>
            </w:pPr>
          </w:p>
        </w:tc>
        <w:tc>
          <w:tcPr>
            <w:tcW w:w="300" w:type="dxa"/>
            <w:vAlign w:val="bottom"/>
            <w:shd w:val="clear" w:color="auto" w:fill="B7E5FF"/>
          </w:tcPr>
          <w:p>
            <w:pPr>
              <w:spacing w:after="0"/>
              <w:rPr>
                <w:sz w:val="13"/>
                <w:szCs w:val="13"/>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47</w:t>
            </w:r>
          </w:p>
        </w:tc>
        <w:tc>
          <w:tcPr>
            <w:tcW w:w="120" w:type="dxa"/>
            <w:vAlign w:val="bottom"/>
            <w:shd w:val="clear" w:color="auto" w:fill="B7E5FF"/>
          </w:tcPr>
          <w:p>
            <w:pPr>
              <w:spacing w:after="0"/>
              <w:rPr>
                <w:sz w:val="13"/>
                <w:szCs w:val="13"/>
                <w:color w:val="auto"/>
              </w:rPr>
            </w:pPr>
          </w:p>
        </w:tc>
        <w:tc>
          <w:tcPr>
            <w:tcW w:w="480" w:type="dxa"/>
            <w:vAlign w:val="bottom"/>
            <w:shd w:val="clear" w:color="auto" w:fill="B7E5FF"/>
          </w:tcPr>
          <w:p>
            <w:pPr>
              <w:spacing w:after="0"/>
              <w:rPr>
                <w:sz w:val="13"/>
                <w:szCs w:val="13"/>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44</w:t>
            </w:r>
          </w:p>
        </w:tc>
      </w:tr>
      <w:tr>
        <w:trPr>
          <w:trHeight w:val="153"/>
        </w:trPr>
        <w:tc>
          <w:tcPr>
            <w:tcW w:w="5880" w:type="dxa"/>
            <w:vAlign w:val="bottom"/>
            <w:tcBorders>
              <w:bottom w:val="single" w:sz="8" w:color="B7E5FF"/>
            </w:tcBorders>
          </w:tcPr>
          <w:p>
            <w:pPr>
              <w:spacing w:after="0"/>
              <w:rPr>
                <w:sz w:val="20"/>
                <w:szCs w:val="20"/>
                <w:color w:val="auto"/>
              </w:rPr>
            </w:pPr>
            <w:r>
              <w:rPr>
                <w:rFonts w:ascii="Arial" w:cs="Arial" w:eastAsia="Arial" w:hAnsi="Arial"/>
                <w:sz w:val="12"/>
                <w:szCs w:val="12"/>
                <w:color w:val="auto"/>
              </w:rPr>
              <w:t>Director stock ownership plan</w:t>
            </w:r>
          </w:p>
        </w:tc>
        <w:tc>
          <w:tcPr>
            <w:tcW w:w="7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w:t>
            </w:r>
          </w:p>
        </w:tc>
        <w:tc>
          <w:tcPr>
            <w:tcW w:w="100" w:type="dxa"/>
            <w:vAlign w:val="bottom"/>
            <w:tcBorders>
              <w:bottom w:val="single" w:sz="8" w:color="B7E5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w:t>
            </w:r>
          </w:p>
        </w:tc>
        <w:tc>
          <w:tcPr>
            <w:tcW w:w="120" w:type="dxa"/>
            <w:vAlign w:val="bottom"/>
            <w:tcBorders>
              <w:bottom w:val="single" w:sz="8" w:color="B7E5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w:t>
            </w:r>
          </w:p>
        </w:tc>
        <w:tc>
          <w:tcPr>
            <w:tcW w:w="120" w:type="dxa"/>
            <w:vAlign w:val="bottom"/>
            <w:tcBorders>
              <w:bottom w:val="single" w:sz="8" w:color="B7E5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w:t>
            </w:r>
          </w:p>
        </w:tc>
      </w:tr>
      <w:tr>
        <w:trPr>
          <w:trHeight w:val="140"/>
        </w:trPr>
        <w:tc>
          <w:tcPr>
            <w:tcW w:w="5880" w:type="dxa"/>
            <w:vAlign w:val="bottom"/>
            <w:tcBorders>
              <w:bottom w:val="single" w:sz="8" w:color="B7E5FF"/>
            </w:tcBorders>
            <w:shd w:val="clear" w:color="auto" w:fill="B7E5FF"/>
          </w:tcPr>
          <w:p>
            <w:pPr>
              <w:spacing w:after="0" w:line="133" w:lineRule="exact"/>
              <w:rPr>
                <w:sz w:val="20"/>
                <w:szCs w:val="20"/>
                <w:color w:val="auto"/>
              </w:rPr>
            </w:pPr>
            <w:r>
              <w:rPr>
                <w:rFonts w:ascii="Arial" w:cs="Arial" w:eastAsia="Arial" w:hAnsi="Arial"/>
                <w:sz w:val="12"/>
                <w:szCs w:val="12"/>
                <w:color w:val="auto"/>
              </w:rPr>
              <w:t>Total share-based compensation expense</w:t>
            </w:r>
          </w:p>
        </w:tc>
        <w:tc>
          <w:tcPr>
            <w:tcW w:w="780" w:type="dxa"/>
            <w:vAlign w:val="bottom"/>
            <w:tcBorders>
              <w:bottom w:val="single" w:sz="8" w:color="auto"/>
            </w:tcBorders>
            <w:shd w:val="clear" w:color="auto" w:fill="B7E5FF"/>
          </w:tcPr>
          <w:p>
            <w:pPr>
              <w:jc w:val="right"/>
              <w:ind w:right="667"/>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660</w:t>
            </w:r>
          </w:p>
        </w:tc>
        <w:tc>
          <w:tcPr>
            <w:tcW w:w="100" w:type="dxa"/>
            <w:vAlign w:val="bottom"/>
            <w:tcBorders>
              <w:bottom w:val="single" w:sz="8" w:color="B7E5FF"/>
            </w:tcBorders>
            <w:shd w:val="clear" w:color="auto" w:fill="B7E5FF"/>
          </w:tcPr>
          <w:p>
            <w:pPr>
              <w:spacing w:after="0"/>
              <w:rPr>
                <w:sz w:val="12"/>
                <w:szCs w:val="12"/>
                <w:color w:val="auto"/>
              </w:rPr>
            </w:pPr>
          </w:p>
        </w:tc>
        <w:tc>
          <w:tcPr>
            <w:tcW w:w="940" w:type="dxa"/>
            <w:vAlign w:val="bottom"/>
            <w:tcBorders>
              <w:bottom w:val="single" w:sz="8" w:color="auto"/>
            </w:tcBorders>
            <w:shd w:val="clear" w:color="auto" w:fill="B7E5FF"/>
          </w:tcPr>
          <w:p>
            <w:pPr>
              <w:jc w:val="right"/>
              <w:ind w:right="800"/>
              <w:spacing w:after="0" w:line="133" w:lineRule="exact"/>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892</w:t>
            </w:r>
          </w:p>
        </w:tc>
        <w:tc>
          <w:tcPr>
            <w:tcW w:w="120" w:type="dxa"/>
            <w:vAlign w:val="bottom"/>
            <w:tcBorders>
              <w:bottom w:val="single" w:sz="8" w:color="B7E5FF"/>
            </w:tcBorders>
            <w:shd w:val="clear" w:color="auto" w:fill="B7E5FF"/>
          </w:tcPr>
          <w:p>
            <w:pPr>
              <w:spacing w:after="0"/>
              <w:rPr>
                <w:sz w:val="12"/>
                <w:szCs w:val="12"/>
                <w:color w:val="auto"/>
              </w:rPr>
            </w:pPr>
          </w:p>
        </w:tc>
        <w:tc>
          <w:tcPr>
            <w:tcW w:w="300" w:type="dxa"/>
            <w:vAlign w:val="bottom"/>
            <w:tcBorders>
              <w:bottom w:val="single" w:sz="8" w:color="auto"/>
            </w:tcBorders>
            <w:shd w:val="clear" w:color="auto" w:fill="B7E5FF"/>
          </w:tcPr>
          <w:p>
            <w:pPr>
              <w:jc w:val="right"/>
              <w:ind w:right="19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1,672</w:t>
            </w:r>
          </w:p>
        </w:tc>
        <w:tc>
          <w:tcPr>
            <w:tcW w:w="120" w:type="dxa"/>
            <w:vAlign w:val="bottom"/>
            <w:tcBorders>
              <w:bottom w:val="single" w:sz="8" w:color="B7E5FF"/>
            </w:tcBorders>
            <w:shd w:val="clear" w:color="auto" w:fill="B7E5FF"/>
          </w:tcPr>
          <w:p>
            <w:pPr>
              <w:spacing w:after="0"/>
              <w:rPr>
                <w:sz w:val="12"/>
                <w:szCs w:val="12"/>
                <w:color w:val="auto"/>
              </w:rPr>
            </w:pPr>
          </w:p>
        </w:tc>
        <w:tc>
          <w:tcPr>
            <w:tcW w:w="480" w:type="dxa"/>
            <w:vAlign w:val="bottom"/>
            <w:tcBorders>
              <w:bottom w:val="single" w:sz="8" w:color="auto"/>
            </w:tcBorders>
            <w:shd w:val="clear" w:color="auto" w:fill="B7E5FF"/>
          </w:tcPr>
          <w:p>
            <w:pPr>
              <w:jc w:val="right"/>
              <w:ind w:right="37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1,975</w:t>
            </w:r>
          </w:p>
        </w:tc>
      </w:tr>
    </w:tbl>
    <w:p>
      <w:pPr>
        <w:spacing w:after="0" w:line="63" w:lineRule="exact"/>
        <w:rPr>
          <w:sz w:val="20"/>
          <w:szCs w:val="20"/>
          <w:color w:val="auto"/>
        </w:rPr>
      </w:pPr>
    </w:p>
    <w:p>
      <w:pPr>
        <w:ind w:right="20" w:firstLine="216"/>
        <w:spacing w:after="0" w:line="298" w:lineRule="auto"/>
        <w:rPr>
          <w:sz w:val="20"/>
          <w:szCs w:val="20"/>
          <w:color w:val="auto"/>
        </w:rPr>
      </w:pPr>
      <w:r>
        <w:rPr>
          <w:rFonts w:ascii="Arial" w:cs="Arial" w:eastAsia="Arial" w:hAnsi="Arial"/>
          <w:sz w:val="11"/>
          <w:szCs w:val="11"/>
          <w:color w:val="auto"/>
        </w:rPr>
        <w:t>During the first six months of 2019, the Company granted 3,565 nonvested restricted shares under its long-term incentive plan. The Company had no grants of stock options or restricted stock units during the first six months of 2019. Nonvested restricted shares granted are generally subject only to time vesting, generally over a one to three-year period. The fair value of the nonvested restricted shares granted in the first six months of 2019 is based on the trading price of the Company’s common stock on the date of grant. The Company adjusts the grant date fair value of these awards for expected forfeitures based on historical experience.</w:t>
      </w:r>
    </w:p>
    <w:p>
      <w:pPr>
        <w:spacing w:after="0" w:line="33" w:lineRule="exact"/>
        <w:rPr>
          <w:sz w:val="20"/>
          <w:szCs w:val="20"/>
          <w:color w:val="auto"/>
        </w:rPr>
      </w:pPr>
    </w:p>
    <w:p>
      <w:pPr>
        <w:jc w:val="both"/>
        <w:ind w:right="140" w:firstLine="216"/>
        <w:spacing w:after="0" w:line="263" w:lineRule="auto"/>
        <w:rPr>
          <w:sz w:val="20"/>
          <w:szCs w:val="20"/>
          <w:color w:val="auto"/>
        </w:rPr>
      </w:pPr>
      <w:r>
        <w:rPr>
          <w:rFonts w:ascii="Arial" w:cs="Arial" w:eastAsia="Arial" w:hAnsi="Arial"/>
          <w:sz w:val="12"/>
          <w:szCs w:val="12"/>
          <w:color w:val="auto"/>
        </w:rPr>
        <w:t>As of June 30, 2019, unrecognized compensation expense related to stock options granted was $0.8 million, to be recognized over a weighted average remaining period of 1.4 years, unrecognized compensation expense related to the nonvested restricted shares was $1.9 million, to be recognized over a weighted average remaining period of 1.3 years, and unrecognized compensation expense related to nonvested restricted stock units was $0.1 million, to be recognized over a weighted average remaining period of 1.5 years.</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8 – Pension and Other Postretirement Benefits</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components of net periodic benefit cost for the three and six months ended June 30, 2019 and 2018 are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8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5"/>
          </w:tcPr>
          <w:p>
            <w:pPr>
              <w:ind w:left="100"/>
              <w:spacing w:after="0"/>
              <w:rPr>
                <w:sz w:val="20"/>
                <w:szCs w:val="20"/>
                <w:color w:val="auto"/>
              </w:rPr>
            </w:pPr>
            <w:r>
              <w:rPr>
                <w:rFonts w:ascii="Arial" w:cs="Arial" w:eastAsia="Arial" w:hAnsi="Arial"/>
                <w:sz w:val="12"/>
                <w:szCs w:val="12"/>
                <w:b w:val="1"/>
                <w:bCs w:val="1"/>
                <w:color w:val="auto"/>
              </w:rPr>
              <w:t>Three Months Ended June 30,</w:t>
            </w:r>
          </w:p>
        </w:tc>
        <w:tc>
          <w:tcPr>
            <w:tcW w:w="3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5"/>
          </w:tcPr>
          <w:p>
            <w:pPr>
              <w:ind w:left="140"/>
              <w:spacing w:after="0"/>
              <w:rPr>
                <w:sz w:val="20"/>
                <w:szCs w:val="20"/>
                <w:color w:val="auto"/>
              </w:rPr>
            </w:pPr>
            <w:r>
              <w:rPr>
                <w:rFonts w:ascii="Arial" w:cs="Arial" w:eastAsia="Arial" w:hAnsi="Arial"/>
                <w:sz w:val="12"/>
                <w:szCs w:val="12"/>
                <w:b w:val="1"/>
                <w:bCs w:val="1"/>
                <w:color w:val="auto"/>
              </w:rPr>
              <w:t>Six Months Ended June 30,</w:t>
            </w:r>
          </w:p>
        </w:tc>
        <w:tc>
          <w:tcPr>
            <w:tcW w:w="3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r>
      <w:tr>
        <w:trPr>
          <w:trHeight w:val="129"/>
        </w:trPr>
        <w:tc>
          <w:tcPr>
            <w:tcW w:w="2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3"/>
          </w:tcPr>
          <w:p>
            <w:pPr>
              <w:jc w:val="center"/>
              <w:ind w:left="300"/>
              <w:spacing w:after="0" w:line="129" w:lineRule="exact"/>
              <w:rPr>
                <w:sz w:val="20"/>
                <w:szCs w:val="20"/>
                <w:color w:val="auto"/>
              </w:rPr>
            </w:pPr>
            <w:r>
              <w:rPr>
                <w:rFonts w:ascii="Arial" w:cs="Arial" w:eastAsia="Arial" w:hAnsi="Arial"/>
                <w:sz w:val="12"/>
                <w:szCs w:val="12"/>
                <w:b w:val="1"/>
                <w:bCs w:val="1"/>
                <w:color w:val="auto"/>
                <w:w w:val="99"/>
              </w:rPr>
              <w:t>Other</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3"/>
          </w:tcPr>
          <w:p>
            <w:pPr>
              <w:jc w:val="center"/>
              <w:ind w:left="280"/>
              <w:spacing w:after="0" w:line="129" w:lineRule="exact"/>
              <w:rPr>
                <w:sz w:val="20"/>
                <w:szCs w:val="20"/>
                <w:color w:val="auto"/>
              </w:rPr>
            </w:pPr>
            <w:r>
              <w:rPr>
                <w:rFonts w:ascii="Arial" w:cs="Arial" w:eastAsia="Arial" w:hAnsi="Arial"/>
                <w:sz w:val="12"/>
                <w:szCs w:val="12"/>
                <w:b w:val="1"/>
                <w:bCs w:val="1"/>
                <w:color w:val="auto"/>
                <w:w w:val="93"/>
              </w:rPr>
              <w:t>Other</w:t>
            </w:r>
          </w:p>
        </w:tc>
        <w:tc>
          <w:tcPr>
            <w:tcW w:w="600" w:type="dxa"/>
            <w:vAlign w:val="bottom"/>
          </w:tcPr>
          <w:p>
            <w:pPr>
              <w:spacing w:after="0"/>
              <w:rPr>
                <w:sz w:val="11"/>
                <w:szCs w:val="11"/>
                <w:color w:val="auto"/>
              </w:rPr>
            </w:pPr>
          </w:p>
        </w:tc>
      </w:tr>
      <w:tr>
        <w:trPr>
          <w:trHeight w:val="153"/>
        </w:trPr>
        <w:tc>
          <w:tcPr>
            <w:tcW w:w="2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jc w:val="center"/>
              <w:ind w:left="300"/>
              <w:spacing w:after="0"/>
              <w:rPr>
                <w:sz w:val="20"/>
                <w:szCs w:val="20"/>
                <w:color w:val="auto"/>
              </w:rPr>
            </w:pPr>
            <w:r>
              <w:rPr>
                <w:rFonts w:ascii="Arial" w:cs="Arial" w:eastAsia="Arial" w:hAnsi="Arial"/>
                <w:sz w:val="12"/>
                <w:szCs w:val="12"/>
                <w:b w:val="1"/>
                <w:bCs w:val="1"/>
                <w:color w:val="auto"/>
                <w:w w:val="89"/>
              </w:rPr>
              <w:t>Postretirement</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jc w:val="center"/>
              <w:ind w:left="300"/>
              <w:spacing w:after="0"/>
              <w:rPr>
                <w:sz w:val="20"/>
                <w:szCs w:val="20"/>
                <w:color w:val="auto"/>
              </w:rPr>
            </w:pPr>
            <w:r>
              <w:rPr>
                <w:rFonts w:ascii="Arial" w:cs="Arial" w:eastAsia="Arial" w:hAnsi="Arial"/>
                <w:sz w:val="12"/>
                <w:szCs w:val="12"/>
                <w:b w:val="1"/>
                <w:bCs w:val="1"/>
                <w:color w:val="auto"/>
                <w:w w:val="89"/>
              </w:rPr>
              <w:t>Postretirement</w:t>
            </w:r>
          </w:p>
        </w:tc>
        <w:tc>
          <w:tcPr>
            <w:tcW w:w="600" w:type="dxa"/>
            <w:vAlign w:val="bottom"/>
          </w:tcPr>
          <w:p>
            <w:pPr>
              <w:spacing w:after="0"/>
              <w:rPr>
                <w:sz w:val="13"/>
                <w:szCs w:val="13"/>
                <w:color w:val="auto"/>
              </w:rPr>
            </w:pPr>
          </w:p>
        </w:tc>
      </w:tr>
      <w:tr>
        <w:trPr>
          <w:trHeight w:val="157"/>
        </w:trPr>
        <w:tc>
          <w:tcPr>
            <w:tcW w:w="2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gridSpan w:val="5"/>
          </w:tcPr>
          <w:p>
            <w:pPr>
              <w:ind w:left="360"/>
              <w:spacing w:after="0"/>
              <w:rPr>
                <w:sz w:val="20"/>
                <w:szCs w:val="20"/>
                <w:color w:val="auto"/>
              </w:rPr>
            </w:pPr>
            <w:r>
              <w:rPr>
                <w:rFonts w:ascii="Arial" w:cs="Arial" w:eastAsia="Arial" w:hAnsi="Arial"/>
                <w:sz w:val="12"/>
                <w:szCs w:val="12"/>
                <w:b w:val="1"/>
                <w:bCs w:val="1"/>
                <w:color w:val="auto"/>
              </w:rPr>
              <w:t>Pension Benefits</w:t>
            </w:r>
          </w:p>
        </w:tc>
        <w:tc>
          <w:tcPr>
            <w:tcW w:w="240" w:type="dxa"/>
            <w:vAlign w:val="bottom"/>
          </w:tcPr>
          <w:p>
            <w:pPr>
              <w:spacing w:after="0"/>
              <w:rPr>
                <w:sz w:val="13"/>
                <w:szCs w:val="13"/>
                <w:color w:val="auto"/>
              </w:rPr>
            </w:pPr>
          </w:p>
        </w:tc>
        <w:tc>
          <w:tcPr>
            <w:tcW w:w="1240" w:type="dxa"/>
            <w:vAlign w:val="bottom"/>
            <w:gridSpan w:val="3"/>
          </w:tcPr>
          <w:p>
            <w:pPr>
              <w:jc w:val="center"/>
              <w:ind w:left="300"/>
              <w:spacing w:after="0"/>
              <w:rPr>
                <w:sz w:val="20"/>
                <w:szCs w:val="20"/>
                <w:color w:val="auto"/>
              </w:rPr>
            </w:pPr>
            <w:r>
              <w:rPr>
                <w:rFonts w:ascii="Arial" w:cs="Arial" w:eastAsia="Arial" w:hAnsi="Arial"/>
                <w:sz w:val="12"/>
                <w:szCs w:val="12"/>
                <w:b w:val="1"/>
                <w:bCs w:val="1"/>
                <w:color w:val="auto"/>
                <w:w w:val="84"/>
              </w:rPr>
              <w:t>Benefits</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60" w:type="dxa"/>
            <w:vAlign w:val="bottom"/>
            <w:gridSpan w:val="5"/>
          </w:tcPr>
          <w:p>
            <w:pPr>
              <w:ind w:left="380"/>
              <w:spacing w:after="0"/>
              <w:rPr>
                <w:sz w:val="20"/>
                <w:szCs w:val="20"/>
                <w:color w:val="auto"/>
              </w:rPr>
            </w:pPr>
            <w:r>
              <w:rPr>
                <w:rFonts w:ascii="Arial" w:cs="Arial" w:eastAsia="Arial" w:hAnsi="Arial"/>
                <w:sz w:val="12"/>
                <w:szCs w:val="12"/>
                <w:b w:val="1"/>
                <w:bCs w:val="1"/>
                <w:color w:val="auto"/>
              </w:rPr>
              <w:t>Pension Benefits</w:t>
            </w:r>
          </w:p>
        </w:tc>
        <w:tc>
          <w:tcPr>
            <w:tcW w:w="240" w:type="dxa"/>
            <w:vAlign w:val="bottom"/>
          </w:tcPr>
          <w:p>
            <w:pPr>
              <w:spacing w:after="0"/>
              <w:rPr>
                <w:sz w:val="13"/>
                <w:szCs w:val="13"/>
                <w:color w:val="auto"/>
              </w:rPr>
            </w:pPr>
          </w:p>
        </w:tc>
        <w:tc>
          <w:tcPr>
            <w:tcW w:w="1240" w:type="dxa"/>
            <w:vAlign w:val="bottom"/>
            <w:gridSpan w:val="3"/>
          </w:tcPr>
          <w:p>
            <w:pPr>
              <w:jc w:val="center"/>
              <w:ind w:left="280"/>
              <w:spacing w:after="0"/>
              <w:rPr>
                <w:sz w:val="20"/>
                <w:szCs w:val="20"/>
                <w:color w:val="auto"/>
              </w:rPr>
            </w:pPr>
            <w:r>
              <w:rPr>
                <w:rFonts w:ascii="Arial" w:cs="Arial" w:eastAsia="Arial" w:hAnsi="Arial"/>
                <w:sz w:val="12"/>
                <w:szCs w:val="12"/>
                <w:b w:val="1"/>
                <w:bCs w:val="1"/>
                <w:color w:val="auto"/>
                <w:w w:val="88"/>
              </w:rPr>
              <w:t>Benefits</w:t>
            </w:r>
          </w:p>
        </w:tc>
        <w:tc>
          <w:tcPr>
            <w:tcW w:w="600" w:type="dxa"/>
            <w:vAlign w:val="bottom"/>
          </w:tcPr>
          <w:p>
            <w:pPr>
              <w:spacing w:after="0"/>
              <w:rPr>
                <w:sz w:val="13"/>
                <w:szCs w:val="13"/>
                <w:color w:val="auto"/>
              </w:rPr>
            </w:pPr>
          </w:p>
        </w:tc>
      </w:tr>
      <w:tr>
        <w:trPr>
          <w:trHeight w:val="133"/>
        </w:trPr>
        <w:tc>
          <w:tcPr>
            <w:tcW w:w="2820" w:type="dxa"/>
            <w:vAlign w:val="bottom"/>
            <w:tcBorders>
              <w:bottom w:val="single" w:sz="8" w:color="B9E5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40"/>
              <w:spacing w:after="0" w:line="133" w:lineRule="exact"/>
              <w:rPr>
                <w:sz w:val="20"/>
                <w:szCs w:val="20"/>
                <w:color w:val="auto"/>
              </w:rPr>
            </w:pPr>
            <w:r>
              <w:rPr>
                <w:rFonts w:ascii="Arial" w:cs="Arial" w:eastAsia="Arial" w:hAnsi="Arial"/>
                <w:sz w:val="12"/>
                <w:szCs w:val="12"/>
                <w:b w:val="1"/>
                <w:bCs w:val="1"/>
                <w:color w:val="auto"/>
              </w:rPr>
              <w:t>2019</w:t>
            </w:r>
          </w:p>
        </w:tc>
        <w:tc>
          <w:tcPr>
            <w:tcW w:w="120" w:type="dxa"/>
            <w:vAlign w:val="bottom"/>
            <w:tcBorders>
              <w:top w:val="single" w:sz="8" w:color="auto"/>
              <w:bottom w:val="single" w:sz="8" w:color="B9E5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40"/>
              <w:spacing w:after="0" w:line="133" w:lineRule="exact"/>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B9E5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60"/>
              <w:spacing w:after="0" w:line="133" w:lineRule="exact"/>
              <w:rPr>
                <w:sz w:val="20"/>
                <w:szCs w:val="20"/>
                <w:color w:val="auto"/>
              </w:rPr>
            </w:pPr>
            <w:r>
              <w:rPr>
                <w:rFonts w:ascii="Arial" w:cs="Arial" w:eastAsia="Arial" w:hAnsi="Arial"/>
                <w:sz w:val="12"/>
                <w:szCs w:val="12"/>
                <w:b w:val="1"/>
                <w:bCs w:val="1"/>
                <w:color w:val="auto"/>
              </w:rPr>
              <w:t>2019</w:t>
            </w:r>
          </w:p>
        </w:tc>
        <w:tc>
          <w:tcPr>
            <w:tcW w:w="120" w:type="dxa"/>
            <w:vAlign w:val="bottom"/>
            <w:tcBorders>
              <w:top w:val="single" w:sz="8" w:color="auto"/>
              <w:bottom w:val="single" w:sz="8" w:color="B9E5FF"/>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60"/>
              <w:spacing w:after="0" w:line="133" w:lineRule="exact"/>
              <w:rPr>
                <w:sz w:val="20"/>
                <w:szCs w:val="20"/>
                <w:color w:val="auto"/>
              </w:rPr>
            </w:pPr>
            <w:r>
              <w:rPr>
                <w:rFonts w:ascii="Arial" w:cs="Arial" w:eastAsia="Arial" w:hAnsi="Arial"/>
                <w:sz w:val="12"/>
                <w:szCs w:val="12"/>
                <w:b w:val="1"/>
                <w:bCs w:val="1"/>
                <w:color w:val="auto"/>
                <w:w w:val="97"/>
              </w:rPr>
              <w:t>2018</w:t>
            </w:r>
          </w:p>
        </w:tc>
        <w:tc>
          <w:tcPr>
            <w:tcW w:w="120" w:type="dxa"/>
            <w:vAlign w:val="bottom"/>
            <w:tcBorders>
              <w:bottom w:val="single" w:sz="8" w:color="B9E5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60"/>
              <w:spacing w:after="0" w:line="133" w:lineRule="exact"/>
              <w:rPr>
                <w:sz w:val="20"/>
                <w:szCs w:val="20"/>
                <w:color w:val="auto"/>
              </w:rPr>
            </w:pPr>
            <w:r>
              <w:rPr>
                <w:rFonts w:ascii="Arial" w:cs="Arial" w:eastAsia="Arial" w:hAnsi="Arial"/>
                <w:sz w:val="12"/>
                <w:szCs w:val="12"/>
                <w:b w:val="1"/>
                <w:bCs w:val="1"/>
                <w:color w:val="auto"/>
              </w:rPr>
              <w:t>2019</w:t>
            </w:r>
          </w:p>
        </w:tc>
        <w:tc>
          <w:tcPr>
            <w:tcW w:w="120" w:type="dxa"/>
            <w:vAlign w:val="bottom"/>
            <w:tcBorders>
              <w:top w:val="single" w:sz="8" w:color="auto"/>
              <w:bottom w:val="single" w:sz="8" w:color="B9E5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60"/>
              <w:spacing w:after="0" w:line="133" w:lineRule="exact"/>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B9E5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60"/>
              <w:spacing w:after="0" w:line="133" w:lineRule="exact"/>
              <w:rPr>
                <w:sz w:val="20"/>
                <w:szCs w:val="20"/>
                <w:color w:val="auto"/>
              </w:rPr>
            </w:pPr>
            <w:r>
              <w:rPr>
                <w:rFonts w:ascii="Arial" w:cs="Arial" w:eastAsia="Arial" w:hAnsi="Arial"/>
                <w:sz w:val="12"/>
                <w:szCs w:val="12"/>
                <w:b w:val="1"/>
                <w:bCs w:val="1"/>
                <w:color w:val="auto"/>
              </w:rPr>
              <w:t>2019</w:t>
            </w:r>
          </w:p>
        </w:tc>
        <w:tc>
          <w:tcPr>
            <w:tcW w:w="120" w:type="dxa"/>
            <w:vAlign w:val="bottom"/>
            <w:tcBorders>
              <w:top w:val="single" w:sz="8" w:color="auto"/>
              <w:bottom w:val="single" w:sz="8" w:color="B9E5FF"/>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60"/>
              <w:spacing w:after="0" w:line="133" w:lineRule="exact"/>
              <w:rPr>
                <w:sz w:val="20"/>
                <w:szCs w:val="20"/>
                <w:color w:val="auto"/>
              </w:rPr>
            </w:pPr>
            <w:r>
              <w:rPr>
                <w:rFonts w:ascii="Arial" w:cs="Arial" w:eastAsia="Arial" w:hAnsi="Arial"/>
                <w:sz w:val="12"/>
                <w:szCs w:val="12"/>
                <w:b w:val="1"/>
                <w:bCs w:val="1"/>
                <w:color w:val="auto"/>
                <w:w w:val="97"/>
              </w:rPr>
              <w:t>2018</w:t>
            </w:r>
          </w:p>
        </w:tc>
      </w:tr>
      <w:tr>
        <w:trPr>
          <w:trHeight w:val="133"/>
        </w:trPr>
        <w:tc>
          <w:tcPr>
            <w:tcW w:w="2820" w:type="dxa"/>
            <w:vAlign w:val="bottom"/>
            <w:shd w:val="clear" w:color="auto" w:fill="B9E5FF"/>
          </w:tcPr>
          <w:p>
            <w:pPr>
              <w:spacing w:after="0" w:line="133" w:lineRule="exact"/>
              <w:rPr>
                <w:sz w:val="20"/>
                <w:szCs w:val="20"/>
                <w:color w:val="auto"/>
              </w:rPr>
            </w:pPr>
            <w:r>
              <w:rPr>
                <w:rFonts w:ascii="Arial" w:cs="Arial" w:eastAsia="Arial" w:hAnsi="Arial"/>
                <w:sz w:val="12"/>
                <w:szCs w:val="12"/>
                <w:color w:val="auto"/>
              </w:rPr>
              <w:t>Service cost</w:t>
            </w:r>
          </w:p>
        </w:tc>
        <w:tc>
          <w:tcPr>
            <w:tcW w:w="240" w:type="dxa"/>
            <w:vAlign w:val="bottom"/>
            <w:shd w:val="clear" w:color="auto" w:fill="B9E5FF"/>
          </w:tcPr>
          <w:p>
            <w:pPr>
              <w:jc w:val="right"/>
              <w:ind w:right="13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B9E5FF"/>
          </w:tcPr>
          <w:p>
            <w:pPr>
              <w:jc w:val="right"/>
              <w:spacing w:after="0" w:line="133" w:lineRule="exact"/>
              <w:rPr>
                <w:sz w:val="20"/>
                <w:szCs w:val="20"/>
                <w:color w:val="auto"/>
              </w:rPr>
            </w:pPr>
            <w:r>
              <w:rPr>
                <w:rFonts w:ascii="Arial" w:cs="Arial" w:eastAsia="Arial" w:hAnsi="Arial"/>
                <w:sz w:val="12"/>
                <w:szCs w:val="12"/>
                <w:color w:val="auto"/>
              </w:rPr>
              <w:t>978</w:t>
            </w:r>
          </w:p>
        </w:tc>
        <w:tc>
          <w:tcPr>
            <w:tcW w:w="120" w:type="dxa"/>
            <w:vAlign w:val="bottom"/>
            <w:shd w:val="clear" w:color="auto" w:fill="B9E5FF"/>
          </w:tcPr>
          <w:p>
            <w:pPr>
              <w:spacing w:after="0"/>
              <w:rPr>
                <w:sz w:val="11"/>
                <w:szCs w:val="11"/>
                <w:color w:val="auto"/>
              </w:rPr>
            </w:pPr>
          </w:p>
        </w:tc>
        <w:tc>
          <w:tcPr>
            <w:tcW w:w="180" w:type="dxa"/>
            <w:vAlign w:val="bottom"/>
            <w:shd w:val="clear" w:color="auto" w:fill="B9E5FF"/>
          </w:tcPr>
          <w:p>
            <w:pPr>
              <w:jc w:val="right"/>
              <w:ind w:right="7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B9E5FF"/>
          </w:tcPr>
          <w:p>
            <w:pPr>
              <w:jc w:val="right"/>
              <w:spacing w:after="0" w:line="133" w:lineRule="exact"/>
              <w:rPr>
                <w:sz w:val="20"/>
                <w:szCs w:val="20"/>
                <w:color w:val="auto"/>
              </w:rPr>
            </w:pPr>
            <w:r>
              <w:rPr>
                <w:rFonts w:ascii="Arial" w:cs="Arial" w:eastAsia="Arial" w:hAnsi="Arial"/>
                <w:sz w:val="12"/>
                <w:szCs w:val="12"/>
                <w:color w:val="auto"/>
              </w:rPr>
              <w:t>960</w:t>
            </w:r>
          </w:p>
        </w:tc>
        <w:tc>
          <w:tcPr>
            <w:tcW w:w="120" w:type="dxa"/>
            <w:vAlign w:val="bottom"/>
            <w:shd w:val="clear" w:color="auto" w:fill="B9E5FF"/>
          </w:tcPr>
          <w:p>
            <w:pPr>
              <w:spacing w:after="0"/>
              <w:rPr>
                <w:sz w:val="11"/>
                <w:szCs w:val="11"/>
                <w:color w:val="auto"/>
              </w:rPr>
            </w:pPr>
          </w:p>
        </w:tc>
        <w:tc>
          <w:tcPr>
            <w:tcW w:w="240" w:type="dxa"/>
            <w:vAlign w:val="bottom"/>
            <w:shd w:val="clear" w:color="auto" w:fill="B9E5FF"/>
          </w:tcPr>
          <w:p>
            <w:pPr>
              <w:jc w:val="right"/>
              <w:ind w:right="13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B9E5FF"/>
          </w:tcPr>
          <w:p>
            <w:pPr>
              <w:jc w:val="right"/>
              <w:spacing w:after="0" w:line="133" w:lineRule="exact"/>
              <w:rPr>
                <w:sz w:val="20"/>
                <w:szCs w:val="20"/>
                <w:color w:val="auto"/>
              </w:rPr>
            </w:pPr>
            <w:r>
              <w:rPr>
                <w:rFonts w:ascii="Arial" w:cs="Arial" w:eastAsia="Arial" w:hAnsi="Arial"/>
                <w:sz w:val="12"/>
                <w:szCs w:val="12"/>
                <w:color w:val="auto"/>
              </w:rPr>
              <w:t>2</w:t>
            </w:r>
          </w:p>
        </w:tc>
        <w:tc>
          <w:tcPr>
            <w:tcW w:w="120" w:type="dxa"/>
            <w:vAlign w:val="bottom"/>
            <w:shd w:val="clear" w:color="auto" w:fill="B9E5FF"/>
          </w:tcPr>
          <w:p>
            <w:pPr>
              <w:spacing w:after="0"/>
              <w:rPr>
                <w:sz w:val="11"/>
                <w:szCs w:val="11"/>
                <w:color w:val="auto"/>
              </w:rPr>
            </w:pPr>
          </w:p>
        </w:tc>
        <w:tc>
          <w:tcPr>
            <w:tcW w:w="380" w:type="dxa"/>
            <w:vAlign w:val="bottom"/>
            <w:shd w:val="clear" w:color="auto" w:fill="B9E5FF"/>
          </w:tcPr>
          <w:p>
            <w:pPr>
              <w:jc w:val="right"/>
              <w:ind w:right="27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B9E5FF"/>
          </w:tcPr>
          <w:p>
            <w:pPr>
              <w:jc w:val="right"/>
              <w:spacing w:after="0" w:line="133" w:lineRule="exact"/>
              <w:rPr>
                <w:sz w:val="20"/>
                <w:szCs w:val="20"/>
                <w:color w:val="auto"/>
              </w:rPr>
            </w:pPr>
            <w:r>
              <w:rPr>
                <w:rFonts w:ascii="Arial" w:cs="Arial" w:eastAsia="Arial" w:hAnsi="Arial"/>
                <w:sz w:val="12"/>
                <w:szCs w:val="12"/>
                <w:color w:val="auto"/>
              </w:rPr>
              <w:t>3</w:t>
            </w:r>
          </w:p>
        </w:tc>
        <w:tc>
          <w:tcPr>
            <w:tcW w:w="120" w:type="dxa"/>
            <w:vAlign w:val="bottom"/>
            <w:shd w:val="clear" w:color="auto" w:fill="B9E5FF"/>
          </w:tcPr>
          <w:p>
            <w:pPr>
              <w:spacing w:after="0"/>
              <w:rPr>
                <w:sz w:val="11"/>
                <w:szCs w:val="11"/>
                <w:color w:val="auto"/>
              </w:rPr>
            </w:pPr>
          </w:p>
        </w:tc>
        <w:tc>
          <w:tcPr>
            <w:tcW w:w="240" w:type="dxa"/>
            <w:vAlign w:val="bottom"/>
            <w:shd w:val="clear" w:color="auto" w:fill="B9E5FF"/>
          </w:tcPr>
          <w:p>
            <w:pPr>
              <w:jc w:val="right"/>
              <w:ind w:right="13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B9E5FF"/>
          </w:tcPr>
          <w:p>
            <w:pPr>
              <w:jc w:val="right"/>
              <w:spacing w:after="0" w:line="133" w:lineRule="exact"/>
              <w:rPr>
                <w:sz w:val="20"/>
                <w:szCs w:val="20"/>
                <w:color w:val="auto"/>
              </w:rPr>
            </w:pPr>
            <w:r>
              <w:rPr>
                <w:rFonts w:ascii="Arial" w:cs="Arial" w:eastAsia="Arial" w:hAnsi="Arial"/>
                <w:sz w:val="12"/>
                <w:szCs w:val="12"/>
                <w:color w:val="auto"/>
              </w:rPr>
              <w:t>1,963</w:t>
            </w:r>
          </w:p>
        </w:tc>
        <w:tc>
          <w:tcPr>
            <w:tcW w:w="120" w:type="dxa"/>
            <w:vAlign w:val="bottom"/>
            <w:shd w:val="clear" w:color="auto" w:fill="B9E5FF"/>
          </w:tcPr>
          <w:p>
            <w:pPr>
              <w:spacing w:after="0"/>
              <w:rPr>
                <w:sz w:val="11"/>
                <w:szCs w:val="11"/>
                <w:color w:val="auto"/>
              </w:rPr>
            </w:pPr>
          </w:p>
        </w:tc>
        <w:tc>
          <w:tcPr>
            <w:tcW w:w="200" w:type="dxa"/>
            <w:vAlign w:val="bottom"/>
            <w:shd w:val="clear" w:color="auto" w:fill="B9E5FF"/>
          </w:tcPr>
          <w:p>
            <w:pPr>
              <w:jc w:val="right"/>
              <w:ind w:right="9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B9E5FF"/>
          </w:tcPr>
          <w:p>
            <w:pPr>
              <w:jc w:val="right"/>
              <w:spacing w:after="0" w:line="133" w:lineRule="exact"/>
              <w:rPr>
                <w:sz w:val="20"/>
                <w:szCs w:val="20"/>
                <w:color w:val="auto"/>
              </w:rPr>
            </w:pPr>
            <w:r>
              <w:rPr>
                <w:rFonts w:ascii="Arial" w:cs="Arial" w:eastAsia="Arial" w:hAnsi="Arial"/>
                <w:sz w:val="12"/>
                <w:szCs w:val="12"/>
                <w:color w:val="auto"/>
              </w:rPr>
              <w:t>1,948</w:t>
            </w:r>
          </w:p>
        </w:tc>
        <w:tc>
          <w:tcPr>
            <w:tcW w:w="120" w:type="dxa"/>
            <w:vAlign w:val="bottom"/>
            <w:shd w:val="clear" w:color="auto" w:fill="B9E5FF"/>
          </w:tcPr>
          <w:p>
            <w:pPr>
              <w:spacing w:after="0"/>
              <w:rPr>
                <w:sz w:val="11"/>
                <w:szCs w:val="11"/>
                <w:color w:val="auto"/>
              </w:rPr>
            </w:pPr>
          </w:p>
        </w:tc>
        <w:tc>
          <w:tcPr>
            <w:tcW w:w="240" w:type="dxa"/>
            <w:vAlign w:val="bottom"/>
            <w:shd w:val="clear" w:color="auto" w:fill="B9E5FF"/>
          </w:tcPr>
          <w:p>
            <w:pPr>
              <w:jc w:val="right"/>
              <w:ind w:right="13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B9E5FF"/>
          </w:tcPr>
          <w:p>
            <w:pPr>
              <w:jc w:val="right"/>
              <w:spacing w:after="0" w:line="133" w:lineRule="exact"/>
              <w:rPr>
                <w:sz w:val="20"/>
                <w:szCs w:val="20"/>
                <w:color w:val="auto"/>
              </w:rPr>
            </w:pPr>
            <w:r>
              <w:rPr>
                <w:rFonts w:ascii="Arial" w:cs="Arial" w:eastAsia="Arial" w:hAnsi="Arial"/>
                <w:sz w:val="12"/>
                <w:szCs w:val="12"/>
                <w:color w:val="auto"/>
              </w:rPr>
              <w:t>4</w:t>
            </w:r>
          </w:p>
        </w:tc>
        <w:tc>
          <w:tcPr>
            <w:tcW w:w="120" w:type="dxa"/>
            <w:vAlign w:val="bottom"/>
            <w:shd w:val="clear" w:color="auto" w:fill="B9E5FF"/>
          </w:tcPr>
          <w:p>
            <w:pPr>
              <w:spacing w:after="0"/>
              <w:rPr>
                <w:sz w:val="11"/>
                <w:szCs w:val="11"/>
                <w:color w:val="auto"/>
              </w:rPr>
            </w:pPr>
          </w:p>
        </w:tc>
        <w:tc>
          <w:tcPr>
            <w:tcW w:w="380" w:type="dxa"/>
            <w:vAlign w:val="bottom"/>
            <w:shd w:val="clear" w:color="auto" w:fill="B9E5FF"/>
          </w:tcPr>
          <w:p>
            <w:pPr>
              <w:jc w:val="right"/>
              <w:ind w:right="27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B9E5FF"/>
          </w:tcPr>
          <w:p>
            <w:pPr>
              <w:jc w:val="right"/>
              <w:spacing w:after="0" w:line="133" w:lineRule="exact"/>
              <w:rPr>
                <w:sz w:val="20"/>
                <w:szCs w:val="20"/>
                <w:color w:val="auto"/>
              </w:rPr>
            </w:pPr>
            <w:r>
              <w:rPr>
                <w:rFonts w:ascii="Arial" w:cs="Arial" w:eastAsia="Arial" w:hAnsi="Arial"/>
                <w:sz w:val="12"/>
                <w:szCs w:val="12"/>
                <w:color w:val="auto"/>
              </w:rPr>
              <w:t>5</w:t>
            </w:r>
          </w:p>
        </w:tc>
      </w:tr>
      <w:tr>
        <w:trPr>
          <w:trHeight w:val="153"/>
        </w:trPr>
        <w:tc>
          <w:tcPr>
            <w:tcW w:w="2820" w:type="dxa"/>
            <w:vAlign w:val="bottom"/>
          </w:tcPr>
          <w:p>
            <w:pPr>
              <w:spacing w:after="0"/>
              <w:rPr>
                <w:sz w:val="20"/>
                <w:szCs w:val="20"/>
                <w:color w:val="auto"/>
              </w:rPr>
            </w:pPr>
            <w:r>
              <w:rPr>
                <w:rFonts w:ascii="Arial" w:cs="Arial" w:eastAsia="Arial" w:hAnsi="Arial"/>
                <w:sz w:val="12"/>
                <w:szCs w:val="12"/>
                <w:color w:val="auto"/>
              </w:rPr>
              <w:t>Interest cost</w:t>
            </w: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1,105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1,032</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36</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2,216</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2,081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71</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66</w:t>
            </w:r>
          </w:p>
        </w:tc>
      </w:tr>
      <w:tr>
        <w:trPr>
          <w:trHeight w:val="153"/>
        </w:trPr>
        <w:tc>
          <w:tcPr>
            <w:tcW w:w="2820" w:type="dxa"/>
            <w:vAlign w:val="bottom"/>
            <w:shd w:val="clear" w:color="auto" w:fill="B9E5FF"/>
          </w:tcPr>
          <w:p>
            <w:pPr>
              <w:spacing w:after="0"/>
              <w:rPr>
                <w:sz w:val="20"/>
                <w:szCs w:val="20"/>
                <w:color w:val="auto"/>
              </w:rPr>
            </w:pPr>
            <w:r>
              <w:rPr>
                <w:rFonts w:ascii="Arial" w:cs="Arial" w:eastAsia="Arial" w:hAnsi="Arial"/>
                <w:sz w:val="12"/>
                <w:szCs w:val="12"/>
                <w:color w:val="auto"/>
              </w:rPr>
              <w:t>Expected return on plan assets</w:t>
            </w:r>
          </w:p>
        </w:tc>
        <w:tc>
          <w:tcPr>
            <w:tcW w:w="240" w:type="dxa"/>
            <w:vAlign w:val="bottom"/>
            <w:shd w:val="clear" w:color="auto" w:fill="B9E5FF"/>
          </w:tcPr>
          <w:p>
            <w:pPr>
              <w:spacing w:after="0"/>
              <w:rPr>
                <w:sz w:val="13"/>
                <w:szCs w:val="13"/>
                <w:color w:val="auto"/>
              </w:rPr>
            </w:pPr>
          </w:p>
        </w:tc>
        <w:tc>
          <w:tcPr>
            <w:tcW w:w="720" w:type="dxa"/>
            <w:vAlign w:val="bottom"/>
            <w:shd w:val="clear" w:color="auto" w:fill="B9E5FF"/>
          </w:tcPr>
          <w:p>
            <w:pPr>
              <w:jc w:val="right"/>
              <w:spacing w:after="0"/>
              <w:rPr>
                <w:sz w:val="20"/>
                <w:szCs w:val="20"/>
                <w:color w:val="auto"/>
              </w:rPr>
            </w:pPr>
            <w:r>
              <w:rPr>
                <w:rFonts w:ascii="Arial" w:cs="Arial" w:eastAsia="Arial" w:hAnsi="Arial"/>
                <w:sz w:val="12"/>
                <w:szCs w:val="12"/>
                <w:color w:val="auto"/>
              </w:rPr>
              <w:t>(978)</w:t>
            </w:r>
          </w:p>
        </w:tc>
        <w:tc>
          <w:tcPr>
            <w:tcW w:w="120" w:type="dxa"/>
            <w:vAlign w:val="bottom"/>
            <w:shd w:val="clear" w:color="auto" w:fill="B9E5FF"/>
          </w:tcPr>
          <w:p>
            <w:pPr>
              <w:spacing w:after="0"/>
              <w:rPr>
                <w:sz w:val="13"/>
                <w:szCs w:val="13"/>
                <w:color w:val="auto"/>
              </w:rPr>
            </w:pPr>
          </w:p>
        </w:tc>
        <w:tc>
          <w:tcPr>
            <w:tcW w:w="180" w:type="dxa"/>
            <w:vAlign w:val="bottom"/>
            <w:shd w:val="clear" w:color="auto" w:fill="B9E5FF"/>
          </w:tcPr>
          <w:p>
            <w:pPr>
              <w:spacing w:after="0"/>
              <w:rPr>
                <w:sz w:val="13"/>
                <w:szCs w:val="13"/>
                <w:color w:val="auto"/>
              </w:rPr>
            </w:pPr>
          </w:p>
        </w:tc>
        <w:tc>
          <w:tcPr>
            <w:tcW w:w="800" w:type="dxa"/>
            <w:vAlign w:val="bottom"/>
            <w:shd w:val="clear" w:color="auto" w:fill="B9E5FF"/>
          </w:tcPr>
          <w:p>
            <w:pPr>
              <w:jc w:val="right"/>
              <w:spacing w:after="0"/>
              <w:rPr>
                <w:sz w:val="20"/>
                <w:szCs w:val="20"/>
                <w:color w:val="auto"/>
              </w:rPr>
            </w:pPr>
            <w:r>
              <w:rPr>
                <w:rFonts w:ascii="Arial" w:cs="Arial" w:eastAsia="Arial" w:hAnsi="Arial"/>
                <w:sz w:val="12"/>
                <w:szCs w:val="12"/>
                <w:color w:val="auto"/>
              </w:rPr>
              <w:t>(1,274)</w:t>
            </w:r>
          </w:p>
        </w:tc>
        <w:tc>
          <w:tcPr>
            <w:tcW w:w="120" w:type="dxa"/>
            <w:vAlign w:val="bottom"/>
            <w:shd w:val="clear" w:color="auto" w:fill="B9E5FF"/>
          </w:tcPr>
          <w:p>
            <w:pPr>
              <w:spacing w:after="0"/>
              <w:rPr>
                <w:sz w:val="13"/>
                <w:szCs w:val="13"/>
                <w:color w:val="auto"/>
              </w:rPr>
            </w:pPr>
          </w:p>
        </w:tc>
        <w:tc>
          <w:tcPr>
            <w:tcW w:w="240" w:type="dxa"/>
            <w:vAlign w:val="bottom"/>
            <w:shd w:val="clear" w:color="auto" w:fill="B9E5FF"/>
          </w:tcPr>
          <w:p>
            <w:pPr>
              <w:spacing w:after="0"/>
              <w:rPr>
                <w:sz w:val="13"/>
                <w:szCs w:val="13"/>
                <w:color w:val="auto"/>
              </w:rPr>
            </w:pPr>
          </w:p>
        </w:tc>
        <w:tc>
          <w:tcPr>
            <w:tcW w:w="860" w:type="dxa"/>
            <w:vAlign w:val="bottom"/>
            <w:gridSpan w:val="2"/>
            <w:shd w:val="clear" w:color="auto" w:fill="B9E5FF"/>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shd w:val="clear" w:color="auto" w:fill="B9E5FF"/>
          </w:tcPr>
          <w:p>
            <w:pPr>
              <w:spacing w:after="0"/>
              <w:rPr>
                <w:sz w:val="13"/>
                <w:szCs w:val="13"/>
                <w:color w:val="auto"/>
              </w:rPr>
            </w:pPr>
          </w:p>
        </w:tc>
        <w:tc>
          <w:tcPr>
            <w:tcW w:w="720" w:type="dxa"/>
            <w:vAlign w:val="bottom"/>
            <w:gridSpan w:val="2"/>
            <w:shd w:val="clear" w:color="auto" w:fill="B9E5FF"/>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shd w:val="clear" w:color="auto" w:fill="B9E5FF"/>
          </w:tcPr>
          <w:p>
            <w:pPr>
              <w:spacing w:after="0"/>
              <w:rPr>
                <w:sz w:val="13"/>
                <w:szCs w:val="13"/>
                <w:color w:val="auto"/>
              </w:rPr>
            </w:pPr>
          </w:p>
        </w:tc>
        <w:tc>
          <w:tcPr>
            <w:tcW w:w="740" w:type="dxa"/>
            <w:vAlign w:val="bottom"/>
            <w:shd w:val="clear" w:color="auto" w:fill="B9E5FF"/>
          </w:tcPr>
          <w:p>
            <w:pPr>
              <w:jc w:val="right"/>
              <w:spacing w:after="0"/>
              <w:rPr>
                <w:sz w:val="20"/>
                <w:szCs w:val="20"/>
                <w:color w:val="auto"/>
              </w:rPr>
            </w:pPr>
            <w:r>
              <w:rPr>
                <w:rFonts w:ascii="Arial" w:cs="Arial" w:eastAsia="Arial" w:hAnsi="Arial"/>
                <w:sz w:val="12"/>
                <w:szCs w:val="12"/>
                <w:color w:val="auto"/>
              </w:rPr>
              <w:t>(1,962)</w:t>
            </w:r>
          </w:p>
        </w:tc>
        <w:tc>
          <w:tcPr>
            <w:tcW w:w="120" w:type="dxa"/>
            <w:vAlign w:val="bottom"/>
            <w:shd w:val="clear" w:color="auto" w:fill="B9E5FF"/>
          </w:tcPr>
          <w:p>
            <w:pPr>
              <w:spacing w:after="0"/>
              <w:rPr>
                <w:sz w:val="13"/>
                <w:szCs w:val="13"/>
                <w:color w:val="auto"/>
              </w:rPr>
            </w:pPr>
          </w:p>
        </w:tc>
        <w:tc>
          <w:tcPr>
            <w:tcW w:w="200" w:type="dxa"/>
            <w:vAlign w:val="bottom"/>
            <w:shd w:val="clear" w:color="auto" w:fill="B9E5FF"/>
          </w:tcPr>
          <w:p>
            <w:pPr>
              <w:spacing w:after="0"/>
              <w:rPr>
                <w:sz w:val="13"/>
                <w:szCs w:val="13"/>
                <w:color w:val="auto"/>
              </w:rPr>
            </w:pPr>
          </w:p>
        </w:tc>
        <w:tc>
          <w:tcPr>
            <w:tcW w:w="780" w:type="dxa"/>
            <w:vAlign w:val="bottom"/>
            <w:shd w:val="clear" w:color="auto" w:fill="B9E5FF"/>
          </w:tcPr>
          <w:p>
            <w:pPr>
              <w:jc w:val="right"/>
              <w:spacing w:after="0"/>
              <w:rPr>
                <w:sz w:val="20"/>
                <w:szCs w:val="20"/>
                <w:color w:val="auto"/>
              </w:rPr>
            </w:pPr>
            <w:r>
              <w:rPr>
                <w:rFonts w:ascii="Arial" w:cs="Arial" w:eastAsia="Arial" w:hAnsi="Arial"/>
                <w:sz w:val="12"/>
                <w:szCs w:val="12"/>
                <w:color w:val="auto"/>
              </w:rPr>
              <w:t>(2,564)</w:t>
            </w:r>
          </w:p>
        </w:tc>
        <w:tc>
          <w:tcPr>
            <w:tcW w:w="120" w:type="dxa"/>
            <w:vAlign w:val="bottom"/>
            <w:shd w:val="clear" w:color="auto" w:fill="B9E5FF"/>
          </w:tcPr>
          <w:p>
            <w:pPr>
              <w:spacing w:after="0"/>
              <w:rPr>
                <w:sz w:val="13"/>
                <w:szCs w:val="13"/>
                <w:color w:val="auto"/>
              </w:rPr>
            </w:pPr>
          </w:p>
        </w:tc>
        <w:tc>
          <w:tcPr>
            <w:tcW w:w="240" w:type="dxa"/>
            <w:vAlign w:val="bottom"/>
            <w:shd w:val="clear" w:color="auto" w:fill="B9E5FF"/>
          </w:tcPr>
          <w:p>
            <w:pPr>
              <w:spacing w:after="0"/>
              <w:rPr>
                <w:sz w:val="13"/>
                <w:szCs w:val="13"/>
                <w:color w:val="auto"/>
              </w:rPr>
            </w:pPr>
          </w:p>
        </w:tc>
        <w:tc>
          <w:tcPr>
            <w:tcW w:w="860" w:type="dxa"/>
            <w:vAlign w:val="bottom"/>
            <w:gridSpan w:val="2"/>
            <w:shd w:val="clear" w:color="auto" w:fill="B9E5FF"/>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shd w:val="clear" w:color="auto" w:fill="B9E5FF"/>
          </w:tcPr>
          <w:p>
            <w:pPr>
              <w:spacing w:after="0"/>
              <w:rPr>
                <w:sz w:val="13"/>
                <w:szCs w:val="13"/>
                <w:color w:val="auto"/>
              </w:rPr>
            </w:pPr>
          </w:p>
        </w:tc>
        <w:tc>
          <w:tcPr>
            <w:tcW w:w="600" w:type="dxa"/>
            <w:vAlign w:val="bottom"/>
            <w:shd w:val="clear" w:color="auto" w:fill="B9E5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2820" w:type="dxa"/>
            <w:vAlign w:val="bottom"/>
          </w:tcPr>
          <w:p>
            <w:pPr>
              <w:spacing w:after="0"/>
              <w:rPr>
                <w:sz w:val="20"/>
                <w:szCs w:val="20"/>
                <w:color w:val="auto"/>
              </w:rPr>
            </w:pPr>
            <w:r>
              <w:rPr>
                <w:rFonts w:ascii="Arial" w:cs="Arial" w:eastAsia="Arial" w:hAnsi="Arial"/>
                <w:sz w:val="12"/>
                <w:szCs w:val="12"/>
                <w:color w:val="auto"/>
              </w:rPr>
              <w:t>Actuarial loss amortization</w:t>
            </w: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773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793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14</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1,549</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1,593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29</w:t>
            </w:r>
          </w:p>
        </w:tc>
      </w:tr>
      <w:tr>
        <w:trPr>
          <w:trHeight w:val="153"/>
        </w:trPr>
        <w:tc>
          <w:tcPr>
            <w:tcW w:w="2820" w:type="dxa"/>
            <w:vAlign w:val="bottom"/>
            <w:shd w:val="clear" w:color="auto" w:fill="B9E5FF"/>
          </w:tcPr>
          <w:p>
            <w:pPr>
              <w:spacing w:after="0"/>
              <w:rPr>
                <w:sz w:val="20"/>
                <w:szCs w:val="20"/>
                <w:color w:val="auto"/>
              </w:rPr>
            </w:pPr>
            <w:r>
              <w:rPr>
                <w:rFonts w:ascii="Arial" w:cs="Arial" w:eastAsia="Arial" w:hAnsi="Arial"/>
                <w:sz w:val="12"/>
                <w:szCs w:val="12"/>
                <w:color w:val="auto"/>
              </w:rPr>
              <w:t>Prior service cost amortization</w:t>
            </w:r>
          </w:p>
        </w:tc>
        <w:tc>
          <w:tcPr>
            <w:tcW w:w="240" w:type="dxa"/>
            <w:vAlign w:val="bottom"/>
            <w:shd w:val="clear" w:color="auto" w:fill="B9E5FF"/>
          </w:tcPr>
          <w:p>
            <w:pPr>
              <w:spacing w:after="0"/>
              <w:rPr>
                <w:sz w:val="13"/>
                <w:szCs w:val="13"/>
                <w:color w:val="auto"/>
              </w:rPr>
            </w:pPr>
          </w:p>
        </w:tc>
        <w:tc>
          <w:tcPr>
            <w:tcW w:w="720" w:type="dxa"/>
            <w:vAlign w:val="bottom"/>
            <w:shd w:val="clear" w:color="auto" w:fill="B9E5FF"/>
          </w:tcPr>
          <w:p>
            <w:pPr>
              <w:jc w:val="right"/>
              <w:spacing w:after="0"/>
              <w:rPr>
                <w:sz w:val="20"/>
                <w:szCs w:val="20"/>
                <w:color w:val="auto"/>
              </w:rPr>
            </w:pPr>
            <w:r>
              <w:rPr>
                <w:rFonts w:ascii="Arial" w:cs="Arial" w:eastAsia="Arial" w:hAnsi="Arial"/>
                <w:sz w:val="12"/>
                <w:szCs w:val="12"/>
                <w:color w:val="auto"/>
              </w:rPr>
              <w:t>(41)</w:t>
            </w:r>
          </w:p>
        </w:tc>
        <w:tc>
          <w:tcPr>
            <w:tcW w:w="120" w:type="dxa"/>
            <w:vAlign w:val="bottom"/>
            <w:shd w:val="clear" w:color="auto" w:fill="B9E5FF"/>
          </w:tcPr>
          <w:p>
            <w:pPr>
              <w:spacing w:after="0"/>
              <w:rPr>
                <w:sz w:val="13"/>
                <w:szCs w:val="13"/>
                <w:color w:val="auto"/>
              </w:rPr>
            </w:pPr>
          </w:p>
        </w:tc>
        <w:tc>
          <w:tcPr>
            <w:tcW w:w="180" w:type="dxa"/>
            <w:vAlign w:val="bottom"/>
            <w:shd w:val="clear" w:color="auto" w:fill="B9E5FF"/>
          </w:tcPr>
          <w:p>
            <w:pPr>
              <w:spacing w:after="0"/>
              <w:rPr>
                <w:sz w:val="13"/>
                <w:szCs w:val="13"/>
                <w:color w:val="auto"/>
              </w:rPr>
            </w:pPr>
          </w:p>
        </w:tc>
        <w:tc>
          <w:tcPr>
            <w:tcW w:w="800" w:type="dxa"/>
            <w:vAlign w:val="bottom"/>
            <w:shd w:val="clear" w:color="auto" w:fill="B9E5FF"/>
          </w:tcPr>
          <w:p>
            <w:pPr>
              <w:jc w:val="right"/>
              <w:spacing w:after="0"/>
              <w:rPr>
                <w:sz w:val="20"/>
                <w:szCs w:val="20"/>
                <w:color w:val="auto"/>
              </w:rPr>
            </w:pPr>
            <w:r>
              <w:rPr>
                <w:rFonts w:ascii="Arial" w:cs="Arial" w:eastAsia="Arial" w:hAnsi="Arial"/>
                <w:sz w:val="12"/>
                <w:szCs w:val="12"/>
                <w:color w:val="auto"/>
              </w:rPr>
              <w:t>(29)</w:t>
            </w:r>
          </w:p>
        </w:tc>
        <w:tc>
          <w:tcPr>
            <w:tcW w:w="120" w:type="dxa"/>
            <w:vAlign w:val="bottom"/>
            <w:shd w:val="clear" w:color="auto" w:fill="B9E5FF"/>
          </w:tcPr>
          <w:p>
            <w:pPr>
              <w:spacing w:after="0"/>
              <w:rPr>
                <w:sz w:val="13"/>
                <w:szCs w:val="13"/>
                <w:color w:val="auto"/>
              </w:rPr>
            </w:pPr>
          </w:p>
        </w:tc>
        <w:tc>
          <w:tcPr>
            <w:tcW w:w="240" w:type="dxa"/>
            <w:vAlign w:val="bottom"/>
            <w:shd w:val="clear" w:color="auto" w:fill="B9E5FF"/>
          </w:tcPr>
          <w:p>
            <w:pPr>
              <w:spacing w:after="0"/>
              <w:rPr>
                <w:sz w:val="13"/>
                <w:szCs w:val="13"/>
                <w:color w:val="auto"/>
              </w:rPr>
            </w:pPr>
          </w:p>
        </w:tc>
        <w:tc>
          <w:tcPr>
            <w:tcW w:w="860" w:type="dxa"/>
            <w:vAlign w:val="bottom"/>
            <w:gridSpan w:val="2"/>
            <w:shd w:val="clear" w:color="auto" w:fill="B9E5FF"/>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shd w:val="clear" w:color="auto" w:fill="B9E5FF"/>
          </w:tcPr>
          <w:p>
            <w:pPr>
              <w:spacing w:after="0"/>
              <w:rPr>
                <w:sz w:val="13"/>
                <w:szCs w:val="13"/>
                <w:color w:val="auto"/>
              </w:rPr>
            </w:pPr>
          </w:p>
        </w:tc>
        <w:tc>
          <w:tcPr>
            <w:tcW w:w="720" w:type="dxa"/>
            <w:vAlign w:val="bottom"/>
            <w:gridSpan w:val="2"/>
            <w:shd w:val="clear" w:color="auto" w:fill="B9E5FF"/>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shd w:val="clear" w:color="auto" w:fill="B9E5FF"/>
          </w:tcPr>
          <w:p>
            <w:pPr>
              <w:spacing w:after="0"/>
              <w:rPr>
                <w:sz w:val="13"/>
                <w:szCs w:val="13"/>
                <w:color w:val="auto"/>
              </w:rPr>
            </w:pPr>
          </w:p>
        </w:tc>
        <w:tc>
          <w:tcPr>
            <w:tcW w:w="740" w:type="dxa"/>
            <w:vAlign w:val="bottom"/>
            <w:shd w:val="clear" w:color="auto" w:fill="B9E5FF"/>
          </w:tcPr>
          <w:p>
            <w:pPr>
              <w:jc w:val="right"/>
              <w:spacing w:after="0"/>
              <w:rPr>
                <w:sz w:val="20"/>
                <w:szCs w:val="20"/>
                <w:color w:val="auto"/>
              </w:rPr>
            </w:pPr>
            <w:r>
              <w:rPr>
                <w:rFonts w:ascii="Arial" w:cs="Arial" w:eastAsia="Arial" w:hAnsi="Arial"/>
                <w:sz w:val="12"/>
                <w:szCs w:val="12"/>
                <w:color w:val="auto"/>
              </w:rPr>
              <w:t>(83)</w:t>
            </w:r>
          </w:p>
        </w:tc>
        <w:tc>
          <w:tcPr>
            <w:tcW w:w="120" w:type="dxa"/>
            <w:vAlign w:val="bottom"/>
            <w:shd w:val="clear" w:color="auto" w:fill="B9E5FF"/>
          </w:tcPr>
          <w:p>
            <w:pPr>
              <w:spacing w:after="0"/>
              <w:rPr>
                <w:sz w:val="13"/>
                <w:szCs w:val="13"/>
                <w:color w:val="auto"/>
              </w:rPr>
            </w:pPr>
          </w:p>
        </w:tc>
        <w:tc>
          <w:tcPr>
            <w:tcW w:w="200" w:type="dxa"/>
            <w:vAlign w:val="bottom"/>
            <w:shd w:val="clear" w:color="auto" w:fill="B9E5FF"/>
          </w:tcPr>
          <w:p>
            <w:pPr>
              <w:spacing w:after="0"/>
              <w:rPr>
                <w:sz w:val="13"/>
                <w:szCs w:val="13"/>
                <w:color w:val="auto"/>
              </w:rPr>
            </w:pPr>
          </w:p>
        </w:tc>
        <w:tc>
          <w:tcPr>
            <w:tcW w:w="780" w:type="dxa"/>
            <w:vAlign w:val="bottom"/>
            <w:shd w:val="clear" w:color="auto" w:fill="B9E5FF"/>
          </w:tcPr>
          <w:p>
            <w:pPr>
              <w:jc w:val="right"/>
              <w:spacing w:after="0"/>
              <w:rPr>
                <w:sz w:val="20"/>
                <w:szCs w:val="20"/>
                <w:color w:val="auto"/>
              </w:rPr>
            </w:pPr>
            <w:r>
              <w:rPr>
                <w:rFonts w:ascii="Arial" w:cs="Arial" w:eastAsia="Arial" w:hAnsi="Arial"/>
                <w:sz w:val="12"/>
                <w:szCs w:val="12"/>
                <w:color w:val="auto"/>
              </w:rPr>
              <w:t>(60)</w:t>
            </w:r>
          </w:p>
        </w:tc>
        <w:tc>
          <w:tcPr>
            <w:tcW w:w="120" w:type="dxa"/>
            <w:vAlign w:val="bottom"/>
            <w:shd w:val="clear" w:color="auto" w:fill="B9E5FF"/>
          </w:tcPr>
          <w:p>
            <w:pPr>
              <w:spacing w:after="0"/>
              <w:rPr>
                <w:sz w:val="13"/>
                <w:szCs w:val="13"/>
                <w:color w:val="auto"/>
              </w:rPr>
            </w:pPr>
          </w:p>
        </w:tc>
        <w:tc>
          <w:tcPr>
            <w:tcW w:w="240" w:type="dxa"/>
            <w:vAlign w:val="bottom"/>
            <w:shd w:val="clear" w:color="auto" w:fill="B9E5FF"/>
          </w:tcPr>
          <w:p>
            <w:pPr>
              <w:spacing w:after="0"/>
              <w:rPr>
                <w:sz w:val="13"/>
                <w:szCs w:val="13"/>
                <w:color w:val="auto"/>
              </w:rPr>
            </w:pPr>
          </w:p>
        </w:tc>
        <w:tc>
          <w:tcPr>
            <w:tcW w:w="860" w:type="dxa"/>
            <w:vAlign w:val="bottom"/>
            <w:gridSpan w:val="2"/>
            <w:shd w:val="clear" w:color="auto" w:fill="B9E5FF"/>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shd w:val="clear" w:color="auto" w:fill="B9E5FF"/>
          </w:tcPr>
          <w:p>
            <w:pPr>
              <w:spacing w:after="0"/>
              <w:rPr>
                <w:sz w:val="13"/>
                <w:szCs w:val="13"/>
                <w:color w:val="auto"/>
              </w:rPr>
            </w:pPr>
          </w:p>
        </w:tc>
        <w:tc>
          <w:tcPr>
            <w:tcW w:w="600" w:type="dxa"/>
            <w:vAlign w:val="bottom"/>
            <w:shd w:val="clear" w:color="auto" w:fill="B9E5FF"/>
          </w:tcPr>
          <w:p>
            <w:pPr>
              <w:jc w:val="right"/>
              <w:spacing w:after="0"/>
              <w:rPr>
                <w:sz w:val="20"/>
                <w:szCs w:val="20"/>
                <w:color w:val="auto"/>
              </w:rPr>
            </w:pPr>
            <w:r>
              <w:rPr>
                <w:rFonts w:ascii="Arial" w:cs="Arial" w:eastAsia="Arial" w:hAnsi="Arial"/>
                <w:sz w:val="12"/>
                <w:szCs w:val="12"/>
                <w:color w:val="auto"/>
              </w:rPr>
              <w:t>—</w:t>
            </w:r>
          </w:p>
        </w:tc>
      </w:tr>
      <w:tr>
        <w:trPr>
          <w:trHeight w:val="140"/>
        </w:trPr>
        <w:tc>
          <w:tcPr>
            <w:tcW w:w="2820" w:type="dxa"/>
            <w:vAlign w:val="bottom"/>
          </w:tcPr>
          <w:p>
            <w:pPr>
              <w:spacing w:after="0" w:line="133" w:lineRule="exact"/>
              <w:rPr>
                <w:sz w:val="20"/>
                <w:szCs w:val="20"/>
                <w:color w:val="auto"/>
              </w:rPr>
            </w:pPr>
            <w:r>
              <w:rPr>
                <w:rFonts w:ascii="Arial" w:cs="Arial" w:eastAsia="Arial" w:hAnsi="Arial"/>
                <w:sz w:val="12"/>
                <w:szCs w:val="12"/>
                <w:color w:val="auto"/>
              </w:rPr>
              <w:t>Net periodic benefit cost</w:t>
            </w: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1,837</w:t>
            </w:r>
          </w:p>
        </w:tc>
        <w:tc>
          <w:tcPr>
            <w:tcW w:w="12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1,482</w:t>
            </w:r>
          </w:p>
        </w:tc>
        <w:tc>
          <w:tcPr>
            <w:tcW w:w="12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38</w:t>
            </w:r>
          </w:p>
        </w:tc>
        <w:tc>
          <w:tcPr>
            <w:tcW w:w="12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50</w:t>
            </w:r>
          </w:p>
        </w:tc>
        <w:tc>
          <w:tcPr>
            <w:tcW w:w="12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3,683</w:t>
            </w:r>
          </w:p>
        </w:tc>
        <w:tc>
          <w:tcPr>
            <w:tcW w:w="12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2,998</w:t>
            </w:r>
          </w:p>
        </w:tc>
        <w:tc>
          <w:tcPr>
            <w:tcW w:w="12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75</w:t>
            </w:r>
          </w:p>
        </w:tc>
        <w:tc>
          <w:tcPr>
            <w:tcW w:w="12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100</w:t>
            </w:r>
          </w:p>
        </w:tc>
      </w:tr>
    </w:tbl>
    <w:p>
      <w:pPr>
        <w:spacing w:after="0" w:line="63" w:lineRule="exact"/>
        <w:rPr>
          <w:sz w:val="20"/>
          <w:szCs w:val="20"/>
          <w:color w:val="auto"/>
        </w:rPr>
      </w:pPr>
    </w:p>
    <w:p>
      <w:pPr>
        <w:ind w:firstLine="216"/>
        <w:spacing w:after="0" w:line="283" w:lineRule="auto"/>
        <w:rPr>
          <w:sz w:val="20"/>
          <w:szCs w:val="20"/>
          <w:color w:val="auto"/>
        </w:rPr>
      </w:pPr>
      <w:r>
        <w:rPr>
          <w:rFonts w:ascii="Arial" w:cs="Arial" w:eastAsia="Arial" w:hAnsi="Arial"/>
          <w:sz w:val="11"/>
          <w:szCs w:val="11"/>
          <w:color w:val="auto"/>
        </w:rPr>
        <w:t>The Company previously disclosed in its Annual Report filed on Form 10-K and 10-K/A for the year ended December 31, 2018 that the Company began the process of terminating the Company’s primary non-contributory U.S. pension plan (the “U.S. Pension Plan”) during the fourth quarter of 2018. As part of this process, and considering the fully funded status of the U.S. Pension Plan, the asset allocation of the U.S. Pension Plan was adjusted modeling a glide path that is more heavily allocated to fixed income securities with lengthened durations to match the projected liabilities. As a result, the expected return on plan assets declined during the three and six months ended June 30, 2019 compared to the three and six months ended June 30, 2018. In order to terminate the U.S. Pension Plan in accordance with Internal Revenue Service and Pension Benefit Guaranty Corporation requirements, the Company will be required to fully fund the U.S. Pension Plan on a termination basis and will commit to contribute additional assets if necessary, to do so. The amount necessary to do so is not yet known but is currently estimated to be between $0 and $10 million. In addition, the Company expects to record a non-cash pension settlement charge at plan termination. This settlement charge will include the</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16" w:name="page17"/>
    <w:bookmarkEnd w:id="16"/>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213" w:lineRule="exact"/>
        <w:rPr>
          <w:sz w:val="20"/>
          <w:szCs w:val="20"/>
          <w:color w:val="auto"/>
        </w:rPr>
      </w:pPr>
    </w:p>
    <w:p>
      <w:pPr>
        <w:ind w:right="140"/>
        <w:spacing w:after="0" w:line="323" w:lineRule="auto"/>
        <w:rPr>
          <w:sz w:val="20"/>
          <w:szCs w:val="20"/>
          <w:color w:val="auto"/>
        </w:rPr>
      </w:pPr>
      <w:r>
        <w:rPr>
          <w:rFonts w:ascii="Arial" w:cs="Arial" w:eastAsia="Arial" w:hAnsi="Arial"/>
          <w:sz w:val="11"/>
          <w:szCs w:val="11"/>
          <w:color w:val="auto"/>
        </w:rPr>
        <w:t>immediate recognition into expense of the related unrecognized losses within AOCI on the balance sheet as of the plan termination date. The Company does not have a current estimate for this future settlement charge, however, the gross AOCI related to the U.S. Pension Plan was approximately $19 million as of June 30, 2019. The Company currently estimates that the U.S. Pension Plan termination will be completed during 2020.</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Employer Contributions</w:t>
      </w:r>
    </w:p>
    <w:p>
      <w:pPr>
        <w:spacing w:after="0" w:line="78" w:lineRule="exact"/>
        <w:rPr>
          <w:sz w:val="20"/>
          <w:szCs w:val="20"/>
          <w:color w:val="auto"/>
        </w:rPr>
      </w:pPr>
    </w:p>
    <w:p>
      <w:pPr>
        <w:ind w:right="480" w:firstLine="216"/>
        <w:spacing w:after="0" w:line="263" w:lineRule="auto"/>
        <w:rPr>
          <w:sz w:val="20"/>
          <w:szCs w:val="20"/>
          <w:color w:val="auto"/>
        </w:rPr>
      </w:pPr>
      <w:r>
        <w:rPr>
          <w:rFonts w:ascii="Arial" w:cs="Arial" w:eastAsia="Arial" w:hAnsi="Arial"/>
          <w:sz w:val="12"/>
          <w:szCs w:val="12"/>
          <w:color w:val="auto"/>
        </w:rPr>
        <w:t>The Company previously disclosed in its Annual Report filed on Form 10-K and 10-K/A for the year ended December 31, 2018 that it expected to make minimum cash contributions of $5.2 million to its pension plans and approximately $0.4 million to its other postretirement benefit plans in 2019. As of June 30, 2019, $3.3 million and $0.2 million of contributions have been made to the Company’s pension plans and its postretirement benefit plans, respectively.</w:t>
      </w:r>
    </w:p>
    <w:p>
      <w:pPr>
        <w:spacing w:after="0" w:line="2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9 – Other Income (Expense), Net</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components of other income (expense), net, for the three and six months ended June 30, 2019 and 2018 are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gridSpan w:val="3"/>
          </w:tcPr>
          <w:p>
            <w:pPr>
              <w:jc w:val="right"/>
              <w:spacing w:after="0"/>
              <w:rPr>
                <w:sz w:val="20"/>
                <w:szCs w:val="20"/>
                <w:color w:val="auto"/>
              </w:rPr>
            </w:pPr>
            <w:r>
              <w:rPr>
                <w:rFonts w:ascii="Arial" w:cs="Arial" w:eastAsia="Arial" w:hAnsi="Arial"/>
                <w:sz w:val="12"/>
                <w:szCs w:val="12"/>
                <w:b w:val="1"/>
                <w:bCs w:val="1"/>
                <w:color w:val="auto"/>
                <w:w w:val="92"/>
              </w:rPr>
              <w:t>Three Months Ended</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gridSpan w:val="3"/>
          </w:tcPr>
          <w:p>
            <w:pPr>
              <w:jc w:val="right"/>
              <w:spacing w:after="0"/>
              <w:rPr>
                <w:sz w:val="20"/>
                <w:szCs w:val="20"/>
                <w:color w:val="auto"/>
              </w:rPr>
            </w:pPr>
            <w:r>
              <w:rPr>
                <w:rFonts w:ascii="Arial" w:cs="Arial" w:eastAsia="Arial" w:hAnsi="Arial"/>
                <w:sz w:val="12"/>
                <w:szCs w:val="12"/>
                <w:b w:val="1"/>
                <w:bCs w:val="1"/>
                <w:color w:val="auto"/>
              </w:rPr>
              <w:t>Six Months Ended</w:t>
            </w:r>
          </w:p>
        </w:tc>
        <w:tc>
          <w:tcPr>
            <w:tcW w:w="860" w:type="dxa"/>
            <w:vAlign w:val="bottom"/>
          </w:tcPr>
          <w:p>
            <w:pPr>
              <w:spacing w:after="0"/>
              <w:rPr>
                <w:sz w:val="13"/>
                <w:szCs w:val="13"/>
                <w:color w:val="auto"/>
              </w:rPr>
            </w:pPr>
          </w:p>
        </w:tc>
      </w:tr>
      <w:tr>
        <w:trPr>
          <w:trHeight w:val="157"/>
        </w:trPr>
        <w:tc>
          <w:tcPr>
            <w:tcW w:w="58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2"/>
                <w:szCs w:val="12"/>
                <w:b w:val="1"/>
                <w:bCs w:val="1"/>
                <w:color w:val="auto"/>
              </w:rPr>
              <w:t>June 30,</w:t>
            </w: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2"/>
                <w:szCs w:val="12"/>
                <w:b w:val="1"/>
                <w:bCs w:val="1"/>
                <w:color w:val="auto"/>
              </w:rPr>
              <w:t>June 30,</w:t>
            </w:r>
          </w:p>
        </w:tc>
        <w:tc>
          <w:tcPr>
            <w:tcW w:w="860" w:type="dxa"/>
            <w:vAlign w:val="bottom"/>
            <w:tcBorders>
              <w:bottom w:val="single" w:sz="8" w:color="auto"/>
            </w:tcBorders>
          </w:tcPr>
          <w:p>
            <w:pPr>
              <w:spacing w:after="0"/>
              <w:rPr>
                <w:sz w:val="13"/>
                <w:szCs w:val="13"/>
                <w:color w:val="auto"/>
              </w:rPr>
            </w:pPr>
          </w:p>
        </w:tc>
      </w:tr>
      <w:tr>
        <w:trPr>
          <w:trHeight w:val="133"/>
        </w:trPr>
        <w:tc>
          <w:tcPr>
            <w:tcW w:w="5880" w:type="dxa"/>
            <w:vAlign w:val="bottom"/>
            <w:tcBorders>
              <w:bottom w:val="single" w:sz="8" w:color="B7E5FF"/>
            </w:tcBorders>
          </w:tcPr>
          <w:p>
            <w:pPr>
              <w:spacing w:after="0"/>
              <w:rPr>
                <w:sz w:val="11"/>
                <w:szCs w:val="11"/>
                <w:color w:val="auto"/>
              </w:rPr>
            </w:pPr>
          </w:p>
        </w:tc>
        <w:tc>
          <w:tcPr>
            <w:tcW w:w="7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2019</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B7E5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480"/>
              <w:spacing w:after="0" w:line="133" w:lineRule="exact"/>
              <w:rPr>
                <w:sz w:val="20"/>
                <w:szCs w:val="20"/>
                <w:color w:val="auto"/>
              </w:rPr>
            </w:pPr>
            <w:r>
              <w:rPr>
                <w:rFonts w:ascii="Arial" w:cs="Arial" w:eastAsia="Arial" w:hAnsi="Arial"/>
                <w:sz w:val="12"/>
                <w:szCs w:val="12"/>
                <w:b w:val="1"/>
                <w:bCs w:val="1"/>
                <w:color w:val="auto"/>
                <w:w w:val="89"/>
              </w:rPr>
              <w:t>2018</w:t>
            </w:r>
          </w:p>
        </w:tc>
        <w:tc>
          <w:tcPr>
            <w:tcW w:w="120" w:type="dxa"/>
            <w:vAlign w:val="bottom"/>
            <w:tcBorders>
              <w:bottom w:val="single" w:sz="8" w:color="B7E5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80"/>
              <w:spacing w:after="0" w:line="133" w:lineRule="exact"/>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B7E5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00"/>
              <w:spacing w:after="0" w:line="133" w:lineRule="exact"/>
              <w:rPr>
                <w:sz w:val="20"/>
                <w:szCs w:val="20"/>
                <w:color w:val="auto"/>
              </w:rPr>
            </w:pPr>
            <w:r>
              <w:rPr>
                <w:rFonts w:ascii="Arial" w:cs="Arial" w:eastAsia="Arial" w:hAnsi="Arial"/>
                <w:sz w:val="12"/>
                <w:szCs w:val="12"/>
                <w:b w:val="1"/>
                <w:bCs w:val="1"/>
                <w:color w:val="auto"/>
              </w:rPr>
              <w:t>2018</w:t>
            </w:r>
          </w:p>
        </w:tc>
      </w:tr>
      <w:tr>
        <w:trPr>
          <w:trHeight w:val="133"/>
        </w:trPr>
        <w:tc>
          <w:tcPr>
            <w:tcW w:w="5880" w:type="dxa"/>
            <w:vAlign w:val="bottom"/>
            <w:shd w:val="clear" w:color="auto" w:fill="B7E5FF"/>
          </w:tcPr>
          <w:p>
            <w:pPr>
              <w:ind w:left="20"/>
              <w:spacing w:after="0" w:line="133" w:lineRule="exact"/>
              <w:rPr>
                <w:sz w:val="20"/>
                <w:szCs w:val="20"/>
                <w:color w:val="auto"/>
              </w:rPr>
            </w:pPr>
            <w:r>
              <w:rPr>
                <w:rFonts w:ascii="Arial" w:cs="Arial" w:eastAsia="Arial" w:hAnsi="Arial"/>
                <w:sz w:val="12"/>
                <w:szCs w:val="12"/>
                <w:color w:val="auto"/>
              </w:rPr>
              <w:t>Income from third party license fees</w:t>
            </w:r>
          </w:p>
        </w:tc>
        <w:tc>
          <w:tcPr>
            <w:tcW w:w="780" w:type="dxa"/>
            <w:vAlign w:val="bottom"/>
            <w:shd w:val="clear" w:color="auto" w:fill="B7E5FF"/>
          </w:tcPr>
          <w:p>
            <w:pPr>
              <w:jc w:val="right"/>
              <w:ind w:right="640"/>
              <w:spacing w:after="0" w:line="133" w:lineRule="exact"/>
              <w:rPr>
                <w:sz w:val="20"/>
                <w:szCs w:val="20"/>
                <w:color w:val="auto"/>
              </w:rPr>
            </w:pPr>
            <w:r>
              <w:rPr>
                <w:rFonts w:ascii="Arial" w:cs="Arial" w:eastAsia="Arial" w:hAnsi="Arial"/>
                <w:sz w:val="12"/>
                <w:szCs w:val="12"/>
                <w:color w:val="auto"/>
                <w:w w:val="89"/>
              </w:rPr>
              <w:t>$</w:t>
            </w:r>
          </w:p>
        </w:tc>
        <w:tc>
          <w:tcPr>
            <w:tcW w:w="52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193</w:t>
            </w:r>
          </w:p>
        </w:tc>
        <w:tc>
          <w:tcPr>
            <w:tcW w:w="100" w:type="dxa"/>
            <w:vAlign w:val="bottom"/>
            <w:shd w:val="clear" w:color="auto" w:fill="B7E5FF"/>
          </w:tcPr>
          <w:p>
            <w:pPr>
              <w:spacing w:after="0"/>
              <w:rPr>
                <w:sz w:val="11"/>
                <w:szCs w:val="11"/>
                <w:color w:val="auto"/>
              </w:rPr>
            </w:pPr>
          </w:p>
        </w:tc>
        <w:tc>
          <w:tcPr>
            <w:tcW w:w="520" w:type="dxa"/>
            <w:vAlign w:val="bottom"/>
            <w:shd w:val="clear" w:color="auto" w:fill="B7E5FF"/>
          </w:tcPr>
          <w:p>
            <w:pPr>
              <w:jc w:val="right"/>
              <w:ind w:right="360"/>
              <w:spacing w:after="0" w:line="133" w:lineRule="exact"/>
              <w:rPr>
                <w:sz w:val="20"/>
                <w:szCs w:val="20"/>
                <w:color w:val="auto"/>
              </w:rPr>
            </w:pPr>
            <w:r>
              <w:rPr>
                <w:rFonts w:ascii="Arial" w:cs="Arial" w:eastAsia="Arial" w:hAnsi="Arial"/>
                <w:sz w:val="12"/>
                <w:szCs w:val="12"/>
                <w:color w:val="auto"/>
              </w:rPr>
              <w:t>$</w:t>
            </w:r>
          </w:p>
        </w:tc>
        <w:tc>
          <w:tcPr>
            <w:tcW w:w="80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189</w:t>
            </w:r>
          </w:p>
        </w:tc>
        <w:tc>
          <w:tcPr>
            <w:tcW w:w="120" w:type="dxa"/>
            <w:vAlign w:val="bottom"/>
            <w:shd w:val="clear" w:color="auto" w:fill="B7E5FF"/>
          </w:tcPr>
          <w:p>
            <w:pPr>
              <w:spacing w:after="0"/>
              <w:rPr>
                <w:sz w:val="11"/>
                <w:szCs w:val="11"/>
                <w:color w:val="auto"/>
              </w:rPr>
            </w:pPr>
          </w:p>
        </w:tc>
        <w:tc>
          <w:tcPr>
            <w:tcW w:w="300" w:type="dxa"/>
            <w:vAlign w:val="bottom"/>
            <w:shd w:val="clear" w:color="auto" w:fill="B7E5FF"/>
          </w:tcPr>
          <w:p>
            <w:pPr>
              <w:jc w:val="right"/>
              <w:ind w:right="160"/>
              <w:spacing w:after="0" w:line="133" w:lineRule="exact"/>
              <w:rPr>
                <w:sz w:val="20"/>
                <w:szCs w:val="20"/>
                <w:color w:val="auto"/>
              </w:rPr>
            </w:pPr>
            <w:r>
              <w:rPr>
                <w:rFonts w:ascii="Arial" w:cs="Arial" w:eastAsia="Arial" w:hAnsi="Arial"/>
                <w:sz w:val="12"/>
                <w:szCs w:val="12"/>
                <w:color w:val="auto"/>
                <w:w w:val="89"/>
              </w:rPr>
              <w:t>$</w:t>
            </w:r>
          </w:p>
        </w:tc>
        <w:tc>
          <w:tcPr>
            <w:tcW w:w="100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413</w:t>
            </w:r>
          </w:p>
        </w:tc>
        <w:tc>
          <w:tcPr>
            <w:tcW w:w="120" w:type="dxa"/>
            <w:vAlign w:val="bottom"/>
            <w:shd w:val="clear" w:color="auto" w:fill="B7E5FF"/>
          </w:tcPr>
          <w:p>
            <w:pPr>
              <w:spacing w:after="0"/>
              <w:rPr>
                <w:sz w:val="11"/>
                <w:szCs w:val="11"/>
                <w:color w:val="auto"/>
              </w:rPr>
            </w:pPr>
          </w:p>
        </w:tc>
        <w:tc>
          <w:tcPr>
            <w:tcW w:w="480" w:type="dxa"/>
            <w:vAlign w:val="bottom"/>
            <w:shd w:val="clear" w:color="auto" w:fill="B7E5FF"/>
          </w:tcPr>
          <w:p>
            <w:pPr>
              <w:jc w:val="right"/>
              <w:ind w:right="340"/>
              <w:spacing w:after="0" w:line="133" w:lineRule="exact"/>
              <w:rPr>
                <w:sz w:val="20"/>
                <w:szCs w:val="20"/>
                <w:color w:val="auto"/>
              </w:rPr>
            </w:pPr>
            <w:r>
              <w:rPr>
                <w:rFonts w:ascii="Arial" w:cs="Arial" w:eastAsia="Arial" w:hAnsi="Arial"/>
                <w:sz w:val="12"/>
                <w:szCs w:val="12"/>
                <w:color w:val="auto"/>
                <w:w w:val="89"/>
              </w:rPr>
              <w:t>$</w:t>
            </w:r>
          </w:p>
        </w:tc>
        <w:tc>
          <w:tcPr>
            <w:tcW w:w="86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439</w:t>
            </w:r>
          </w:p>
        </w:tc>
      </w:tr>
      <w:tr>
        <w:trPr>
          <w:trHeight w:val="153"/>
        </w:trPr>
        <w:tc>
          <w:tcPr>
            <w:tcW w:w="5880" w:type="dxa"/>
            <w:vAlign w:val="bottom"/>
          </w:tcPr>
          <w:p>
            <w:pPr>
              <w:ind w:left="20"/>
              <w:spacing w:after="0"/>
              <w:rPr>
                <w:sz w:val="20"/>
                <w:szCs w:val="20"/>
                <w:color w:val="auto"/>
              </w:rPr>
            </w:pPr>
            <w:r>
              <w:rPr>
                <w:rFonts w:ascii="Arial" w:cs="Arial" w:eastAsia="Arial" w:hAnsi="Arial"/>
                <w:sz w:val="12"/>
                <w:szCs w:val="12"/>
                <w:color w:val="auto"/>
              </w:rPr>
              <w:t>Foreign exchange losses, net</w:t>
            </w:r>
          </w:p>
        </w:tc>
        <w:tc>
          <w:tcPr>
            <w:tcW w:w="7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(144)</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(493)</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(381)</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(722)</w:t>
            </w:r>
          </w:p>
        </w:tc>
      </w:tr>
      <w:tr>
        <w:trPr>
          <w:trHeight w:val="153"/>
        </w:trPr>
        <w:tc>
          <w:tcPr>
            <w:tcW w:w="5880" w:type="dxa"/>
            <w:vAlign w:val="bottom"/>
            <w:shd w:val="clear" w:color="auto" w:fill="B7E5FF"/>
          </w:tcPr>
          <w:p>
            <w:pPr>
              <w:ind w:left="20"/>
              <w:spacing w:after="0"/>
              <w:rPr>
                <w:sz w:val="20"/>
                <w:szCs w:val="20"/>
                <w:color w:val="auto"/>
              </w:rPr>
            </w:pPr>
            <w:r>
              <w:rPr>
                <w:rFonts w:ascii="Arial" w:cs="Arial" w:eastAsia="Arial" w:hAnsi="Arial"/>
                <w:sz w:val="12"/>
                <w:szCs w:val="12"/>
                <w:color w:val="auto"/>
              </w:rPr>
              <w:t>Gain on fixed asset disposals, net</w:t>
            </w:r>
          </w:p>
        </w:tc>
        <w:tc>
          <w:tcPr>
            <w:tcW w:w="780" w:type="dxa"/>
            <w:vAlign w:val="bottom"/>
            <w:shd w:val="clear" w:color="auto" w:fill="B7E5FF"/>
          </w:tcPr>
          <w:p>
            <w:pPr>
              <w:spacing w:after="0"/>
              <w:rPr>
                <w:sz w:val="13"/>
                <w:szCs w:val="13"/>
                <w:color w:val="auto"/>
              </w:rPr>
            </w:pPr>
          </w:p>
        </w:tc>
        <w:tc>
          <w:tcPr>
            <w:tcW w:w="5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30</w:t>
            </w:r>
          </w:p>
        </w:tc>
        <w:tc>
          <w:tcPr>
            <w:tcW w:w="100" w:type="dxa"/>
            <w:vAlign w:val="bottom"/>
            <w:shd w:val="clear" w:color="auto" w:fill="B7E5FF"/>
          </w:tcPr>
          <w:p>
            <w:pPr>
              <w:spacing w:after="0"/>
              <w:rPr>
                <w:sz w:val="13"/>
                <w:szCs w:val="13"/>
                <w:color w:val="auto"/>
              </w:rPr>
            </w:pPr>
          </w:p>
        </w:tc>
        <w:tc>
          <w:tcPr>
            <w:tcW w:w="520" w:type="dxa"/>
            <w:vAlign w:val="bottom"/>
            <w:shd w:val="clear" w:color="auto" w:fill="B7E5FF"/>
          </w:tcPr>
          <w:p>
            <w:pPr>
              <w:spacing w:after="0"/>
              <w:rPr>
                <w:sz w:val="13"/>
                <w:szCs w:val="13"/>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547</w:t>
            </w:r>
          </w:p>
        </w:tc>
        <w:tc>
          <w:tcPr>
            <w:tcW w:w="120" w:type="dxa"/>
            <w:vAlign w:val="bottom"/>
            <w:shd w:val="clear" w:color="auto" w:fill="B7E5FF"/>
          </w:tcPr>
          <w:p>
            <w:pPr>
              <w:spacing w:after="0"/>
              <w:rPr>
                <w:sz w:val="13"/>
                <w:szCs w:val="13"/>
                <w:color w:val="auto"/>
              </w:rPr>
            </w:pPr>
          </w:p>
        </w:tc>
        <w:tc>
          <w:tcPr>
            <w:tcW w:w="300" w:type="dxa"/>
            <w:vAlign w:val="bottom"/>
            <w:shd w:val="clear" w:color="auto" w:fill="B7E5FF"/>
          </w:tcPr>
          <w:p>
            <w:pPr>
              <w:spacing w:after="0"/>
              <w:rPr>
                <w:sz w:val="13"/>
                <w:szCs w:val="13"/>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39</w:t>
            </w:r>
          </w:p>
        </w:tc>
        <w:tc>
          <w:tcPr>
            <w:tcW w:w="120" w:type="dxa"/>
            <w:vAlign w:val="bottom"/>
            <w:shd w:val="clear" w:color="auto" w:fill="B7E5FF"/>
          </w:tcPr>
          <w:p>
            <w:pPr>
              <w:spacing w:after="0"/>
              <w:rPr>
                <w:sz w:val="13"/>
                <w:szCs w:val="13"/>
                <w:color w:val="auto"/>
              </w:rPr>
            </w:pPr>
          </w:p>
        </w:tc>
        <w:tc>
          <w:tcPr>
            <w:tcW w:w="480" w:type="dxa"/>
            <w:vAlign w:val="bottom"/>
            <w:shd w:val="clear" w:color="auto" w:fill="B7E5FF"/>
          </w:tcPr>
          <w:p>
            <w:pPr>
              <w:spacing w:after="0"/>
              <w:rPr>
                <w:sz w:val="13"/>
                <w:szCs w:val="13"/>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599</w:t>
            </w:r>
          </w:p>
        </w:tc>
      </w:tr>
      <w:tr>
        <w:trPr>
          <w:trHeight w:val="153"/>
        </w:trPr>
        <w:tc>
          <w:tcPr>
            <w:tcW w:w="5880" w:type="dxa"/>
            <w:vAlign w:val="bottom"/>
          </w:tcPr>
          <w:p>
            <w:pPr>
              <w:ind w:left="20"/>
              <w:spacing w:after="0"/>
              <w:rPr>
                <w:sz w:val="20"/>
                <w:szCs w:val="20"/>
                <w:color w:val="auto"/>
              </w:rPr>
            </w:pPr>
            <w:r>
              <w:rPr>
                <w:rFonts w:ascii="Arial" w:cs="Arial" w:eastAsia="Arial" w:hAnsi="Arial"/>
                <w:sz w:val="12"/>
                <w:szCs w:val="12"/>
                <w:color w:val="auto"/>
              </w:rPr>
              <w:t>Non-income tax refunds and other related credits</w:t>
            </w:r>
          </w:p>
        </w:tc>
        <w:tc>
          <w:tcPr>
            <w:tcW w:w="7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813</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505</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965</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541</w:t>
            </w:r>
          </w:p>
        </w:tc>
      </w:tr>
      <w:tr>
        <w:trPr>
          <w:trHeight w:val="153"/>
        </w:trPr>
        <w:tc>
          <w:tcPr>
            <w:tcW w:w="5880" w:type="dxa"/>
            <w:vAlign w:val="bottom"/>
            <w:shd w:val="clear" w:color="auto" w:fill="B7E5FF"/>
          </w:tcPr>
          <w:p>
            <w:pPr>
              <w:ind w:left="20"/>
              <w:spacing w:after="0"/>
              <w:rPr>
                <w:sz w:val="20"/>
                <w:szCs w:val="20"/>
                <w:color w:val="auto"/>
              </w:rPr>
            </w:pPr>
            <w:r>
              <w:rPr>
                <w:rFonts w:ascii="Arial" w:cs="Arial" w:eastAsia="Arial" w:hAnsi="Arial"/>
                <w:sz w:val="12"/>
                <w:szCs w:val="12"/>
                <w:color w:val="auto"/>
              </w:rPr>
              <w:t>Pension and postretirement benefit costs,</w:t>
            </w:r>
          </w:p>
        </w:tc>
        <w:tc>
          <w:tcPr>
            <w:tcW w:w="780" w:type="dxa"/>
            <w:vAlign w:val="bottom"/>
            <w:shd w:val="clear" w:color="auto" w:fill="B7E5FF"/>
          </w:tcPr>
          <w:p>
            <w:pPr>
              <w:spacing w:after="0"/>
              <w:rPr>
                <w:sz w:val="13"/>
                <w:szCs w:val="13"/>
                <w:color w:val="auto"/>
              </w:rPr>
            </w:pPr>
          </w:p>
        </w:tc>
        <w:tc>
          <w:tcPr>
            <w:tcW w:w="520" w:type="dxa"/>
            <w:vAlign w:val="bottom"/>
            <w:shd w:val="clear" w:color="auto" w:fill="B7E5FF"/>
          </w:tcPr>
          <w:p>
            <w:pPr>
              <w:spacing w:after="0"/>
              <w:rPr>
                <w:sz w:val="13"/>
                <w:szCs w:val="13"/>
                <w:color w:val="auto"/>
              </w:rPr>
            </w:pPr>
          </w:p>
        </w:tc>
        <w:tc>
          <w:tcPr>
            <w:tcW w:w="100" w:type="dxa"/>
            <w:vAlign w:val="bottom"/>
            <w:shd w:val="clear" w:color="auto" w:fill="B7E5FF"/>
          </w:tcPr>
          <w:p>
            <w:pPr>
              <w:spacing w:after="0"/>
              <w:rPr>
                <w:sz w:val="13"/>
                <w:szCs w:val="13"/>
                <w:color w:val="auto"/>
              </w:rPr>
            </w:pPr>
          </w:p>
        </w:tc>
        <w:tc>
          <w:tcPr>
            <w:tcW w:w="520" w:type="dxa"/>
            <w:vAlign w:val="bottom"/>
            <w:shd w:val="clear" w:color="auto" w:fill="B7E5FF"/>
          </w:tcPr>
          <w:p>
            <w:pPr>
              <w:spacing w:after="0"/>
              <w:rPr>
                <w:sz w:val="13"/>
                <w:szCs w:val="13"/>
                <w:color w:val="auto"/>
              </w:rPr>
            </w:pPr>
          </w:p>
        </w:tc>
        <w:tc>
          <w:tcPr>
            <w:tcW w:w="800" w:type="dxa"/>
            <w:vAlign w:val="bottom"/>
            <w:shd w:val="clear" w:color="auto" w:fill="B7E5FF"/>
          </w:tcPr>
          <w:p>
            <w:pPr>
              <w:spacing w:after="0"/>
              <w:rPr>
                <w:sz w:val="13"/>
                <w:szCs w:val="13"/>
                <w:color w:val="auto"/>
              </w:rPr>
            </w:pPr>
          </w:p>
        </w:tc>
        <w:tc>
          <w:tcPr>
            <w:tcW w:w="120" w:type="dxa"/>
            <w:vAlign w:val="bottom"/>
            <w:shd w:val="clear" w:color="auto" w:fill="B7E5FF"/>
          </w:tcPr>
          <w:p>
            <w:pPr>
              <w:spacing w:after="0"/>
              <w:rPr>
                <w:sz w:val="13"/>
                <w:szCs w:val="13"/>
                <w:color w:val="auto"/>
              </w:rPr>
            </w:pPr>
          </w:p>
        </w:tc>
        <w:tc>
          <w:tcPr>
            <w:tcW w:w="300" w:type="dxa"/>
            <w:vAlign w:val="bottom"/>
            <w:shd w:val="clear" w:color="auto" w:fill="B7E5FF"/>
          </w:tcPr>
          <w:p>
            <w:pPr>
              <w:spacing w:after="0"/>
              <w:rPr>
                <w:sz w:val="13"/>
                <w:szCs w:val="13"/>
                <w:color w:val="auto"/>
              </w:rPr>
            </w:pPr>
          </w:p>
        </w:tc>
        <w:tc>
          <w:tcPr>
            <w:tcW w:w="1000" w:type="dxa"/>
            <w:vAlign w:val="bottom"/>
            <w:shd w:val="clear" w:color="auto" w:fill="B7E5FF"/>
          </w:tcPr>
          <w:p>
            <w:pPr>
              <w:spacing w:after="0"/>
              <w:rPr>
                <w:sz w:val="13"/>
                <w:szCs w:val="13"/>
                <w:color w:val="auto"/>
              </w:rPr>
            </w:pPr>
          </w:p>
        </w:tc>
        <w:tc>
          <w:tcPr>
            <w:tcW w:w="120" w:type="dxa"/>
            <w:vAlign w:val="bottom"/>
            <w:shd w:val="clear" w:color="auto" w:fill="B7E5FF"/>
          </w:tcPr>
          <w:p>
            <w:pPr>
              <w:spacing w:after="0"/>
              <w:rPr>
                <w:sz w:val="13"/>
                <w:szCs w:val="13"/>
                <w:color w:val="auto"/>
              </w:rPr>
            </w:pPr>
          </w:p>
        </w:tc>
        <w:tc>
          <w:tcPr>
            <w:tcW w:w="480" w:type="dxa"/>
            <w:vAlign w:val="bottom"/>
            <w:shd w:val="clear" w:color="auto" w:fill="B7E5FF"/>
          </w:tcPr>
          <w:p>
            <w:pPr>
              <w:spacing w:after="0"/>
              <w:rPr>
                <w:sz w:val="13"/>
                <w:szCs w:val="13"/>
                <w:color w:val="auto"/>
              </w:rPr>
            </w:pPr>
          </w:p>
        </w:tc>
        <w:tc>
          <w:tcPr>
            <w:tcW w:w="860" w:type="dxa"/>
            <w:vAlign w:val="bottom"/>
            <w:shd w:val="clear" w:color="auto" w:fill="B7E5FF"/>
          </w:tcPr>
          <w:p>
            <w:pPr>
              <w:spacing w:after="0"/>
              <w:rPr>
                <w:sz w:val="13"/>
                <w:szCs w:val="13"/>
                <w:color w:val="auto"/>
              </w:rPr>
            </w:pPr>
          </w:p>
        </w:tc>
      </w:tr>
      <w:tr>
        <w:trPr>
          <w:trHeight w:val="153"/>
        </w:trPr>
        <w:tc>
          <w:tcPr>
            <w:tcW w:w="5880" w:type="dxa"/>
            <w:vAlign w:val="bottom"/>
          </w:tcPr>
          <w:p>
            <w:pPr>
              <w:ind w:left="100"/>
              <w:spacing w:after="0"/>
              <w:rPr>
                <w:sz w:val="20"/>
                <w:szCs w:val="20"/>
                <w:color w:val="auto"/>
              </w:rPr>
            </w:pPr>
            <w:r>
              <w:rPr>
                <w:rFonts w:ascii="Arial" w:cs="Arial" w:eastAsia="Arial" w:hAnsi="Arial"/>
                <w:sz w:val="12"/>
                <w:szCs w:val="12"/>
                <w:color w:val="auto"/>
              </w:rPr>
              <w:t>non-service components</w:t>
            </w:r>
          </w:p>
        </w:tc>
        <w:tc>
          <w:tcPr>
            <w:tcW w:w="7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(895)</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(569)</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(1,791)</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(1,145)</w:t>
            </w:r>
          </w:p>
        </w:tc>
      </w:tr>
      <w:tr>
        <w:trPr>
          <w:trHeight w:val="153"/>
        </w:trPr>
        <w:tc>
          <w:tcPr>
            <w:tcW w:w="5880" w:type="dxa"/>
            <w:vAlign w:val="bottom"/>
            <w:shd w:val="clear" w:color="auto" w:fill="B7E5FF"/>
          </w:tcPr>
          <w:p>
            <w:pPr>
              <w:ind w:left="20"/>
              <w:spacing w:after="0"/>
              <w:rPr>
                <w:sz w:val="20"/>
                <w:szCs w:val="20"/>
                <w:color w:val="auto"/>
              </w:rPr>
            </w:pPr>
            <w:r>
              <w:rPr>
                <w:rFonts w:ascii="Arial" w:cs="Arial" w:eastAsia="Arial" w:hAnsi="Arial"/>
                <w:sz w:val="12"/>
                <w:szCs w:val="12"/>
                <w:color w:val="auto"/>
              </w:rPr>
              <w:t>Other non-operating income</w:t>
            </w:r>
          </w:p>
        </w:tc>
        <w:tc>
          <w:tcPr>
            <w:tcW w:w="780" w:type="dxa"/>
            <w:vAlign w:val="bottom"/>
            <w:shd w:val="clear" w:color="auto" w:fill="B7E5FF"/>
          </w:tcPr>
          <w:p>
            <w:pPr>
              <w:spacing w:after="0"/>
              <w:rPr>
                <w:sz w:val="13"/>
                <w:szCs w:val="13"/>
                <w:color w:val="auto"/>
              </w:rPr>
            </w:pPr>
          </w:p>
        </w:tc>
        <w:tc>
          <w:tcPr>
            <w:tcW w:w="5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74</w:t>
            </w:r>
          </w:p>
        </w:tc>
        <w:tc>
          <w:tcPr>
            <w:tcW w:w="100" w:type="dxa"/>
            <w:vAlign w:val="bottom"/>
            <w:shd w:val="clear" w:color="auto" w:fill="B7E5FF"/>
          </w:tcPr>
          <w:p>
            <w:pPr>
              <w:spacing w:after="0"/>
              <w:rPr>
                <w:sz w:val="13"/>
                <w:szCs w:val="13"/>
                <w:color w:val="auto"/>
              </w:rPr>
            </w:pPr>
          </w:p>
        </w:tc>
        <w:tc>
          <w:tcPr>
            <w:tcW w:w="520" w:type="dxa"/>
            <w:vAlign w:val="bottom"/>
            <w:shd w:val="clear" w:color="auto" w:fill="B7E5FF"/>
          </w:tcPr>
          <w:p>
            <w:pPr>
              <w:spacing w:after="0"/>
              <w:rPr>
                <w:sz w:val="13"/>
                <w:szCs w:val="13"/>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102</w:t>
            </w:r>
          </w:p>
        </w:tc>
        <w:tc>
          <w:tcPr>
            <w:tcW w:w="120" w:type="dxa"/>
            <w:vAlign w:val="bottom"/>
            <w:shd w:val="clear" w:color="auto" w:fill="B7E5FF"/>
          </w:tcPr>
          <w:p>
            <w:pPr>
              <w:spacing w:after="0"/>
              <w:rPr>
                <w:sz w:val="13"/>
                <w:szCs w:val="13"/>
                <w:color w:val="auto"/>
              </w:rPr>
            </w:pPr>
          </w:p>
        </w:tc>
        <w:tc>
          <w:tcPr>
            <w:tcW w:w="300" w:type="dxa"/>
            <w:vAlign w:val="bottom"/>
            <w:shd w:val="clear" w:color="auto" w:fill="B7E5FF"/>
          </w:tcPr>
          <w:p>
            <w:pPr>
              <w:spacing w:after="0"/>
              <w:rPr>
                <w:sz w:val="13"/>
                <w:szCs w:val="13"/>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222</w:t>
            </w:r>
          </w:p>
        </w:tc>
        <w:tc>
          <w:tcPr>
            <w:tcW w:w="120" w:type="dxa"/>
            <w:vAlign w:val="bottom"/>
            <w:shd w:val="clear" w:color="auto" w:fill="B7E5FF"/>
          </w:tcPr>
          <w:p>
            <w:pPr>
              <w:spacing w:after="0"/>
              <w:rPr>
                <w:sz w:val="13"/>
                <w:szCs w:val="13"/>
                <w:color w:val="auto"/>
              </w:rPr>
            </w:pPr>
          </w:p>
        </w:tc>
        <w:tc>
          <w:tcPr>
            <w:tcW w:w="480" w:type="dxa"/>
            <w:vAlign w:val="bottom"/>
            <w:shd w:val="clear" w:color="auto" w:fill="B7E5FF"/>
          </w:tcPr>
          <w:p>
            <w:pPr>
              <w:spacing w:after="0"/>
              <w:rPr>
                <w:sz w:val="13"/>
                <w:szCs w:val="13"/>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259</w:t>
            </w:r>
          </w:p>
        </w:tc>
      </w:tr>
      <w:tr>
        <w:trPr>
          <w:trHeight w:val="153"/>
        </w:trPr>
        <w:tc>
          <w:tcPr>
            <w:tcW w:w="5880" w:type="dxa"/>
            <w:vAlign w:val="bottom"/>
            <w:tcBorders>
              <w:bottom w:val="single" w:sz="8" w:color="B7E5FF"/>
            </w:tcBorders>
          </w:tcPr>
          <w:p>
            <w:pPr>
              <w:ind w:left="20"/>
              <w:spacing w:after="0"/>
              <w:rPr>
                <w:sz w:val="20"/>
                <w:szCs w:val="20"/>
                <w:color w:val="auto"/>
              </w:rPr>
            </w:pPr>
            <w:r>
              <w:rPr>
                <w:rFonts w:ascii="Arial" w:cs="Arial" w:eastAsia="Arial" w:hAnsi="Arial"/>
                <w:sz w:val="12"/>
                <w:szCs w:val="12"/>
                <w:color w:val="auto"/>
              </w:rPr>
              <w:t>Other non-operating expense</w:t>
            </w:r>
          </w:p>
        </w:tc>
        <w:tc>
          <w:tcPr>
            <w:tcW w:w="7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w:t>
            </w:r>
          </w:p>
        </w:tc>
        <w:tc>
          <w:tcPr>
            <w:tcW w:w="100" w:type="dxa"/>
            <w:vAlign w:val="bottom"/>
            <w:tcBorders>
              <w:bottom w:val="single" w:sz="8" w:color="B7E5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w:t>
            </w:r>
          </w:p>
        </w:tc>
        <w:tc>
          <w:tcPr>
            <w:tcW w:w="120" w:type="dxa"/>
            <w:vAlign w:val="bottom"/>
            <w:tcBorders>
              <w:bottom w:val="single" w:sz="8" w:color="B7E5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w:t>
            </w:r>
          </w:p>
        </w:tc>
        <w:tc>
          <w:tcPr>
            <w:tcW w:w="120" w:type="dxa"/>
            <w:vAlign w:val="bottom"/>
            <w:tcBorders>
              <w:bottom w:val="single" w:sz="8" w:color="B7E5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w:t>
            </w:r>
          </w:p>
        </w:tc>
      </w:tr>
      <w:tr>
        <w:trPr>
          <w:trHeight w:val="140"/>
        </w:trPr>
        <w:tc>
          <w:tcPr>
            <w:tcW w:w="5880" w:type="dxa"/>
            <w:vAlign w:val="bottom"/>
            <w:tcBorders>
              <w:bottom w:val="single" w:sz="8" w:color="B7E5FF"/>
            </w:tcBorders>
            <w:shd w:val="clear" w:color="auto" w:fill="B7E5FF"/>
          </w:tcPr>
          <w:p>
            <w:pPr>
              <w:ind w:left="20"/>
              <w:spacing w:after="0" w:line="133" w:lineRule="exact"/>
              <w:rPr>
                <w:sz w:val="20"/>
                <w:szCs w:val="20"/>
                <w:color w:val="auto"/>
              </w:rPr>
            </w:pPr>
            <w:r>
              <w:rPr>
                <w:rFonts w:ascii="Arial" w:cs="Arial" w:eastAsia="Arial" w:hAnsi="Arial"/>
                <w:sz w:val="12"/>
                <w:szCs w:val="12"/>
                <w:color w:val="auto"/>
              </w:rPr>
              <w:t>Total other income (expense), net</w:t>
            </w:r>
          </w:p>
        </w:tc>
        <w:tc>
          <w:tcPr>
            <w:tcW w:w="780" w:type="dxa"/>
            <w:vAlign w:val="bottom"/>
            <w:tcBorders>
              <w:bottom w:val="single" w:sz="8" w:color="auto"/>
            </w:tcBorders>
            <w:shd w:val="clear" w:color="auto" w:fill="B7E5FF"/>
          </w:tcPr>
          <w:p>
            <w:pPr>
              <w:jc w:val="right"/>
              <w:ind w:right="640"/>
              <w:spacing w:after="0" w:line="133" w:lineRule="exact"/>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43</w:t>
            </w:r>
          </w:p>
        </w:tc>
        <w:tc>
          <w:tcPr>
            <w:tcW w:w="100" w:type="dxa"/>
            <w:vAlign w:val="bottom"/>
            <w:tcBorders>
              <w:bottom w:val="single" w:sz="8" w:color="B7E5FF"/>
            </w:tcBorders>
            <w:shd w:val="clear" w:color="auto" w:fill="B7E5FF"/>
          </w:tcPr>
          <w:p>
            <w:pPr>
              <w:spacing w:after="0"/>
              <w:rPr>
                <w:sz w:val="12"/>
                <w:szCs w:val="12"/>
                <w:color w:val="auto"/>
              </w:rPr>
            </w:pPr>
          </w:p>
        </w:tc>
        <w:tc>
          <w:tcPr>
            <w:tcW w:w="520" w:type="dxa"/>
            <w:vAlign w:val="bottom"/>
            <w:tcBorders>
              <w:bottom w:val="single" w:sz="8" w:color="auto"/>
            </w:tcBorders>
            <w:shd w:val="clear" w:color="auto" w:fill="B7E5FF"/>
          </w:tcPr>
          <w:p>
            <w:pPr>
              <w:jc w:val="right"/>
              <w:ind w:right="360"/>
              <w:spacing w:after="0" w:line="133" w:lineRule="exact"/>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261</w:t>
            </w:r>
          </w:p>
        </w:tc>
        <w:tc>
          <w:tcPr>
            <w:tcW w:w="120" w:type="dxa"/>
            <w:vAlign w:val="bottom"/>
            <w:tcBorders>
              <w:bottom w:val="single" w:sz="8" w:color="B7E5FF"/>
            </w:tcBorders>
            <w:shd w:val="clear" w:color="auto" w:fill="B7E5FF"/>
          </w:tcPr>
          <w:p>
            <w:pPr>
              <w:spacing w:after="0"/>
              <w:rPr>
                <w:sz w:val="12"/>
                <w:szCs w:val="12"/>
                <w:color w:val="auto"/>
              </w:rPr>
            </w:pPr>
          </w:p>
        </w:tc>
        <w:tc>
          <w:tcPr>
            <w:tcW w:w="300" w:type="dxa"/>
            <w:vAlign w:val="bottom"/>
            <w:tcBorders>
              <w:bottom w:val="single" w:sz="8" w:color="auto"/>
            </w:tcBorders>
            <w:shd w:val="clear" w:color="auto" w:fill="B7E5FF"/>
          </w:tcPr>
          <w:p>
            <w:pPr>
              <w:jc w:val="right"/>
              <w:ind w:right="160"/>
              <w:spacing w:after="0" w:line="133" w:lineRule="exact"/>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(592)</w:t>
            </w:r>
          </w:p>
        </w:tc>
        <w:tc>
          <w:tcPr>
            <w:tcW w:w="120" w:type="dxa"/>
            <w:vAlign w:val="bottom"/>
            <w:tcBorders>
              <w:bottom w:val="single" w:sz="8" w:color="B7E5FF"/>
            </w:tcBorders>
            <w:shd w:val="clear" w:color="auto" w:fill="B7E5FF"/>
          </w:tcPr>
          <w:p>
            <w:pPr>
              <w:spacing w:after="0"/>
              <w:rPr>
                <w:sz w:val="12"/>
                <w:szCs w:val="12"/>
                <w:color w:val="auto"/>
              </w:rPr>
            </w:pPr>
          </w:p>
        </w:tc>
        <w:tc>
          <w:tcPr>
            <w:tcW w:w="480" w:type="dxa"/>
            <w:vAlign w:val="bottom"/>
            <w:tcBorders>
              <w:bottom w:val="single" w:sz="8" w:color="auto"/>
            </w:tcBorders>
            <w:shd w:val="clear" w:color="auto" w:fill="B7E5FF"/>
          </w:tcPr>
          <w:p>
            <w:pPr>
              <w:jc w:val="right"/>
              <w:ind w:right="340"/>
              <w:spacing w:after="0" w:line="133" w:lineRule="exact"/>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(108)</w:t>
            </w:r>
          </w:p>
        </w:tc>
      </w:tr>
    </w:tbl>
    <w:p>
      <w:pPr>
        <w:spacing w:after="0" w:line="6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Gain on fixed asset disposals, net, during the three and six months ended June 30, 2018 includes a $0.6 million gain on the sale of an available-for-sale asset related to the Combination.</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10 – Income Taxes and Uncertain Income Tax Positions</w:t>
      </w:r>
    </w:p>
    <w:p>
      <w:pPr>
        <w:spacing w:after="0" w:line="82" w:lineRule="exact"/>
        <w:rPr>
          <w:sz w:val="20"/>
          <w:szCs w:val="20"/>
          <w:color w:val="auto"/>
        </w:rPr>
      </w:pPr>
    </w:p>
    <w:p>
      <w:pPr>
        <w:ind w:right="20" w:firstLine="216"/>
        <w:spacing w:after="0" w:line="283" w:lineRule="auto"/>
        <w:rPr>
          <w:sz w:val="20"/>
          <w:szCs w:val="20"/>
          <w:color w:val="auto"/>
        </w:rPr>
      </w:pPr>
      <w:r>
        <w:rPr>
          <w:rFonts w:ascii="Arial" w:cs="Arial" w:eastAsia="Arial" w:hAnsi="Arial"/>
          <w:sz w:val="11"/>
          <w:szCs w:val="11"/>
          <w:color w:val="auto"/>
        </w:rPr>
        <w:t>The Company’s effective tax rate for the three and six months ended June 30, 2019 were 24.2% and 25.4%, respectively, compared to 16.8% and 22.8%, respectively, for the three and six months ended June 30, 2018. These effective tax rates include the impacts of certain combination and other acquisition-related non-deductible costs in all periods presented. The Company’s lower effective tax rates for the three and six months ended June 30, 2018 reflected a favorable $1.2 million tax adjustment recorded in the second quarter of 2018 to decrease the Company’s fourth quarter of 2017 estimate of the one-time charge on deemed repatriation of undistributed earnings as part of the U.S. Tax Reform. In addition, the Company incurred higher tax expense during the three and six months ended June 30, 2019 related to the Company recording earnings in one of its subsidiaries at a statutory tax rate of 25% while it awaits recertification of a concessionary 15% tax rate, which was available to the Company during all of 2018. Partially offsetting these increases to the Company’s effective tax rates for the three and six months ended June 30, 2019 was a favorable shift in earnings to entities with lower effective tax rates compared to the three and six months ended June 30, 2018.</w:t>
      </w:r>
    </w:p>
    <w:p>
      <w:pPr>
        <w:spacing w:after="0" w:line="42" w:lineRule="exact"/>
        <w:rPr>
          <w:sz w:val="20"/>
          <w:szCs w:val="20"/>
          <w:color w:val="auto"/>
        </w:rPr>
      </w:pPr>
    </w:p>
    <w:p>
      <w:pPr>
        <w:ind w:right="100" w:firstLine="216"/>
        <w:spacing w:after="0" w:line="263" w:lineRule="auto"/>
        <w:rPr>
          <w:sz w:val="20"/>
          <w:szCs w:val="20"/>
          <w:color w:val="auto"/>
        </w:rPr>
      </w:pPr>
      <w:r>
        <w:rPr>
          <w:rFonts w:ascii="Arial" w:cs="Arial" w:eastAsia="Arial" w:hAnsi="Arial"/>
          <w:sz w:val="12"/>
          <w:szCs w:val="12"/>
          <w:color w:val="auto"/>
        </w:rPr>
        <w:t>As previously disclosed in its Annual Report filed on Form 10-K and 10-K/A for the year ended December 31, 2018, the Company recognized a deferred tax liability of $7.9 million in the fourth quarter of 2018 related to the Company’s estimate of non-U.S. taxes it will incur to repatriate certain foreign earnings. The Company incurred withholding cash tax payments related to the repatriation of a portion of these foreign earnings during the first six months of 2019 and reduced this deferred tax liability by approximately $3.6 million.</w:t>
      </w:r>
    </w:p>
    <w:p>
      <w:pPr>
        <w:spacing w:after="0" w:line="51" w:lineRule="exact"/>
        <w:rPr>
          <w:sz w:val="20"/>
          <w:szCs w:val="20"/>
          <w:color w:val="auto"/>
        </w:rPr>
      </w:pPr>
    </w:p>
    <w:p>
      <w:pPr>
        <w:jc w:val="center"/>
        <w:ind w:right="180"/>
        <w:spacing w:after="0" w:line="402" w:lineRule="auto"/>
        <w:rPr>
          <w:sz w:val="20"/>
          <w:szCs w:val="20"/>
          <w:color w:val="auto"/>
        </w:rPr>
      </w:pPr>
      <w:r>
        <w:rPr>
          <w:rFonts w:ascii="Arial" w:cs="Arial" w:eastAsia="Arial" w:hAnsi="Arial"/>
          <w:sz w:val="12"/>
          <w:szCs w:val="12"/>
          <w:color w:val="auto"/>
        </w:rPr>
        <w:t>As of June 30, 2019, the Company’s cumulative liability for gross unrecognized tax benefits was $7.7 million. As of December 31, 2018, the Company’s cumulative liability for gross unrecognized tax benefits was $7.1 million.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-25400</wp:posOffset>
            </wp:positionV>
            <wp:extent cx="73177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17" w:name="page18"/>
    <w:bookmarkEnd w:id="17"/>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213" w:lineRule="exact"/>
        <w:rPr>
          <w:sz w:val="20"/>
          <w:szCs w:val="20"/>
          <w:color w:val="auto"/>
        </w:rPr>
      </w:pPr>
    </w:p>
    <w:p>
      <w:pPr>
        <w:ind w:right="100" w:firstLine="216"/>
        <w:spacing w:after="0" w:line="257" w:lineRule="auto"/>
        <w:rPr>
          <w:sz w:val="20"/>
          <w:szCs w:val="20"/>
          <w:color w:val="auto"/>
        </w:rPr>
      </w:pPr>
      <w:r>
        <w:rPr>
          <w:rFonts w:ascii="Arial" w:cs="Arial" w:eastAsia="Arial" w:hAnsi="Arial"/>
          <w:sz w:val="12"/>
          <w:szCs w:val="12"/>
          <w:color w:val="auto"/>
        </w:rPr>
        <w:t>The Company continues to recognize interest and penalties associated with uncertain tax positions as a component of taxes on income before equity in net income of associated companies in its Condensed Consolidated Statements of Income. The Company recognized an expense for interest of $0.1 million and $0.2 million and an expense for penalties of less than $0.1 million for both the three and six months ended June 30, 2019. Comparatively, the Company recognized an expense of less than $0.1 million and $0.1 million for interest, and an expense of $0.1 million and $0.2 million for penalties in its Condensed Consolidated Statements of Income for the three and six months ended June 30, 2018, respectively. As of June 30, 2019, the Company had accrued $0.8 million for cumulative interest and $0.9 million for cumulative penalties in its Condensed Consolidated Balance Sheets, compared to $0.6 million for cumulative interest and $0.8 million for cumulative penalties accrued at December 31, 2018.</w:t>
      </w:r>
    </w:p>
    <w:p>
      <w:pPr>
        <w:spacing w:after="0" w:line="54" w:lineRule="exact"/>
        <w:rPr>
          <w:sz w:val="20"/>
          <w:szCs w:val="20"/>
          <w:color w:val="auto"/>
        </w:rPr>
      </w:pPr>
    </w:p>
    <w:p>
      <w:pPr>
        <w:ind w:right="140" w:firstLine="216"/>
        <w:spacing w:after="0" w:line="276" w:lineRule="auto"/>
        <w:rPr>
          <w:sz w:val="20"/>
          <w:szCs w:val="20"/>
          <w:color w:val="auto"/>
        </w:rPr>
      </w:pPr>
      <w:r>
        <w:rPr>
          <w:rFonts w:ascii="Arial" w:cs="Arial" w:eastAsia="Arial" w:hAnsi="Arial"/>
          <w:sz w:val="12"/>
          <w:szCs w:val="12"/>
          <w:color w:val="auto"/>
        </w:rPr>
        <w:t>During the six months ended June 30, 2019 and 2018, the Company recognized a decrease of less than $0.1 million and $0.3 million, respectively, in its cumulative liability for gross unrecognized tax benefits due to the expiration of the applicable statutes of limitations for certain tax years.</w:t>
      </w:r>
    </w:p>
    <w:p>
      <w:pPr>
        <w:spacing w:after="0" w:line="43" w:lineRule="exact"/>
        <w:rPr>
          <w:sz w:val="20"/>
          <w:szCs w:val="20"/>
          <w:color w:val="auto"/>
        </w:rPr>
      </w:pPr>
    </w:p>
    <w:p>
      <w:pPr>
        <w:ind w:right="20" w:firstLine="216"/>
        <w:spacing w:after="0" w:line="263" w:lineRule="auto"/>
        <w:rPr>
          <w:sz w:val="20"/>
          <w:szCs w:val="20"/>
          <w:color w:val="auto"/>
        </w:rPr>
      </w:pPr>
      <w:r>
        <w:rPr>
          <w:rFonts w:ascii="Arial" w:cs="Arial" w:eastAsia="Arial" w:hAnsi="Arial"/>
          <w:sz w:val="12"/>
          <w:szCs w:val="12"/>
          <w:color w:val="auto"/>
        </w:rPr>
        <w:t>The Company estimates that during the year ending December 31, 2019 it will reduce its cumulative liability for gross unrecognized tax benefits by approximately $1.0 million due to the expiration of the statute of limitations with regard to certain tax positions. This estimated reduction in the cumulative liability for unrecognized tax benefits does not consider any increase in liability for unrecognized tax benefits with regard to existing tax positions or any increase in cumulative liability for unrecognized tax benefits with regard to new tax positions for the year ending December 31, 2019.</w:t>
      </w:r>
    </w:p>
    <w:p>
      <w:pPr>
        <w:spacing w:after="0" w:line="51" w:lineRule="exact"/>
        <w:rPr>
          <w:sz w:val="20"/>
          <w:szCs w:val="20"/>
          <w:color w:val="auto"/>
        </w:rPr>
      </w:pPr>
    </w:p>
    <w:p>
      <w:pPr>
        <w:ind w:right="60" w:firstLine="216"/>
        <w:spacing w:after="0" w:line="263" w:lineRule="auto"/>
        <w:rPr>
          <w:sz w:val="20"/>
          <w:szCs w:val="20"/>
          <w:color w:val="auto"/>
        </w:rPr>
      </w:pPr>
      <w:r>
        <w:rPr>
          <w:rFonts w:ascii="Arial" w:cs="Arial" w:eastAsia="Arial" w:hAnsi="Arial"/>
          <w:sz w:val="12"/>
          <w:szCs w:val="12"/>
          <w:color w:val="auto"/>
        </w:rPr>
        <w:t>The Company and its subsidiaries are subject to U.S. Federal income tax, as well as the income tax of various state and foreign tax jurisdictions. Tax years that remain subject to examination by major tax jurisdictions include Brazil from 2000, Italy from 2007, the Netherlands and the United Kingdom from 2013, Mexico, Spain and China from 2014, India from fiscal year beginning April 1, 2016 and ending March 31, 2017, the U.S. from 2015, and various U.S. state tax jurisdictions from 2009.</w:t>
      </w:r>
    </w:p>
    <w:p>
      <w:pPr>
        <w:spacing w:after="0" w:line="51" w:lineRule="exact"/>
        <w:rPr>
          <w:sz w:val="20"/>
          <w:szCs w:val="20"/>
          <w:color w:val="auto"/>
        </w:rPr>
      </w:pPr>
    </w:p>
    <w:p>
      <w:pPr>
        <w:ind w:right="100" w:firstLine="216"/>
        <w:spacing w:after="0" w:line="257" w:lineRule="auto"/>
        <w:rPr>
          <w:sz w:val="20"/>
          <w:szCs w:val="20"/>
          <w:color w:val="auto"/>
        </w:rPr>
      </w:pPr>
      <w:r>
        <w:rPr>
          <w:rFonts w:ascii="Arial" w:cs="Arial" w:eastAsia="Arial" w:hAnsi="Arial"/>
          <w:sz w:val="12"/>
          <w:szCs w:val="12"/>
          <w:color w:val="auto"/>
        </w:rPr>
        <w:t>As previously reported, the Italian tax authorities have assessed additional tax due from the Company’s subsidiary, Quaker Italia S.r.l., relating to the tax years 2007 through 2013. The Company has filed for competent authority relief from these assessments under the Mutual Agreement Procedures (“MAP”) of the Organization for Economic Co-Operation and Development for all years except 2007. During 2018, the Italian tax authorities assessed additional tax due from Quaker Italia, S.r.l., relating to the tax years 2014 and 2015. The Company met with the Italian tax authorities in the fourth quarter of 2018 and second quarter of 2019 to discuss these assessments and no resolution was agreed upon, so the Company filed for competent authority relief from these assessments under MAP in the second quarter of 2019, consistent with the Company’s previous filings for 2008 through 2013. As of June 30, 2019, the Company believes it has adequate reserves for uncertain tax positions with respect to these and all other audits.</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11 – Earnings Per Share</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summarizes earnings per share calculations for the three and six months ended June 30, 2019 and 2018:</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3"/>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20" w:type="dxa"/>
            <w:vAlign w:val="bottom"/>
            <w:gridSpan w:val="3"/>
          </w:tcPr>
          <w:p>
            <w:pPr>
              <w:jc w:val="right"/>
              <w:ind w:right="10"/>
              <w:spacing w:after="0"/>
              <w:rPr>
                <w:sz w:val="20"/>
                <w:szCs w:val="20"/>
                <w:color w:val="auto"/>
              </w:rPr>
            </w:pPr>
            <w:r>
              <w:rPr>
                <w:rFonts w:ascii="Arial" w:cs="Arial" w:eastAsia="Arial" w:hAnsi="Arial"/>
                <w:sz w:val="12"/>
                <w:szCs w:val="12"/>
                <w:b w:val="1"/>
                <w:bCs w:val="1"/>
                <w:color w:val="auto"/>
              </w:rPr>
              <w:t>Six Months Ended</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2"/>
                <w:szCs w:val="12"/>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2"/>
                <w:szCs w:val="12"/>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40" w:type="dxa"/>
            <w:vAlign w:val="bottom"/>
            <w:tcBorders>
              <w:bottom w:val="single" w:sz="8" w:color="B7E5FF"/>
            </w:tcBorders>
          </w:tcPr>
          <w:p>
            <w:pPr>
              <w:spacing w:after="0"/>
              <w:rPr>
                <w:sz w:val="11"/>
                <w:szCs w:val="11"/>
                <w:color w:val="auto"/>
              </w:rPr>
            </w:pPr>
          </w:p>
        </w:tc>
        <w:tc>
          <w:tcPr>
            <w:tcW w:w="1520" w:type="dxa"/>
            <w:vAlign w:val="bottom"/>
            <w:tcBorders>
              <w:bottom w:val="single" w:sz="8" w:color="B7E5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B7E5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w w:val="89"/>
              </w:rPr>
              <w:t>2018</w:t>
            </w:r>
          </w:p>
        </w:tc>
        <w:tc>
          <w:tcPr>
            <w:tcW w:w="60" w:type="dxa"/>
            <w:vAlign w:val="bottom"/>
            <w:tcBorders>
              <w:bottom w:val="single" w:sz="8" w:color="B7E5FF"/>
            </w:tcBorders>
          </w:tcPr>
          <w:p>
            <w:pPr>
              <w:spacing w:after="0"/>
              <w:rPr>
                <w:sz w:val="11"/>
                <w:szCs w:val="11"/>
                <w:color w:val="auto"/>
              </w:rPr>
            </w:pPr>
          </w:p>
        </w:tc>
        <w:tc>
          <w:tcPr>
            <w:tcW w:w="60" w:type="dxa"/>
            <w:vAlign w:val="bottom"/>
            <w:tcBorders>
              <w:bottom w:val="single" w:sz="8" w:color="B7E5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B7E5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340" w:type="dxa"/>
            <w:vAlign w:val="bottom"/>
            <w:shd w:val="clear" w:color="auto" w:fill="B7E5FF"/>
          </w:tcPr>
          <w:p>
            <w:pPr>
              <w:spacing w:after="0" w:line="133" w:lineRule="exact"/>
              <w:rPr>
                <w:sz w:val="20"/>
                <w:szCs w:val="20"/>
                <w:color w:val="auto"/>
              </w:rPr>
            </w:pPr>
            <w:r>
              <w:rPr>
                <w:rFonts w:ascii="Arial" w:cs="Arial" w:eastAsia="Arial" w:hAnsi="Arial"/>
                <w:sz w:val="12"/>
                <w:szCs w:val="12"/>
                <w:b w:val="1"/>
                <w:bCs w:val="1"/>
                <w:color w:val="auto"/>
              </w:rPr>
              <w:t>Basic earnings per common share</w:t>
            </w:r>
          </w:p>
        </w:tc>
        <w:tc>
          <w:tcPr>
            <w:tcW w:w="1520" w:type="dxa"/>
            <w:vAlign w:val="bottom"/>
            <w:shd w:val="clear" w:color="auto" w:fill="B7E5FF"/>
          </w:tcPr>
          <w:p>
            <w:pPr>
              <w:spacing w:after="0"/>
              <w:rPr>
                <w:sz w:val="11"/>
                <w:szCs w:val="11"/>
                <w:color w:val="auto"/>
              </w:rPr>
            </w:pPr>
          </w:p>
        </w:tc>
        <w:tc>
          <w:tcPr>
            <w:tcW w:w="300" w:type="dxa"/>
            <w:vAlign w:val="bottom"/>
            <w:shd w:val="clear" w:color="auto" w:fill="B7E5FF"/>
          </w:tcPr>
          <w:p>
            <w:pPr>
              <w:spacing w:after="0"/>
              <w:rPr>
                <w:sz w:val="11"/>
                <w:szCs w:val="11"/>
                <w:color w:val="auto"/>
              </w:rPr>
            </w:pPr>
          </w:p>
        </w:tc>
        <w:tc>
          <w:tcPr>
            <w:tcW w:w="1000" w:type="dxa"/>
            <w:vAlign w:val="bottom"/>
            <w:shd w:val="clear" w:color="auto" w:fill="B7E5FF"/>
          </w:tcPr>
          <w:p>
            <w:pPr>
              <w:spacing w:after="0"/>
              <w:rPr>
                <w:sz w:val="11"/>
                <w:szCs w:val="11"/>
                <w:color w:val="auto"/>
              </w:rPr>
            </w:pPr>
          </w:p>
        </w:tc>
        <w:tc>
          <w:tcPr>
            <w:tcW w:w="100" w:type="dxa"/>
            <w:vAlign w:val="bottom"/>
            <w:shd w:val="clear" w:color="auto" w:fill="B7E5FF"/>
          </w:tcPr>
          <w:p>
            <w:pPr>
              <w:spacing w:after="0"/>
              <w:rPr>
                <w:sz w:val="11"/>
                <w:szCs w:val="11"/>
                <w:color w:val="auto"/>
              </w:rPr>
            </w:pPr>
          </w:p>
        </w:tc>
        <w:tc>
          <w:tcPr>
            <w:tcW w:w="520" w:type="dxa"/>
            <w:vAlign w:val="bottom"/>
            <w:shd w:val="clear" w:color="auto" w:fill="B7E5FF"/>
          </w:tcPr>
          <w:p>
            <w:pPr>
              <w:spacing w:after="0"/>
              <w:rPr>
                <w:sz w:val="11"/>
                <w:szCs w:val="11"/>
                <w:color w:val="auto"/>
              </w:rPr>
            </w:pPr>
          </w:p>
        </w:tc>
        <w:tc>
          <w:tcPr>
            <w:tcW w:w="800" w:type="dxa"/>
            <w:vAlign w:val="bottom"/>
            <w:shd w:val="clear" w:color="auto" w:fill="B7E5FF"/>
          </w:tcPr>
          <w:p>
            <w:pPr>
              <w:spacing w:after="0"/>
              <w:rPr>
                <w:sz w:val="11"/>
                <w:szCs w:val="11"/>
                <w:color w:val="auto"/>
              </w:rPr>
            </w:pPr>
          </w:p>
        </w:tc>
        <w:tc>
          <w:tcPr>
            <w:tcW w:w="60" w:type="dxa"/>
            <w:vAlign w:val="bottom"/>
            <w:shd w:val="clear" w:color="auto" w:fill="B7E5FF"/>
          </w:tcPr>
          <w:p>
            <w:pPr>
              <w:spacing w:after="0"/>
              <w:rPr>
                <w:sz w:val="11"/>
                <w:szCs w:val="11"/>
                <w:color w:val="auto"/>
              </w:rPr>
            </w:pPr>
          </w:p>
        </w:tc>
        <w:tc>
          <w:tcPr>
            <w:tcW w:w="60" w:type="dxa"/>
            <w:vAlign w:val="bottom"/>
            <w:shd w:val="clear" w:color="auto" w:fill="B7E5FF"/>
          </w:tcPr>
          <w:p>
            <w:pPr>
              <w:spacing w:after="0"/>
              <w:rPr>
                <w:sz w:val="11"/>
                <w:szCs w:val="11"/>
                <w:color w:val="auto"/>
              </w:rPr>
            </w:pPr>
          </w:p>
        </w:tc>
        <w:tc>
          <w:tcPr>
            <w:tcW w:w="280" w:type="dxa"/>
            <w:vAlign w:val="bottom"/>
            <w:shd w:val="clear" w:color="auto" w:fill="B7E5FF"/>
          </w:tcPr>
          <w:p>
            <w:pPr>
              <w:spacing w:after="0"/>
              <w:rPr>
                <w:sz w:val="11"/>
                <w:szCs w:val="11"/>
                <w:color w:val="auto"/>
              </w:rPr>
            </w:pPr>
          </w:p>
        </w:tc>
        <w:tc>
          <w:tcPr>
            <w:tcW w:w="1020" w:type="dxa"/>
            <w:vAlign w:val="bottom"/>
            <w:shd w:val="clear" w:color="auto" w:fill="B7E5FF"/>
          </w:tcPr>
          <w:p>
            <w:pPr>
              <w:spacing w:after="0"/>
              <w:rPr>
                <w:sz w:val="11"/>
                <w:szCs w:val="11"/>
                <w:color w:val="auto"/>
              </w:rPr>
            </w:pPr>
          </w:p>
        </w:tc>
        <w:tc>
          <w:tcPr>
            <w:tcW w:w="120" w:type="dxa"/>
            <w:vAlign w:val="bottom"/>
            <w:shd w:val="clear" w:color="auto" w:fill="B7E5FF"/>
          </w:tcPr>
          <w:p>
            <w:pPr>
              <w:spacing w:after="0"/>
              <w:rPr>
                <w:sz w:val="11"/>
                <w:szCs w:val="11"/>
                <w:color w:val="auto"/>
              </w:rPr>
            </w:pPr>
          </w:p>
        </w:tc>
        <w:tc>
          <w:tcPr>
            <w:tcW w:w="480" w:type="dxa"/>
            <w:vAlign w:val="bottom"/>
            <w:shd w:val="clear" w:color="auto" w:fill="B7E5FF"/>
          </w:tcPr>
          <w:p>
            <w:pPr>
              <w:spacing w:after="0"/>
              <w:rPr>
                <w:sz w:val="11"/>
                <w:szCs w:val="11"/>
                <w:color w:val="auto"/>
              </w:rPr>
            </w:pPr>
          </w:p>
        </w:tc>
        <w:tc>
          <w:tcPr>
            <w:tcW w:w="860" w:type="dxa"/>
            <w:vAlign w:val="bottom"/>
            <w:shd w:val="clear" w:color="auto" w:fill="B7E5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tcPr>
          <w:p>
            <w:pPr>
              <w:ind w:left="80"/>
              <w:spacing w:after="0"/>
              <w:rPr>
                <w:sz w:val="20"/>
                <w:szCs w:val="20"/>
                <w:color w:val="auto"/>
              </w:rPr>
            </w:pPr>
            <w:r>
              <w:rPr>
                <w:rFonts w:ascii="Arial" w:cs="Arial" w:eastAsia="Arial" w:hAnsi="Arial"/>
                <w:sz w:val="12"/>
                <w:szCs w:val="12"/>
                <w:color w:val="auto"/>
              </w:rPr>
              <w:t>Net income attributable to Quaker Chemical Corporation</w:t>
            </w:r>
          </w:p>
        </w:tc>
        <w:tc>
          <w:tcPr>
            <w:tcW w:w="1820" w:type="dxa"/>
            <w:vAlign w:val="bottom"/>
            <w:gridSpan w:val="2"/>
          </w:tcPr>
          <w:p>
            <w:pPr>
              <w:jc w:val="right"/>
              <w:ind w:right="19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15,591</w:t>
            </w:r>
          </w:p>
        </w:tc>
        <w:tc>
          <w:tcPr>
            <w:tcW w:w="100" w:type="dxa"/>
            <w:vAlign w:val="bottom"/>
          </w:tcPr>
          <w:p>
            <w:pPr>
              <w:spacing w:after="0"/>
              <w:rPr>
                <w:sz w:val="14"/>
                <w:szCs w:val="14"/>
                <w:color w:val="auto"/>
              </w:rPr>
            </w:pPr>
          </w:p>
        </w:tc>
        <w:tc>
          <w:tcPr>
            <w:tcW w:w="520" w:type="dxa"/>
            <w:vAlign w:val="bottom"/>
          </w:tcPr>
          <w:p>
            <w:pPr>
              <w:jc w:val="right"/>
              <w:ind w:right="41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19,246</w:t>
            </w:r>
          </w:p>
        </w:tc>
        <w:tc>
          <w:tcPr>
            <w:tcW w:w="60" w:type="dxa"/>
            <w:vAlign w:val="bottom"/>
          </w:tcPr>
          <w:p>
            <w:pPr>
              <w:spacing w:after="0"/>
              <w:rPr>
                <w:sz w:val="14"/>
                <w:szCs w:val="14"/>
                <w:color w:val="auto"/>
              </w:rPr>
            </w:pPr>
          </w:p>
        </w:tc>
        <w:tc>
          <w:tcPr>
            <w:tcW w:w="340" w:type="dxa"/>
            <w:vAlign w:val="bottom"/>
            <w:gridSpan w:val="2"/>
          </w:tcPr>
          <w:p>
            <w:pPr>
              <w:jc w:val="right"/>
              <w:ind w:right="17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29,435</w:t>
            </w:r>
          </w:p>
        </w:tc>
        <w:tc>
          <w:tcPr>
            <w:tcW w:w="120" w:type="dxa"/>
            <w:vAlign w:val="bottom"/>
          </w:tcPr>
          <w:p>
            <w:pPr>
              <w:spacing w:after="0"/>
              <w:rPr>
                <w:sz w:val="14"/>
                <w:szCs w:val="14"/>
                <w:color w:val="auto"/>
              </w:rPr>
            </w:pPr>
          </w:p>
        </w:tc>
        <w:tc>
          <w:tcPr>
            <w:tcW w:w="480" w:type="dxa"/>
            <w:vAlign w:val="bottom"/>
          </w:tcPr>
          <w:p>
            <w:pPr>
              <w:jc w:val="right"/>
              <w:ind w:right="37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31,978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340" w:type="dxa"/>
            <w:vAlign w:val="bottom"/>
            <w:shd w:val="clear" w:color="auto" w:fill="B7E5FF"/>
          </w:tcPr>
          <w:p>
            <w:pPr>
              <w:ind w:left="80"/>
              <w:spacing w:after="0"/>
              <w:rPr>
                <w:sz w:val="20"/>
                <w:szCs w:val="20"/>
                <w:color w:val="auto"/>
              </w:rPr>
            </w:pPr>
            <w:r>
              <w:rPr>
                <w:rFonts w:ascii="Arial" w:cs="Arial" w:eastAsia="Arial" w:hAnsi="Arial"/>
                <w:sz w:val="12"/>
                <w:szCs w:val="12"/>
                <w:color w:val="auto"/>
              </w:rPr>
              <w:t>Less: income allocated to participating securities</w:t>
            </w:r>
          </w:p>
        </w:tc>
        <w:tc>
          <w:tcPr>
            <w:tcW w:w="1520" w:type="dxa"/>
            <w:vAlign w:val="bottom"/>
            <w:shd w:val="clear" w:color="auto" w:fill="B7E5FF"/>
          </w:tcPr>
          <w:p>
            <w:pPr>
              <w:spacing w:after="0"/>
              <w:rPr>
                <w:sz w:val="13"/>
                <w:szCs w:val="13"/>
                <w:color w:val="auto"/>
              </w:rPr>
            </w:pPr>
          </w:p>
        </w:tc>
        <w:tc>
          <w:tcPr>
            <w:tcW w:w="300" w:type="dxa"/>
            <w:vAlign w:val="bottom"/>
            <w:shd w:val="clear" w:color="auto" w:fill="B7E5FF"/>
          </w:tcPr>
          <w:p>
            <w:pPr>
              <w:spacing w:after="0"/>
              <w:rPr>
                <w:sz w:val="13"/>
                <w:szCs w:val="13"/>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(34)</w:t>
            </w:r>
          </w:p>
        </w:tc>
        <w:tc>
          <w:tcPr>
            <w:tcW w:w="100" w:type="dxa"/>
            <w:vAlign w:val="bottom"/>
            <w:shd w:val="clear" w:color="auto" w:fill="B7E5FF"/>
          </w:tcPr>
          <w:p>
            <w:pPr>
              <w:spacing w:after="0"/>
              <w:rPr>
                <w:sz w:val="13"/>
                <w:szCs w:val="13"/>
                <w:color w:val="auto"/>
              </w:rPr>
            </w:pPr>
          </w:p>
        </w:tc>
        <w:tc>
          <w:tcPr>
            <w:tcW w:w="520" w:type="dxa"/>
            <w:vAlign w:val="bottom"/>
            <w:shd w:val="clear" w:color="auto" w:fill="B7E5FF"/>
          </w:tcPr>
          <w:p>
            <w:pPr>
              <w:spacing w:after="0"/>
              <w:rPr>
                <w:sz w:val="13"/>
                <w:szCs w:val="13"/>
                <w:color w:val="auto"/>
              </w:rPr>
            </w:pPr>
          </w:p>
        </w:tc>
        <w:tc>
          <w:tcPr>
            <w:tcW w:w="860" w:type="dxa"/>
            <w:vAlign w:val="bottom"/>
            <w:gridSpan w:val="2"/>
            <w:shd w:val="clear" w:color="auto" w:fill="B7E5FF"/>
          </w:tcPr>
          <w:p>
            <w:pPr>
              <w:jc w:val="right"/>
              <w:ind w:right="60"/>
              <w:spacing w:after="0"/>
              <w:rPr>
                <w:sz w:val="20"/>
                <w:szCs w:val="20"/>
                <w:color w:val="auto"/>
              </w:rPr>
            </w:pPr>
            <w:r>
              <w:rPr>
                <w:rFonts w:ascii="Arial" w:cs="Arial" w:eastAsia="Arial" w:hAnsi="Arial"/>
                <w:sz w:val="12"/>
                <w:szCs w:val="12"/>
                <w:color w:val="auto"/>
              </w:rPr>
              <w:t>(83)</w:t>
            </w:r>
          </w:p>
        </w:tc>
        <w:tc>
          <w:tcPr>
            <w:tcW w:w="60" w:type="dxa"/>
            <w:vAlign w:val="bottom"/>
            <w:shd w:val="clear" w:color="auto" w:fill="B7E5FF"/>
          </w:tcPr>
          <w:p>
            <w:pPr>
              <w:spacing w:after="0"/>
              <w:rPr>
                <w:sz w:val="13"/>
                <w:szCs w:val="13"/>
                <w:color w:val="auto"/>
              </w:rPr>
            </w:pPr>
          </w:p>
        </w:tc>
        <w:tc>
          <w:tcPr>
            <w:tcW w:w="280" w:type="dxa"/>
            <w:vAlign w:val="bottom"/>
            <w:shd w:val="clear" w:color="auto" w:fill="B7E5FF"/>
          </w:tcPr>
          <w:p>
            <w:pPr>
              <w:spacing w:after="0"/>
              <w:rPr>
                <w:sz w:val="13"/>
                <w:szCs w:val="13"/>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(81)</w:t>
            </w:r>
          </w:p>
        </w:tc>
        <w:tc>
          <w:tcPr>
            <w:tcW w:w="120" w:type="dxa"/>
            <w:vAlign w:val="bottom"/>
            <w:shd w:val="clear" w:color="auto" w:fill="B7E5FF"/>
          </w:tcPr>
          <w:p>
            <w:pPr>
              <w:spacing w:after="0"/>
              <w:rPr>
                <w:sz w:val="13"/>
                <w:szCs w:val="13"/>
                <w:color w:val="auto"/>
              </w:rPr>
            </w:pPr>
          </w:p>
        </w:tc>
        <w:tc>
          <w:tcPr>
            <w:tcW w:w="480" w:type="dxa"/>
            <w:vAlign w:val="bottom"/>
            <w:shd w:val="clear" w:color="auto" w:fill="B7E5FF"/>
          </w:tcPr>
          <w:p>
            <w:pPr>
              <w:spacing w:after="0"/>
              <w:rPr>
                <w:sz w:val="13"/>
                <w:szCs w:val="13"/>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(147)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340" w:type="dxa"/>
            <w:vAlign w:val="bottom"/>
          </w:tcPr>
          <w:p>
            <w:pPr>
              <w:ind w:left="80"/>
              <w:spacing w:after="0" w:line="133" w:lineRule="exact"/>
              <w:rPr>
                <w:sz w:val="20"/>
                <w:szCs w:val="20"/>
                <w:color w:val="auto"/>
              </w:rPr>
            </w:pPr>
            <w:r>
              <w:rPr>
                <w:rFonts w:ascii="Arial" w:cs="Arial" w:eastAsia="Arial" w:hAnsi="Arial"/>
                <w:sz w:val="12"/>
                <w:szCs w:val="12"/>
                <w:color w:val="auto"/>
              </w:rPr>
              <w:t>Net income available to common shareholders</w:t>
            </w:r>
          </w:p>
        </w:tc>
        <w:tc>
          <w:tcPr>
            <w:tcW w:w="1520" w:type="dxa"/>
            <w:vAlign w:val="bottom"/>
          </w:tcPr>
          <w:p>
            <w:pPr>
              <w:spacing w:after="0"/>
              <w:rPr>
                <w:sz w:val="11"/>
                <w:szCs w:val="11"/>
                <w:color w:val="auto"/>
              </w:rPr>
            </w:pPr>
          </w:p>
        </w:tc>
        <w:tc>
          <w:tcPr>
            <w:tcW w:w="300" w:type="dxa"/>
            <w:vAlign w:val="bottom"/>
            <w:tcBorders>
              <w:top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15,557</w:t>
            </w:r>
          </w:p>
        </w:tc>
        <w:tc>
          <w:tcPr>
            <w:tcW w:w="100" w:type="dxa"/>
            <w:vAlign w:val="bottom"/>
          </w:tcPr>
          <w:p>
            <w:pPr>
              <w:spacing w:after="0"/>
              <w:rPr>
                <w:sz w:val="11"/>
                <w:szCs w:val="11"/>
                <w:color w:val="auto"/>
              </w:rPr>
            </w:pPr>
          </w:p>
        </w:tc>
        <w:tc>
          <w:tcPr>
            <w:tcW w:w="520" w:type="dxa"/>
            <w:vAlign w:val="bottom"/>
            <w:tcBorders>
              <w:top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19,163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Borders>
              <w:top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29,354</w:t>
            </w:r>
          </w:p>
        </w:tc>
        <w:tc>
          <w:tcPr>
            <w:tcW w:w="120" w:type="dxa"/>
            <w:vAlign w:val="bottom"/>
          </w:tcPr>
          <w:p>
            <w:pPr>
              <w:spacing w:after="0"/>
              <w:rPr>
                <w:sz w:val="11"/>
                <w:szCs w:val="11"/>
                <w:color w:val="auto"/>
              </w:rPr>
            </w:pPr>
          </w:p>
        </w:tc>
        <w:tc>
          <w:tcPr>
            <w:tcW w:w="480" w:type="dxa"/>
            <w:vAlign w:val="bottom"/>
            <w:tcBorders>
              <w:top w:val="single" w:sz="8" w:color="auto"/>
            </w:tcBorders>
          </w:tcPr>
          <w:p>
            <w:pPr>
              <w:jc w:val="right"/>
              <w:ind w:right="37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31,831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340" w:type="dxa"/>
            <w:vAlign w:val="bottom"/>
            <w:shd w:val="clear" w:color="auto" w:fill="B7E5FF"/>
          </w:tcPr>
          <w:p>
            <w:pPr>
              <w:ind w:left="80"/>
              <w:spacing w:after="0"/>
              <w:rPr>
                <w:sz w:val="20"/>
                <w:szCs w:val="20"/>
                <w:color w:val="auto"/>
              </w:rPr>
            </w:pPr>
            <w:r>
              <w:rPr>
                <w:rFonts w:ascii="Arial" w:cs="Arial" w:eastAsia="Arial" w:hAnsi="Arial"/>
                <w:sz w:val="12"/>
                <w:szCs w:val="12"/>
                <w:color w:val="auto"/>
              </w:rPr>
              <w:t>Basic weighted average common shares outstanding</w:t>
            </w:r>
          </w:p>
        </w:tc>
        <w:tc>
          <w:tcPr>
            <w:tcW w:w="1520" w:type="dxa"/>
            <w:vAlign w:val="bottom"/>
            <w:shd w:val="clear" w:color="auto" w:fill="B7E5FF"/>
          </w:tcPr>
          <w:p>
            <w:pPr>
              <w:spacing w:after="0"/>
              <w:rPr>
                <w:sz w:val="13"/>
                <w:szCs w:val="13"/>
                <w:color w:val="auto"/>
              </w:rPr>
            </w:pPr>
          </w:p>
        </w:tc>
        <w:tc>
          <w:tcPr>
            <w:tcW w:w="300" w:type="dxa"/>
            <w:vAlign w:val="bottom"/>
            <w:shd w:val="clear" w:color="auto" w:fill="B7E5FF"/>
          </w:tcPr>
          <w:p>
            <w:pPr>
              <w:spacing w:after="0"/>
              <w:rPr>
                <w:sz w:val="13"/>
                <w:szCs w:val="13"/>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13,304,248</w:t>
            </w:r>
          </w:p>
        </w:tc>
        <w:tc>
          <w:tcPr>
            <w:tcW w:w="100" w:type="dxa"/>
            <w:vAlign w:val="bottom"/>
            <w:shd w:val="clear" w:color="auto" w:fill="B7E5FF"/>
          </w:tcPr>
          <w:p>
            <w:pPr>
              <w:spacing w:after="0"/>
              <w:rPr>
                <w:sz w:val="13"/>
                <w:szCs w:val="13"/>
                <w:color w:val="auto"/>
              </w:rPr>
            </w:pPr>
          </w:p>
        </w:tc>
        <w:tc>
          <w:tcPr>
            <w:tcW w:w="520" w:type="dxa"/>
            <w:vAlign w:val="bottom"/>
            <w:shd w:val="clear" w:color="auto" w:fill="B7E5FF"/>
          </w:tcPr>
          <w:p>
            <w:pPr>
              <w:spacing w:after="0"/>
              <w:rPr>
                <w:sz w:val="13"/>
                <w:szCs w:val="13"/>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13,267,504</w:t>
            </w:r>
          </w:p>
        </w:tc>
        <w:tc>
          <w:tcPr>
            <w:tcW w:w="60" w:type="dxa"/>
            <w:vAlign w:val="bottom"/>
            <w:shd w:val="clear" w:color="auto" w:fill="B7E5FF"/>
          </w:tcPr>
          <w:p>
            <w:pPr>
              <w:spacing w:after="0"/>
              <w:rPr>
                <w:sz w:val="13"/>
                <w:szCs w:val="13"/>
                <w:color w:val="auto"/>
              </w:rPr>
            </w:pPr>
          </w:p>
        </w:tc>
        <w:tc>
          <w:tcPr>
            <w:tcW w:w="60" w:type="dxa"/>
            <w:vAlign w:val="bottom"/>
            <w:shd w:val="clear" w:color="auto" w:fill="B7E5FF"/>
          </w:tcPr>
          <w:p>
            <w:pPr>
              <w:spacing w:after="0"/>
              <w:rPr>
                <w:sz w:val="13"/>
                <w:szCs w:val="13"/>
                <w:color w:val="auto"/>
              </w:rPr>
            </w:pPr>
          </w:p>
        </w:tc>
        <w:tc>
          <w:tcPr>
            <w:tcW w:w="280" w:type="dxa"/>
            <w:vAlign w:val="bottom"/>
            <w:shd w:val="clear" w:color="auto" w:fill="B7E5FF"/>
          </w:tcPr>
          <w:p>
            <w:pPr>
              <w:spacing w:after="0"/>
              <w:rPr>
                <w:sz w:val="13"/>
                <w:szCs w:val="13"/>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13,297,953</w:t>
            </w:r>
          </w:p>
        </w:tc>
        <w:tc>
          <w:tcPr>
            <w:tcW w:w="120" w:type="dxa"/>
            <w:vAlign w:val="bottom"/>
            <w:shd w:val="clear" w:color="auto" w:fill="B7E5FF"/>
          </w:tcPr>
          <w:p>
            <w:pPr>
              <w:spacing w:after="0"/>
              <w:rPr>
                <w:sz w:val="13"/>
                <w:szCs w:val="13"/>
                <w:color w:val="auto"/>
              </w:rPr>
            </w:pPr>
          </w:p>
        </w:tc>
        <w:tc>
          <w:tcPr>
            <w:tcW w:w="480" w:type="dxa"/>
            <w:vAlign w:val="bottom"/>
            <w:shd w:val="clear" w:color="auto" w:fill="B7E5FF"/>
          </w:tcPr>
          <w:p>
            <w:pPr>
              <w:spacing w:after="0"/>
              <w:rPr>
                <w:sz w:val="13"/>
                <w:szCs w:val="13"/>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13,256,327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340" w:type="dxa"/>
            <w:vAlign w:val="bottom"/>
          </w:tcPr>
          <w:p>
            <w:pPr>
              <w:spacing w:after="0"/>
              <w:rPr>
                <w:sz w:val="20"/>
                <w:szCs w:val="20"/>
                <w:color w:val="auto"/>
              </w:rPr>
            </w:pPr>
            <w:r>
              <w:rPr>
                <w:rFonts w:ascii="Arial" w:cs="Arial" w:eastAsia="Arial" w:hAnsi="Arial"/>
                <w:sz w:val="12"/>
                <w:szCs w:val="12"/>
                <w:b w:val="1"/>
                <w:bCs w:val="1"/>
                <w:color w:val="auto"/>
              </w:rPr>
              <w:t>Basic earnings per common share</w:t>
            </w:r>
          </w:p>
        </w:tc>
        <w:tc>
          <w:tcPr>
            <w:tcW w:w="1820" w:type="dxa"/>
            <w:vAlign w:val="bottom"/>
            <w:gridSpan w:val="2"/>
          </w:tcPr>
          <w:p>
            <w:pPr>
              <w:jc w:val="right"/>
              <w:ind w:right="19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1.17</w:t>
            </w:r>
          </w:p>
        </w:tc>
        <w:tc>
          <w:tcPr>
            <w:tcW w:w="100" w:type="dxa"/>
            <w:vAlign w:val="bottom"/>
          </w:tcPr>
          <w:p>
            <w:pPr>
              <w:spacing w:after="0"/>
              <w:rPr>
                <w:sz w:val="13"/>
                <w:szCs w:val="13"/>
                <w:color w:val="auto"/>
              </w:rPr>
            </w:pPr>
          </w:p>
        </w:tc>
        <w:tc>
          <w:tcPr>
            <w:tcW w:w="520" w:type="dxa"/>
            <w:vAlign w:val="bottom"/>
          </w:tcPr>
          <w:p>
            <w:pPr>
              <w:jc w:val="right"/>
              <w:ind w:right="41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1.44</w:t>
            </w:r>
          </w:p>
        </w:tc>
        <w:tc>
          <w:tcPr>
            <w:tcW w:w="60" w:type="dxa"/>
            <w:vAlign w:val="bottom"/>
          </w:tcPr>
          <w:p>
            <w:pPr>
              <w:spacing w:after="0"/>
              <w:rPr>
                <w:sz w:val="13"/>
                <w:szCs w:val="13"/>
                <w:color w:val="auto"/>
              </w:rPr>
            </w:pPr>
          </w:p>
        </w:tc>
        <w:tc>
          <w:tcPr>
            <w:tcW w:w="340" w:type="dxa"/>
            <w:vAlign w:val="bottom"/>
            <w:gridSpan w:val="2"/>
          </w:tcPr>
          <w:p>
            <w:pPr>
              <w:jc w:val="right"/>
              <w:ind w:right="17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2.21</w:t>
            </w:r>
          </w:p>
        </w:tc>
        <w:tc>
          <w:tcPr>
            <w:tcW w:w="120" w:type="dxa"/>
            <w:vAlign w:val="bottom"/>
          </w:tcPr>
          <w:p>
            <w:pPr>
              <w:spacing w:after="0"/>
              <w:rPr>
                <w:sz w:val="13"/>
                <w:szCs w:val="13"/>
                <w:color w:val="auto"/>
              </w:rPr>
            </w:pPr>
          </w:p>
        </w:tc>
        <w:tc>
          <w:tcPr>
            <w:tcW w:w="480" w:type="dxa"/>
            <w:vAlign w:val="bottom"/>
          </w:tcPr>
          <w:p>
            <w:pPr>
              <w:jc w:val="right"/>
              <w:ind w:right="37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2.40</w:t>
            </w: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4340" w:type="dxa"/>
            <w:vAlign w:val="bottom"/>
            <w:shd w:val="clear" w:color="auto" w:fill="B7E5FF"/>
          </w:tcPr>
          <w:p>
            <w:pPr>
              <w:spacing w:after="0"/>
              <w:rPr>
                <w:sz w:val="13"/>
                <w:szCs w:val="13"/>
                <w:color w:val="auto"/>
              </w:rPr>
            </w:pPr>
          </w:p>
        </w:tc>
        <w:tc>
          <w:tcPr>
            <w:tcW w:w="1520" w:type="dxa"/>
            <w:vAlign w:val="bottom"/>
            <w:shd w:val="clear" w:color="auto" w:fill="B7E5FF"/>
          </w:tcPr>
          <w:p>
            <w:pPr>
              <w:spacing w:after="0"/>
              <w:rPr>
                <w:sz w:val="13"/>
                <w:szCs w:val="13"/>
                <w:color w:val="auto"/>
              </w:rPr>
            </w:pPr>
          </w:p>
        </w:tc>
        <w:tc>
          <w:tcPr>
            <w:tcW w:w="300" w:type="dxa"/>
            <w:vAlign w:val="bottom"/>
            <w:shd w:val="clear" w:color="auto" w:fill="B7E5FF"/>
          </w:tcPr>
          <w:p>
            <w:pPr>
              <w:spacing w:after="0"/>
              <w:rPr>
                <w:sz w:val="13"/>
                <w:szCs w:val="13"/>
                <w:color w:val="auto"/>
              </w:rPr>
            </w:pPr>
          </w:p>
        </w:tc>
        <w:tc>
          <w:tcPr>
            <w:tcW w:w="1000" w:type="dxa"/>
            <w:vAlign w:val="bottom"/>
            <w:shd w:val="clear" w:color="auto" w:fill="B7E5FF"/>
          </w:tcPr>
          <w:p>
            <w:pPr>
              <w:spacing w:after="0"/>
              <w:rPr>
                <w:sz w:val="13"/>
                <w:szCs w:val="13"/>
                <w:color w:val="auto"/>
              </w:rPr>
            </w:pPr>
          </w:p>
        </w:tc>
        <w:tc>
          <w:tcPr>
            <w:tcW w:w="100" w:type="dxa"/>
            <w:vAlign w:val="bottom"/>
            <w:shd w:val="clear" w:color="auto" w:fill="B7E5FF"/>
          </w:tcPr>
          <w:p>
            <w:pPr>
              <w:spacing w:after="0"/>
              <w:rPr>
                <w:sz w:val="13"/>
                <w:szCs w:val="13"/>
                <w:color w:val="auto"/>
              </w:rPr>
            </w:pPr>
          </w:p>
        </w:tc>
        <w:tc>
          <w:tcPr>
            <w:tcW w:w="520" w:type="dxa"/>
            <w:vAlign w:val="bottom"/>
            <w:shd w:val="clear" w:color="auto" w:fill="B7E5FF"/>
          </w:tcPr>
          <w:p>
            <w:pPr>
              <w:spacing w:after="0"/>
              <w:rPr>
                <w:sz w:val="13"/>
                <w:szCs w:val="13"/>
                <w:color w:val="auto"/>
              </w:rPr>
            </w:pPr>
          </w:p>
        </w:tc>
        <w:tc>
          <w:tcPr>
            <w:tcW w:w="800" w:type="dxa"/>
            <w:vAlign w:val="bottom"/>
            <w:shd w:val="clear" w:color="auto" w:fill="B7E5FF"/>
          </w:tcPr>
          <w:p>
            <w:pPr>
              <w:spacing w:after="0"/>
              <w:rPr>
                <w:sz w:val="13"/>
                <w:szCs w:val="13"/>
                <w:color w:val="auto"/>
              </w:rPr>
            </w:pPr>
          </w:p>
        </w:tc>
        <w:tc>
          <w:tcPr>
            <w:tcW w:w="60" w:type="dxa"/>
            <w:vAlign w:val="bottom"/>
            <w:shd w:val="clear" w:color="auto" w:fill="B7E5FF"/>
          </w:tcPr>
          <w:p>
            <w:pPr>
              <w:spacing w:after="0"/>
              <w:rPr>
                <w:sz w:val="13"/>
                <w:szCs w:val="13"/>
                <w:color w:val="auto"/>
              </w:rPr>
            </w:pPr>
          </w:p>
        </w:tc>
        <w:tc>
          <w:tcPr>
            <w:tcW w:w="60" w:type="dxa"/>
            <w:vAlign w:val="bottom"/>
            <w:shd w:val="clear" w:color="auto" w:fill="B7E5FF"/>
          </w:tcPr>
          <w:p>
            <w:pPr>
              <w:spacing w:after="0"/>
              <w:rPr>
                <w:sz w:val="13"/>
                <w:szCs w:val="13"/>
                <w:color w:val="auto"/>
              </w:rPr>
            </w:pPr>
          </w:p>
        </w:tc>
        <w:tc>
          <w:tcPr>
            <w:tcW w:w="280" w:type="dxa"/>
            <w:vAlign w:val="bottom"/>
            <w:shd w:val="clear" w:color="auto" w:fill="B7E5FF"/>
          </w:tcPr>
          <w:p>
            <w:pPr>
              <w:spacing w:after="0"/>
              <w:rPr>
                <w:sz w:val="13"/>
                <w:szCs w:val="13"/>
                <w:color w:val="auto"/>
              </w:rPr>
            </w:pPr>
          </w:p>
        </w:tc>
        <w:tc>
          <w:tcPr>
            <w:tcW w:w="1020" w:type="dxa"/>
            <w:vAlign w:val="bottom"/>
            <w:shd w:val="clear" w:color="auto" w:fill="B7E5FF"/>
          </w:tcPr>
          <w:p>
            <w:pPr>
              <w:spacing w:after="0"/>
              <w:rPr>
                <w:sz w:val="13"/>
                <w:szCs w:val="13"/>
                <w:color w:val="auto"/>
              </w:rPr>
            </w:pPr>
          </w:p>
        </w:tc>
        <w:tc>
          <w:tcPr>
            <w:tcW w:w="120" w:type="dxa"/>
            <w:vAlign w:val="bottom"/>
            <w:shd w:val="clear" w:color="auto" w:fill="B7E5FF"/>
          </w:tcPr>
          <w:p>
            <w:pPr>
              <w:spacing w:after="0"/>
              <w:rPr>
                <w:sz w:val="13"/>
                <w:szCs w:val="13"/>
                <w:color w:val="auto"/>
              </w:rPr>
            </w:pPr>
          </w:p>
        </w:tc>
        <w:tc>
          <w:tcPr>
            <w:tcW w:w="480" w:type="dxa"/>
            <w:vAlign w:val="bottom"/>
            <w:shd w:val="clear" w:color="auto" w:fill="B7E5FF"/>
          </w:tcPr>
          <w:p>
            <w:pPr>
              <w:spacing w:after="0"/>
              <w:rPr>
                <w:sz w:val="13"/>
                <w:szCs w:val="13"/>
                <w:color w:val="auto"/>
              </w:rPr>
            </w:pPr>
          </w:p>
        </w:tc>
        <w:tc>
          <w:tcPr>
            <w:tcW w:w="860" w:type="dxa"/>
            <w:vAlign w:val="bottom"/>
            <w:shd w:val="clear" w:color="auto" w:fill="B7E5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4340" w:type="dxa"/>
            <w:vAlign w:val="bottom"/>
          </w:tcPr>
          <w:p>
            <w:pPr>
              <w:spacing w:after="0"/>
              <w:rPr>
                <w:sz w:val="20"/>
                <w:szCs w:val="20"/>
                <w:color w:val="auto"/>
              </w:rPr>
            </w:pPr>
            <w:r>
              <w:rPr>
                <w:rFonts w:ascii="Arial" w:cs="Arial" w:eastAsia="Arial" w:hAnsi="Arial"/>
                <w:sz w:val="12"/>
                <w:szCs w:val="12"/>
                <w:b w:val="1"/>
                <w:bCs w:val="1"/>
                <w:color w:val="auto"/>
              </w:rPr>
              <w:t>Diluted earnings per common share</w:t>
            </w:r>
          </w:p>
        </w:tc>
        <w:tc>
          <w:tcPr>
            <w:tcW w:w="1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340" w:type="dxa"/>
            <w:vAlign w:val="bottom"/>
            <w:shd w:val="clear" w:color="auto" w:fill="B7E5FF"/>
          </w:tcPr>
          <w:p>
            <w:pPr>
              <w:ind w:left="80"/>
              <w:spacing w:after="0"/>
              <w:rPr>
                <w:sz w:val="20"/>
                <w:szCs w:val="20"/>
                <w:color w:val="auto"/>
              </w:rPr>
            </w:pPr>
            <w:r>
              <w:rPr>
                <w:rFonts w:ascii="Arial" w:cs="Arial" w:eastAsia="Arial" w:hAnsi="Arial"/>
                <w:sz w:val="12"/>
                <w:szCs w:val="12"/>
                <w:color w:val="auto"/>
              </w:rPr>
              <w:t>Net income attributable to Quaker Chemical Corporation</w:t>
            </w:r>
          </w:p>
        </w:tc>
        <w:tc>
          <w:tcPr>
            <w:tcW w:w="1820" w:type="dxa"/>
            <w:vAlign w:val="bottom"/>
            <w:gridSpan w:val="2"/>
            <w:shd w:val="clear" w:color="auto" w:fill="B7E5FF"/>
          </w:tcPr>
          <w:p>
            <w:pPr>
              <w:jc w:val="right"/>
              <w:ind w:right="190"/>
              <w:spacing w:after="0"/>
              <w:rPr>
                <w:sz w:val="20"/>
                <w:szCs w:val="20"/>
                <w:color w:val="auto"/>
              </w:rPr>
            </w:pPr>
            <w:r>
              <w:rPr>
                <w:rFonts w:ascii="Arial" w:cs="Arial" w:eastAsia="Arial" w:hAnsi="Arial"/>
                <w:sz w:val="12"/>
                <w:szCs w:val="12"/>
                <w:color w:val="auto"/>
              </w:rPr>
              <w:t>$</w:t>
            </w:r>
          </w:p>
        </w:tc>
        <w:tc>
          <w:tcPr>
            <w:tcW w:w="10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15,591</w:t>
            </w:r>
          </w:p>
        </w:tc>
        <w:tc>
          <w:tcPr>
            <w:tcW w:w="100" w:type="dxa"/>
            <w:vAlign w:val="bottom"/>
            <w:shd w:val="clear" w:color="auto" w:fill="B7E5FF"/>
          </w:tcPr>
          <w:p>
            <w:pPr>
              <w:spacing w:after="0"/>
              <w:rPr>
                <w:sz w:val="13"/>
                <w:szCs w:val="13"/>
                <w:color w:val="auto"/>
              </w:rPr>
            </w:pPr>
          </w:p>
        </w:tc>
        <w:tc>
          <w:tcPr>
            <w:tcW w:w="520" w:type="dxa"/>
            <w:vAlign w:val="bottom"/>
            <w:shd w:val="clear" w:color="auto" w:fill="B7E5FF"/>
          </w:tcPr>
          <w:p>
            <w:pPr>
              <w:jc w:val="right"/>
              <w:ind w:right="41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19,246</w:t>
            </w:r>
          </w:p>
        </w:tc>
        <w:tc>
          <w:tcPr>
            <w:tcW w:w="60" w:type="dxa"/>
            <w:vAlign w:val="bottom"/>
            <w:shd w:val="clear" w:color="auto" w:fill="B7E5FF"/>
          </w:tcPr>
          <w:p>
            <w:pPr>
              <w:spacing w:after="0"/>
              <w:rPr>
                <w:sz w:val="13"/>
                <w:szCs w:val="13"/>
                <w:color w:val="auto"/>
              </w:rPr>
            </w:pPr>
          </w:p>
        </w:tc>
        <w:tc>
          <w:tcPr>
            <w:tcW w:w="340" w:type="dxa"/>
            <w:vAlign w:val="bottom"/>
            <w:gridSpan w:val="2"/>
            <w:shd w:val="clear" w:color="auto" w:fill="B7E5FF"/>
          </w:tcPr>
          <w:p>
            <w:pPr>
              <w:jc w:val="right"/>
              <w:ind w:right="170"/>
              <w:spacing w:after="0"/>
              <w:rPr>
                <w:sz w:val="20"/>
                <w:szCs w:val="20"/>
                <w:color w:val="auto"/>
              </w:rPr>
            </w:pPr>
            <w:r>
              <w:rPr>
                <w:rFonts w:ascii="Arial" w:cs="Arial" w:eastAsia="Arial" w:hAnsi="Arial"/>
                <w:sz w:val="12"/>
                <w:szCs w:val="12"/>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29,435</w:t>
            </w:r>
          </w:p>
        </w:tc>
        <w:tc>
          <w:tcPr>
            <w:tcW w:w="120" w:type="dxa"/>
            <w:vAlign w:val="bottom"/>
            <w:shd w:val="clear" w:color="auto" w:fill="B7E5FF"/>
          </w:tcPr>
          <w:p>
            <w:pPr>
              <w:spacing w:after="0"/>
              <w:rPr>
                <w:sz w:val="13"/>
                <w:szCs w:val="13"/>
                <w:color w:val="auto"/>
              </w:rPr>
            </w:pPr>
          </w:p>
        </w:tc>
        <w:tc>
          <w:tcPr>
            <w:tcW w:w="480" w:type="dxa"/>
            <w:vAlign w:val="bottom"/>
            <w:shd w:val="clear" w:color="auto" w:fill="B7E5FF"/>
          </w:tcPr>
          <w:p>
            <w:pPr>
              <w:jc w:val="right"/>
              <w:ind w:right="37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31,978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340" w:type="dxa"/>
            <w:vAlign w:val="bottom"/>
          </w:tcPr>
          <w:p>
            <w:pPr>
              <w:ind w:left="80"/>
              <w:spacing w:after="0"/>
              <w:rPr>
                <w:sz w:val="20"/>
                <w:szCs w:val="20"/>
                <w:color w:val="auto"/>
              </w:rPr>
            </w:pPr>
            <w:r>
              <w:rPr>
                <w:rFonts w:ascii="Arial" w:cs="Arial" w:eastAsia="Arial" w:hAnsi="Arial"/>
                <w:sz w:val="12"/>
                <w:szCs w:val="12"/>
                <w:color w:val="auto"/>
              </w:rPr>
              <w:t>Less: income allocated to participating securities</w:t>
            </w:r>
          </w:p>
        </w:tc>
        <w:tc>
          <w:tcPr>
            <w:tcW w:w="1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(34)</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(83)</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(81)</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(147)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340" w:type="dxa"/>
            <w:vAlign w:val="bottom"/>
            <w:tcBorders>
              <w:top w:val="single" w:sz="8" w:color="B7E5FF"/>
            </w:tcBorders>
            <w:shd w:val="clear" w:color="auto" w:fill="B7E5FF"/>
          </w:tcPr>
          <w:p>
            <w:pPr>
              <w:ind w:left="80"/>
              <w:spacing w:after="0" w:line="133" w:lineRule="exact"/>
              <w:rPr>
                <w:sz w:val="20"/>
                <w:szCs w:val="20"/>
                <w:color w:val="auto"/>
              </w:rPr>
            </w:pPr>
            <w:r>
              <w:rPr>
                <w:rFonts w:ascii="Arial" w:cs="Arial" w:eastAsia="Arial" w:hAnsi="Arial"/>
                <w:sz w:val="12"/>
                <w:szCs w:val="12"/>
                <w:color w:val="auto"/>
              </w:rPr>
              <w:t>Net income available to common shareholders</w:t>
            </w:r>
          </w:p>
        </w:tc>
        <w:tc>
          <w:tcPr>
            <w:tcW w:w="1520" w:type="dxa"/>
            <w:vAlign w:val="bottom"/>
            <w:tcBorders>
              <w:top w:val="single" w:sz="8" w:color="B7E5FF"/>
            </w:tcBorders>
            <w:shd w:val="clear" w:color="auto" w:fill="B7E5FF"/>
          </w:tcPr>
          <w:p>
            <w:pPr>
              <w:spacing w:after="0"/>
              <w:rPr>
                <w:sz w:val="11"/>
                <w:szCs w:val="11"/>
                <w:color w:val="auto"/>
              </w:rPr>
            </w:pPr>
          </w:p>
        </w:tc>
        <w:tc>
          <w:tcPr>
            <w:tcW w:w="300" w:type="dxa"/>
            <w:vAlign w:val="bottom"/>
            <w:tcBorders>
              <w:top w:val="single" w:sz="8" w:color="auto"/>
            </w:tcBorders>
            <w:shd w:val="clear" w:color="auto" w:fill="B7E5FF"/>
          </w:tcPr>
          <w:p>
            <w:pPr>
              <w:jc w:val="right"/>
              <w:ind w:right="19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15,557</w:t>
            </w:r>
          </w:p>
        </w:tc>
        <w:tc>
          <w:tcPr>
            <w:tcW w:w="100" w:type="dxa"/>
            <w:vAlign w:val="bottom"/>
            <w:tcBorders>
              <w:top w:val="single" w:sz="8" w:color="B7E5FF"/>
            </w:tcBorders>
            <w:shd w:val="clear" w:color="auto" w:fill="B7E5FF"/>
          </w:tcPr>
          <w:p>
            <w:pPr>
              <w:spacing w:after="0"/>
              <w:rPr>
                <w:sz w:val="11"/>
                <w:szCs w:val="11"/>
                <w:color w:val="auto"/>
              </w:rPr>
            </w:pPr>
          </w:p>
        </w:tc>
        <w:tc>
          <w:tcPr>
            <w:tcW w:w="520" w:type="dxa"/>
            <w:vAlign w:val="bottom"/>
            <w:tcBorders>
              <w:top w:val="single" w:sz="8" w:color="auto"/>
            </w:tcBorders>
            <w:shd w:val="clear" w:color="auto" w:fill="B7E5FF"/>
          </w:tcPr>
          <w:p>
            <w:pPr>
              <w:jc w:val="right"/>
              <w:ind w:right="41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19,163</w:t>
            </w:r>
          </w:p>
        </w:tc>
        <w:tc>
          <w:tcPr>
            <w:tcW w:w="60" w:type="dxa"/>
            <w:vAlign w:val="bottom"/>
            <w:tcBorders>
              <w:top w:val="single" w:sz="8" w:color="B7E5FF"/>
            </w:tcBorders>
            <w:shd w:val="clear" w:color="auto" w:fill="B7E5FF"/>
          </w:tcPr>
          <w:p>
            <w:pPr>
              <w:spacing w:after="0"/>
              <w:rPr>
                <w:sz w:val="11"/>
                <w:szCs w:val="11"/>
                <w:color w:val="auto"/>
              </w:rPr>
            </w:pPr>
          </w:p>
        </w:tc>
        <w:tc>
          <w:tcPr>
            <w:tcW w:w="60" w:type="dxa"/>
            <w:vAlign w:val="bottom"/>
            <w:tcBorders>
              <w:top w:val="single" w:sz="8" w:color="B7E5FF"/>
            </w:tcBorders>
            <w:shd w:val="clear" w:color="auto" w:fill="B7E5FF"/>
          </w:tcPr>
          <w:p>
            <w:pPr>
              <w:spacing w:after="0"/>
              <w:rPr>
                <w:sz w:val="11"/>
                <w:szCs w:val="11"/>
                <w:color w:val="auto"/>
              </w:rPr>
            </w:pPr>
          </w:p>
        </w:tc>
        <w:tc>
          <w:tcPr>
            <w:tcW w:w="280" w:type="dxa"/>
            <w:vAlign w:val="bottom"/>
            <w:tcBorders>
              <w:top w:val="single" w:sz="8" w:color="auto"/>
            </w:tcBorders>
            <w:shd w:val="clear" w:color="auto" w:fill="B7E5FF"/>
          </w:tcPr>
          <w:p>
            <w:pPr>
              <w:jc w:val="right"/>
              <w:ind w:right="17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29,354</w:t>
            </w:r>
          </w:p>
        </w:tc>
        <w:tc>
          <w:tcPr>
            <w:tcW w:w="120" w:type="dxa"/>
            <w:vAlign w:val="bottom"/>
            <w:tcBorders>
              <w:top w:val="single" w:sz="8" w:color="B7E5FF"/>
            </w:tcBorders>
            <w:shd w:val="clear" w:color="auto" w:fill="B7E5FF"/>
          </w:tcPr>
          <w:p>
            <w:pPr>
              <w:spacing w:after="0"/>
              <w:rPr>
                <w:sz w:val="11"/>
                <w:szCs w:val="11"/>
                <w:color w:val="auto"/>
              </w:rPr>
            </w:pPr>
          </w:p>
        </w:tc>
        <w:tc>
          <w:tcPr>
            <w:tcW w:w="480" w:type="dxa"/>
            <w:vAlign w:val="bottom"/>
            <w:tcBorders>
              <w:top w:val="single" w:sz="8" w:color="auto"/>
            </w:tcBorders>
            <w:shd w:val="clear" w:color="auto" w:fill="B7E5FF"/>
          </w:tcPr>
          <w:p>
            <w:pPr>
              <w:jc w:val="right"/>
              <w:ind w:right="37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31,831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340" w:type="dxa"/>
            <w:vAlign w:val="bottom"/>
          </w:tcPr>
          <w:p>
            <w:pPr>
              <w:ind w:left="80"/>
              <w:spacing w:after="0"/>
              <w:rPr>
                <w:sz w:val="20"/>
                <w:szCs w:val="20"/>
                <w:color w:val="auto"/>
              </w:rPr>
            </w:pPr>
            <w:r>
              <w:rPr>
                <w:rFonts w:ascii="Arial" w:cs="Arial" w:eastAsia="Arial" w:hAnsi="Arial"/>
                <w:sz w:val="12"/>
                <w:szCs w:val="12"/>
                <w:color w:val="auto"/>
              </w:rPr>
              <w:t>Basic weighted average common shares outstanding</w:t>
            </w:r>
          </w:p>
        </w:tc>
        <w:tc>
          <w:tcPr>
            <w:tcW w:w="1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13,304,248</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13,267,504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13,297,953</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13,256,327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340" w:type="dxa"/>
            <w:vAlign w:val="bottom"/>
            <w:shd w:val="clear" w:color="auto" w:fill="B7E5FF"/>
          </w:tcPr>
          <w:p>
            <w:pPr>
              <w:ind w:left="80"/>
              <w:spacing w:after="0"/>
              <w:rPr>
                <w:sz w:val="20"/>
                <w:szCs w:val="20"/>
                <w:color w:val="auto"/>
              </w:rPr>
            </w:pPr>
            <w:r>
              <w:rPr>
                <w:rFonts w:ascii="Arial" w:cs="Arial" w:eastAsia="Arial" w:hAnsi="Arial"/>
                <w:sz w:val="12"/>
                <w:szCs w:val="12"/>
                <w:color w:val="auto"/>
              </w:rPr>
              <w:t>Effect of dilutive securities</w:t>
            </w:r>
          </w:p>
        </w:tc>
        <w:tc>
          <w:tcPr>
            <w:tcW w:w="1520" w:type="dxa"/>
            <w:vAlign w:val="bottom"/>
            <w:shd w:val="clear" w:color="auto" w:fill="B7E5FF"/>
          </w:tcPr>
          <w:p>
            <w:pPr>
              <w:spacing w:after="0"/>
              <w:rPr>
                <w:sz w:val="13"/>
                <w:szCs w:val="13"/>
                <w:color w:val="auto"/>
              </w:rPr>
            </w:pPr>
          </w:p>
        </w:tc>
        <w:tc>
          <w:tcPr>
            <w:tcW w:w="300" w:type="dxa"/>
            <w:vAlign w:val="bottom"/>
            <w:tcBorders>
              <w:bottom w:val="single" w:sz="8" w:color="auto"/>
            </w:tcBorders>
            <w:shd w:val="clear" w:color="auto" w:fill="B7E5FF"/>
          </w:tcPr>
          <w:p>
            <w:pPr>
              <w:spacing w:after="0"/>
              <w:rPr>
                <w:sz w:val="13"/>
                <w:szCs w:val="13"/>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48,007</w:t>
            </w:r>
          </w:p>
        </w:tc>
        <w:tc>
          <w:tcPr>
            <w:tcW w:w="100" w:type="dxa"/>
            <w:vAlign w:val="bottom"/>
            <w:shd w:val="clear" w:color="auto" w:fill="B7E5FF"/>
          </w:tcPr>
          <w:p>
            <w:pPr>
              <w:spacing w:after="0"/>
              <w:rPr>
                <w:sz w:val="13"/>
                <w:szCs w:val="13"/>
                <w:color w:val="auto"/>
              </w:rPr>
            </w:pPr>
          </w:p>
        </w:tc>
        <w:tc>
          <w:tcPr>
            <w:tcW w:w="520" w:type="dxa"/>
            <w:vAlign w:val="bottom"/>
            <w:tcBorders>
              <w:bottom w:val="single" w:sz="8" w:color="auto"/>
            </w:tcBorders>
            <w:shd w:val="clear" w:color="auto" w:fill="B7E5FF"/>
          </w:tcPr>
          <w:p>
            <w:pPr>
              <w:spacing w:after="0"/>
              <w:rPr>
                <w:sz w:val="13"/>
                <w:szCs w:val="13"/>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29,884</w:t>
            </w:r>
          </w:p>
        </w:tc>
        <w:tc>
          <w:tcPr>
            <w:tcW w:w="60" w:type="dxa"/>
            <w:vAlign w:val="bottom"/>
            <w:shd w:val="clear" w:color="auto" w:fill="B7E5FF"/>
          </w:tcPr>
          <w:p>
            <w:pPr>
              <w:spacing w:after="0"/>
              <w:rPr>
                <w:sz w:val="13"/>
                <w:szCs w:val="13"/>
                <w:color w:val="auto"/>
              </w:rPr>
            </w:pPr>
          </w:p>
        </w:tc>
        <w:tc>
          <w:tcPr>
            <w:tcW w:w="60" w:type="dxa"/>
            <w:vAlign w:val="bottom"/>
            <w:shd w:val="clear" w:color="auto" w:fill="B7E5FF"/>
          </w:tcPr>
          <w:p>
            <w:pPr>
              <w:spacing w:after="0"/>
              <w:rPr>
                <w:sz w:val="13"/>
                <w:szCs w:val="13"/>
                <w:color w:val="auto"/>
              </w:rPr>
            </w:pPr>
          </w:p>
        </w:tc>
        <w:tc>
          <w:tcPr>
            <w:tcW w:w="280" w:type="dxa"/>
            <w:vAlign w:val="bottom"/>
            <w:tcBorders>
              <w:bottom w:val="single" w:sz="8" w:color="auto"/>
            </w:tcBorders>
            <w:shd w:val="clear" w:color="auto" w:fill="B7E5FF"/>
          </w:tcPr>
          <w:p>
            <w:pPr>
              <w:spacing w:after="0"/>
              <w:rPr>
                <w:sz w:val="13"/>
                <w:szCs w:val="13"/>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47,362</w:t>
            </w:r>
          </w:p>
        </w:tc>
        <w:tc>
          <w:tcPr>
            <w:tcW w:w="120" w:type="dxa"/>
            <w:vAlign w:val="bottom"/>
            <w:shd w:val="clear" w:color="auto" w:fill="B7E5FF"/>
          </w:tcPr>
          <w:p>
            <w:pPr>
              <w:spacing w:after="0"/>
              <w:rPr>
                <w:sz w:val="13"/>
                <w:szCs w:val="13"/>
                <w:color w:val="auto"/>
              </w:rPr>
            </w:pPr>
          </w:p>
        </w:tc>
        <w:tc>
          <w:tcPr>
            <w:tcW w:w="480" w:type="dxa"/>
            <w:vAlign w:val="bottom"/>
            <w:tcBorders>
              <w:bottom w:val="single" w:sz="8" w:color="auto"/>
            </w:tcBorders>
            <w:shd w:val="clear" w:color="auto" w:fill="B7E5FF"/>
          </w:tcPr>
          <w:p>
            <w:pPr>
              <w:spacing w:after="0"/>
              <w:rPr>
                <w:sz w:val="13"/>
                <w:szCs w:val="13"/>
                <w:color w:val="auto"/>
              </w:rPr>
            </w:pPr>
          </w:p>
        </w:tc>
        <w:tc>
          <w:tcPr>
            <w:tcW w:w="8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31,619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340" w:type="dxa"/>
            <w:vAlign w:val="bottom"/>
          </w:tcPr>
          <w:p>
            <w:pPr>
              <w:ind w:left="80"/>
              <w:spacing w:after="0" w:line="133" w:lineRule="exact"/>
              <w:rPr>
                <w:sz w:val="20"/>
                <w:szCs w:val="20"/>
                <w:color w:val="auto"/>
              </w:rPr>
            </w:pPr>
            <w:r>
              <w:rPr>
                <w:rFonts w:ascii="Arial" w:cs="Arial" w:eastAsia="Arial" w:hAnsi="Arial"/>
                <w:sz w:val="12"/>
                <w:szCs w:val="12"/>
                <w:color w:val="auto"/>
              </w:rPr>
              <w:t>Diluted weighted average common shares outstanding</w:t>
            </w:r>
          </w:p>
        </w:tc>
        <w:tc>
          <w:tcPr>
            <w:tcW w:w="1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jc w:val="right"/>
              <w:spacing w:after="0" w:line="133" w:lineRule="exact"/>
              <w:rPr>
                <w:sz w:val="20"/>
                <w:szCs w:val="20"/>
                <w:color w:val="auto"/>
              </w:rPr>
            </w:pPr>
            <w:r>
              <w:rPr>
                <w:rFonts w:ascii="Arial" w:cs="Arial" w:eastAsia="Arial" w:hAnsi="Arial"/>
                <w:sz w:val="12"/>
                <w:szCs w:val="12"/>
                <w:color w:val="auto"/>
              </w:rPr>
              <w:t>13,352,255</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13,297,388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jc w:val="right"/>
              <w:spacing w:after="0" w:line="133" w:lineRule="exact"/>
              <w:rPr>
                <w:sz w:val="20"/>
                <w:szCs w:val="20"/>
                <w:color w:val="auto"/>
              </w:rPr>
            </w:pPr>
            <w:r>
              <w:rPr>
                <w:rFonts w:ascii="Arial" w:cs="Arial" w:eastAsia="Arial" w:hAnsi="Arial"/>
                <w:sz w:val="12"/>
                <w:szCs w:val="12"/>
                <w:color w:val="auto"/>
              </w:rPr>
              <w:t>13,345,315</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Arial" w:cs="Arial" w:eastAsia="Arial" w:hAnsi="Arial"/>
                <w:sz w:val="12"/>
                <w:szCs w:val="12"/>
                <w:color w:val="auto"/>
              </w:rPr>
              <w:t>13,287,946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340" w:type="dxa"/>
            <w:vAlign w:val="bottom"/>
            <w:shd w:val="clear" w:color="auto" w:fill="B7E5FF"/>
          </w:tcPr>
          <w:p>
            <w:pPr>
              <w:spacing w:after="0"/>
              <w:rPr>
                <w:sz w:val="20"/>
                <w:szCs w:val="20"/>
                <w:color w:val="auto"/>
              </w:rPr>
            </w:pPr>
            <w:r>
              <w:rPr>
                <w:rFonts w:ascii="Arial" w:cs="Arial" w:eastAsia="Arial" w:hAnsi="Arial"/>
                <w:sz w:val="12"/>
                <w:szCs w:val="12"/>
                <w:b w:val="1"/>
                <w:bCs w:val="1"/>
                <w:color w:val="auto"/>
              </w:rPr>
              <w:t>Diluted earnings per common share</w:t>
            </w:r>
          </w:p>
        </w:tc>
        <w:tc>
          <w:tcPr>
            <w:tcW w:w="1820" w:type="dxa"/>
            <w:vAlign w:val="bottom"/>
            <w:gridSpan w:val="2"/>
            <w:shd w:val="clear" w:color="auto" w:fill="B7E5FF"/>
          </w:tcPr>
          <w:p>
            <w:pPr>
              <w:jc w:val="right"/>
              <w:ind w:right="190"/>
              <w:spacing w:after="0"/>
              <w:rPr>
                <w:sz w:val="20"/>
                <w:szCs w:val="20"/>
                <w:color w:val="auto"/>
              </w:rPr>
            </w:pPr>
            <w:r>
              <w:rPr>
                <w:rFonts w:ascii="Arial" w:cs="Arial" w:eastAsia="Arial" w:hAnsi="Arial"/>
                <w:sz w:val="12"/>
                <w:szCs w:val="12"/>
                <w:color w:val="auto"/>
              </w:rPr>
              <w:t>$</w:t>
            </w:r>
          </w:p>
        </w:tc>
        <w:tc>
          <w:tcPr>
            <w:tcW w:w="10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1.17</w:t>
            </w:r>
          </w:p>
        </w:tc>
        <w:tc>
          <w:tcPr>
            <w:tcW w:w="100" w:type="dxa"/>
            <w:vAlign w:val="bottom"/>
            <w:shd w:val="clear" w:color="auto" w:fill="B7E5FF"/>
          </w:tcPr>
          <w:p>
            <w:pPr>
              <w:spacing w:after="0"/>
              <w:rPr>
                <w:sz w:val="13"/>
                <w:szCs w:val="13"/>
                <w:color w:val="auto"/>
              </w:rPr>
            </w:pPr>
          </w:p>
        </w:tc>
        <w:tc>
          <w:tcPr>
            <w:tcW w:w="520" w:type="dxa"/>
            <w:vAlign w:val="bottom"/>
            <w:shd w:val="clear" w:color="auto" w:fill="B7E5FF"/>
          </w:tcPr>
          <w:p>
            <w:pPr>
              <w:jc w:val="right"/>
              <w:ind w:right="41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1.44</w:t>
            </w:r>
          </w:p>
        </w:tc>
        <w:tc>
          <w:tcPr>
            <w:tcW w:w="60" w:type="dxa"/>
            <w:vAlign w:val="bottom"/>
            <w:shd w:val="clear" w:color="auto" w:fill="B7E5FF"/>
          </w:tcPr>
          <w:p>
            <w:pPr>
              <w:spacing w:after="0"/>
              <w:rPr>
                <w:sz w:val="13"/>
                <w:szCs w:val="13"/>
                <w:color w:val="auto"/>
              </w:rPr>
            </w:pPr>
          </w:p>
        </w:tc>
        <w:tc>
          <w:tcPr>
            <w:tcW w:w="340" w:type="dxa"/>
            <w:vAlign w:val="bottom"/>
            <w:gridSpan w:val="2"/>
            <w:shd w:val="clear" w:color="auto" w:fill="B7E5FF"/>
          </w:tcPr>
          <w:p>
            <w:pPr>
              <w:jc w:val="right"/>
              <w:ind w:right="170"/>
              <w:spacing w:after="0"/>
              <w:rPr>
                <w:sz w:val="20"/>
                <w:szCs w:val="20"/>
                <w:color w:val="auto"/>
              </w:rPr>
            </w:pPr>
            <w:r>
              <w:rPr>
                <w:rFonts w:ascii="Arial" w:cs="Arial" w:eastAsia="Arial" w:hAnsi="Arial"/>
                <w:sz w:val="12"/>
                <w:szCs w:val="12"/>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2.20</w:t>
            </w:r>
          </w:p>
        </w:tc>
        <w:tc>
          <w:tcPr>
            <w:tcW w:w="120" w:type="dxa"/>
            <w:vAlign w:val="bottom"/>
            <w:shd w:val="clear" w:color="auto" w:fill="B7E5FF"/>
          </w:tcPr>
          <w:p>
            <w:pPr>
              <w:spacing w:after="0"/>
              <w:rPr>
                <w:sz w:val="13"/>
                <w:szCs w:val="13"/>
                <w:color w:val="auto"/>
              </w:rPr>
            </w:pPr>
          </w:p>
        </w:tc>
        <w:tc>
          <w:tcPr>
            <w:tcW w:w="480" w:type="dxa"/>
            <w:vAlign w:val="bottom"/>
            <w:shd w:val="clear" w:color="auto" w:fill="B7E5FF"/>
          </w:tcPr>
          <w:p>
            <w:pPr>
              <w:jc w:val="right"/>
              <w:ind w:right="37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2.40</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right="100" w:firstLine="216"/>
        <w:spacing w:after="0" w:line="323" w:lineRule="auto"/>
        <w:rPr>
          <w:sz w:val="20"/>
          <w:szCs w:val="20"/>
          <w:color w:val="auto"/>
        </w:rPr>
      </w:pPr>
      <w:r>
        <w:rPr>
          <w:rFonts w:ascii="Arial" w:cs="Arial" w:eastAsia="Arial" w:hAnsi="Arial"/>
          <w:sz w:val="11"/>
          <w:szCs w:val="11"/>
          <w:color w:val="auto"/>
        </w:rPr>
        <w:t>Certain stock options and restricted stock units are not included in the diluted earnings per share calculation since the effect would have been anti-dilutive. There were no anti-diluted shares for the three and six months ended June 30, 2019. Comparatively, the calculated amount of anti-dilutive shares not included in the diluted earnings per share calculation were 6,189 and 4,546 for the three and six months ended June 30, 2018, respectively.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18" w:name="page19"/>
    <w:bookmarkEnd w:id="18"/>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3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12 – Restricted Cash</w:t>
      </w:r>
    </w:p>
    <w:p>
      <w:pPr>
        <w:spacing w:after="0" w:line="82" w:lineRule="exact"/>
        <w:rPr>
          <w:sz w:val="20"/>
          <w:szCs w:val="20"/>
          <w:color w:val="auto"/>
        </w:rPr>
      </w:pPr>
    </w:p>
    <w:p>
      <w:pPr>
        <w:ind w:right="100" w:firstLine="216"/>
        <w:spacing w:after="0" w:line="286" w:lineRule="auto"/>
        <w:rPr>
          <w:sz w:val="20"/>
          <w:szCs w:val="20"/>
          <w:color w:val="auto"/>
        </w:rPr>
      </w:pPr>
      <w:r>
        <w:rPr>
          <w:rFonts w:ascii="Arial" w:cs="Arial" w:eastAsia="Arial" w:hAnsi="Arial"/>
          <w:sz w:val="11"/>
          <w:szCs w:val="11"/>
          <w:color w:val="auto"/>
        </w:rPr>
        <w:t>The Company has restricted cash recorded in other assets related to proceeds from an inactive subsidiary of the Company which previously executed separate settlement and release agreements with two of its insurance carriers for an original total value of $35.0 million. The proceeds of both settlements are restricted and can only be used to pay claims and costs of defense associated with the subsidiary’s asbestos litigation. The proceeds of the settlement and release agreements have been deposited into interest bearing accounts which earned $0.1 million in the six months ended June 30, 2019 compared to less than $0.1 in the six months ended June 30, 2018. The interest was offset by $0.3 million of payments during the six months ended June 30, 2019 compared to $0.5 million in the six months ended June 30, 2018. Due to the restricted nature of the proceeds, a corresponding deferred credit was established in other non-current liabilities for an equal and offsetting amount, and will remain until the restrictions lapse or the funds are exhausted via payments of claims and costs of defense.</w:t>
      </w:r>
    </w:p>
    <w:p>
      <w:pPr>
        <w:spacing w:after="0" w:line="3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provides a reconciliation of cash, cash equivalents and restricted cash as of June 30, 2019 and 2018 and December 31, 2018 and 2017:</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88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ind w:right="607"/>
              <w:spacing w:after="0"/>
              <w:rPr>
                <w:sz w:val="20"/>
                <w:szCs w:val="20"/>
                <w:color w:val="auto"/>
              </w:rPr>
            </w:pPr>
            <w:r>
              <w:rPr>
                <w:rFonts w:ascii="Arial" w:cs="Arial" w:eastAsia="Arial" w:hAnsi="Arial"/>
                <w:sz w:val="12"/>
                <w:szCs w:val="12"/>
                <w:b w:val="1"/>
                <w:bCs w:val="1"/>
                <w:color w:val="auto"/>
              </w:rPr>
              <w:t>June 30,</w:t>
            </w:r>
          </w:p>
        </w:tc>
        <w:tc>
          <w:tcPr>
            <w:tcW w:w="4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2"/>
                <w:szCs w:val="12"/>
                <w:b w:val="1"/>
                <w:bCs w:val="1"/>
                <w:color w:val="auto"/>
              </w:rPr>
              <w:t>December 31,</w:t>
            </w:r>
          </w:p>
        </w:tc>
        <w:tc>
          <w:tcPr>
            <w:tcW w:w="920" w:type="dxa"/>
            <w:vAlign w:val="bottom"/>
            <w:tcBorders>
              <w:bottom w:val="single" w:sz="8" w:color="auto"/>
            </w:tcBorders>
          </w:tcPr>
          <w:p>
            <w:pPr>
              <w:spacing w:after="0"/>
              <w:rPr>
                <w:sz w:val="13"/>
                <w:szCs w:val="13"/>
                <w:color w:val="auto"/>
              </w:rPr>
            </w:pPr>
          </w:p>
        </w:tc>
      </w:tr>
      <w:tr>
        <w:trPr>
          <w:trHeight w:val="133"/>
        </w:trPr>
        <w:tc>
          <w:tcPr>
            <w:tcW w:w="5880" w:type="dxa"/>
            <w:vAlign w:val="bottom"/>
            <w:tcBorders>
              <w:bottom w:val="single" w:sz="8" w:color="B7E5FF"/>
            </w:tcBorders>
          </w:tcPr>
          <w:p>
            <w:pPr>
              <w:spacing w:after="0"/>
              <w:rPr>
                <w:sz w:val="11"/>
                <w:szCs w:val="11"/>
                <w:color w:val="auto"/>
              </w:rPr>
            </w:pPr>
          </w:p>
        </w:tc>
        <w:tc>
          <w:tcPr>
            <w:tcW w:w="8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2019</w:t>
            </w: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B7E5FF"/>
            </w:tcBorders>
          </w:tcPr>
          <w:p>
            <w:pPr>
              <w:spacing w:after="0"/>
              <w:rPr>
                <w:sz w:val="11"/>
                <w:szCs w:val="11"/>
                <w:color w:val="auto"/>
              </w:rPr>
            </w:pPr>
          </w:p>
        </w:tc>
        <w:tc>
          <w:tcPr>
            <w:tcW w:w="820" w:type="dxa"/>
            <w:vAlign w:val="bottom"/>
            <w:tcBorders>
              <w:bottom w:val="single" w:sz="8" w:color="auto"/>
            </w:tcBorders>
          </w:tcPr>
          <w:p>
            <w:pPr>
              <w:jc w:val="right"/>
              <w:ind w:right="7"/>
              <w:spacing w:after="0" w:line="133" w:lineRule="exact"/>
              <w:rPr>
                <w:sz w:val="20"/>
                <w:szCs w:val="20"/>
                <w:color w:val="auto"/>
              </w:rPr>
            </w:pPr>
            <w:r>
              <w:rPr>
                <w:rFonts w:ascii="Arial" w:cs="Arial" w:eastAsia="Arial" w:hAnsi="Arial"/>
                <w:sz w:val="12"/>
                <w:szCs w:val="12"/>
                <w:b w:val="1"/>
                <w:bCs w:val="1"/>
                <w:color w:val="auto"/>
              </w:rPr>
              <w:t>2018</w:t>
            </w: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B7E5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80"/>
              <w:spacing w:after="0" w:line="133" w:lineRule="exact"/>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B7E5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500"/>
              <w:spacing w:after="0" w:line="133" w:lineRule="exact"/>
              <w:rPr>
                <w:sz w:val="20"/>
                <w:szCs w:val="20"/>
                <w:color w:val="auto"/>
              </w:rPr>
            </w:pPr>
            <w:r>
              <w:rPr>
                <w:rFonts w:ascii="Arial" w:cs="Arial" w:eastAsia="Arial" w:hAnsi="Arial"/>
                <w:sz w:val="12"/>
                <w:szCs w:val="12"/>
                <w:b w:val="1"/>
                <w:bCs w:val="1"/>
                <w:color w:val="auto"/>
              </w:rPr>
              <w:t>2017</w:t>
            </w:r>
          </w:p>
        </w:tc>
      </w:tr>
      <w:tr>
        <w:trPr>
          <w:trHeight w:val="133"/>
        </w:trPr>
        <w:tc>
          <w:tcPr>
            <w:tcW w:w="5880" w:type="dxa"/>
            <w:vAlign w:val="bottom"/>
            <w:shd w:val="clear" w:color="auto" w:fill="B7E5FF"/>
          </w:tcPr>
          <w:p>
            <w:pPr>
              <w:spacing w:after="0" w:line="133" w:lineRule="exact"/>
              <w:rPr>
                <w:sz w:val="20"/>
                <w:szCs w:val="20"/>
                <w:color w:val="auto"/>
              </w:rPr>
            </w:pPr>
            <w:r>
              <w:rPr>
                <w:rFonts w:ascii="Arial" w:cs="Arial" w:eastAsia="Arial" w:hAnsi="Arial"/>
                <w:sz w:val="12"/>
                <w:szCs w:val="12"/>
                <w:color w:val="auto"/>
              </w:rPr>
              <w:t>Cash and cash equivalents</w:t>
            </w:r>
          </w:p>
        </w:tc>
        <w:tc>
          <w:tcPr>
            <w:tcW w:w="820" w:type="dxa"/>
            <w:vAlign w:val="bottom"/>
            <w:shd w:val="clear" w:color="auto" w:fill="B7E5FF"/>
          </w:tcPr>
          <w:p>
            <w:pPr>
              <w:jc w:val="right"/>
              <w:ind w:right="680"/>
              <w:spacing w:after="0" w:line="133" w:lineRule="exact"/>
              <w:rPr>
                <w:sz w:val="20"/>
                <w:szCs w:val="20"/>
                <w:color w:val="auto"/>
              </w:rPr>
            </w:pPr>
            <w:r>
              <w:rPr>
                <w:rFonts w:ascii="Arial" w:cs="Arial" w:eastAsia="Arial" w:hAnsi="Arial"/>
                <w:sz w:val="12"/>
                <w:szCs w:val="12"/>
                <w:color w:val="auto"/>
                <w:w w:val="89"/>
              </w:rPr>
              <w:t>$</w:t>
            </w:r>
          </w:p>
        </w:tc>
        <w:tc>
          <w:tcPr>
            <w:tcW w:w="48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86,355</w:t>
            </w:r>
          </w:p>
        </w:tc>
        <w:tc>
          <w:tcPr>
            <w:tcW w:w="120" w:type="dxa"/>
            <w:vAlign w:val="bottom"/>
            <w:shd w:val="clear" w:color="auto" w:fill="B7E5FF"/>
          </w:tcPr>
          <w:p>
            <w:pPr>
              <w:spacing w:after="0"/>
              <w:rPr>
                <w:sz w:val="11"/>
                <w:szCs w:val="11"/>
                <w:color w:val="auto"/>
              </w:rPr>
            </w:pPr>
          </w:p>
        </w:tc>
        <w:tc>
          <w:tcPr>
            <w:tcW w:w="820" w:type="dxa"/>
            <w:vAlign w:val="bottom"/>
            <w:shd w:val="clear" w:color="auto" w:fill="B7E5FF"/>
          </w:tcPr>
          <w:p>
            <w:pPr>
              <w:jc w:val="right"/>
              <w:ind w:right="707"/>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90,220</w:t>
            </w:r>
          </w:p>
        </w:tc>
        <w:tc>
          <w:tcPr>
            <w:tcW w:w="120" w:type="dxa"/>
            <w:vAlign w:val="bottom"/>
            <w:shd w:val="clear" w:color="auto" w:fill="B7E5FF"/>
          </w:tcPr>
          <w:p>
            <w:pPr>
              <w:spacing w:after="0"/>
              <w:rPr>
                <w:sz w:val="11"/>
                <w:szCs w:val="11"/>
                <w:color w:val="auto"/>
              </w:rPr>
            </w:pPr>
          </w:p>
        </w:tc>
        <w:tc>
          <w:tcPr>
            <w:tcW w:w="300" w:type="dxa"/>
            <w:vAlign w:val="bottom"/>
            <w:shd w:val="clear" w:color="auto" w:fill="B7E5FF"/>
          </w:tcPr>
          <w:p>
            <w:pPr>
              <w:jc w:val="right"/>
              <w:ind w:right="19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104,147</w:t>
            </w:r>
          </w:p>
        </w:tc>
        <w:tc>
          <w:tcPr>
            <w:tcW w:w="120" w:type="dxa"/>
            <w:vAlign w:val="bottom"/>
            <w:shd w:val="clear" w:color="auto" w:fill="B7E5FF"/>
          </w:tcPr>
          <w:p>
            <w:pPr>
              <w:spacing w:after="0"/>
              <w:rPr>
                <w:sz w:val="11"/>
                <w:szCs w:val="11"/>
                <w:color w:val="auto"/>
              </w:rPr>
            </w:pPr>
          </w:p>
        </w:tc>
        <w:tc>
          <w:tcPr>
            <w:tcW w:w="420" w:type="dxa"/>
            <w:vAlign w:val="bottom"/>
            <w:shd w:val="clear" w:color="auto" w:fill="B7E5FF"/>
          </w:tcPr>
          <w:p>
            <w:pPr>
              <w:jc w:val="right"/>
              <w:ind w:right="31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89,879</w:t>
            </w:r>
          </w:p>
        </w:tc>
      </w:tr>
      <w:tr>
        <w:trPr>
          <w:trHeight w:val="153"/>
        </w:trPr>
        <w:tc>
          <w:tcPr>
            <w:tcW w:w="5880" w:type="dxa"/>
            <w:vAlign w:val="bottom"/>
            <w:tcBorders>
              <w:bottom w:val="single" w:sz="8" w:color="B7E5FF"/>
            </w:tcBorders>
          </w:tcPr>
          <w:p>
            <w:pPr>
              <w:spacing w:after="0"/>
              <w:rPr>
                <w:sz w:val="20"/>
                <w:szCs w:val="20"/>
                <w:color w:val="auto"/>
              </w:rPr>
            </w:pPr>
            <w:r>
              <w:rPr>
                <w:rFonts w:ascii="Arial" w:cs="Arial" w:eastAsia="Arial" w:hAnsi="Arial"/>
                <w:sz w:val="12"/>
                <w:szCs w:val="12"/>
                <w:color w:val="auto"/>
              </w:rPr>
              <w:t>Restricted cash included in other assets</w:t>
            </w:r>
          </w:p>
        </w:tc>
        <w:tc>
          <w:tcPr>
            <w:tcW w:w="8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20,103</w:t>
            </w:r>
          </w:p>
        </w:tc>
        <w:tc>
          <w:tcPr>
            <w:tcW w:w="120" w:type="dxa"/>
            <w:vAlign w:val="bottom"/>
            <w:tcBorders>
              <w:bottom w:val="single" w:sz="8" w:color="B7E5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20,740</w:t>
            </w:r>
          </w:p>
        </w:tc>
        <w:tc>
          <w:tcPr>
            <w:tcW w:w="120" w:type="dxa"/>
            <w:vAlign w:val="bottom"/>
            <w:tcBorders>
              <w:bottom w:val="single" w:sz="8" w:color="B7E5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20,278</w:t>
            </w:r>
          </w:p>
        </w:tc>
        <w:tc>
          <w:tcPr>
            <w:tcW w:w="120" w:type="dxa"/>
            <w:vAlign w:val="bottom"/>
            <w:tcBorders>
              <w:bottom w:val="single" w:sz="8" w:color="B7E5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21,171</w:t>
            </w:r>
          </w:p>
        </w:tc>
      </w:tr>
      <w:tr>
        <w:trPr>
          <w:trHeight w:val="140"/>
        </w:trPr>
        <w:tc>
          <w:tcPr>
            <w:tcW w:w="5880" w:type="dxa"/>
            <w:vAlign w:val="bottom"/>
            <w:tcBorders>
              <w:bottom w:val="single" w:sz="8" w:color="B7E5FF"/>
            </w:tcBorders>
            <w:shd w:val="clear" w:color="auto" w:fill="B7E5FF"/>
          </w:tcPr>
          <w:p>
            <w:pPr>
              <w:spacing w:after="0" w:line="133" w:lineRule="exact"/>
              <w:rPr>
                <w:sz w:val="20"/>
                <w:szCs w:val="20"/>
                <w:color w:val="auto"/>
              </w:rPr>
            </w:pPr>
            <w:r>
              <w:rPr>
                <w:rFonts w:ascii="Arial" w:cs="Arial" w:eastAsia="Arial" w:hAnsi="Arial"/>
                <w:sz w:val="12"/>
                <w:szCs w:val="12"/>
                <w:color w:val="auto"/>
              </w:rPr>
              <w:t>Cash, cash equivalents and restricted cash</w:t>
            </w:r>
          </w:p>
        </w:tc>
        <w:tc>
          <w:tcPr>
            <w:tcW w:w="820" w:type="dxa"/>
            <w:vAlign w:val="bottom"/>
            <w:tcBorders>
              <w:bottom w:val="single" w:sz="8" w:color="auto"/>
            </w:tcBorders>
            <w:shd w:val="clear" w:color="auto" w:fill="B7E5FF"/>
          </w:tcPr>
          <w:p>
            <w:pPr>
              <w:jc w:val="right"/>
              <w:ind w:right="680"/>
              <w:spacing w:after="0" w:line="133" w:lineRule="exact"/>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w w:val="96"/>
              </w:rPr>
              <w:t>106,458</w:t>
            </w:r>
          </w:p>
        </w:tc>
        <w:tc>
          <w:tcPr>
            <w:tcW w:w="120" w:type="dxa"/>
            <w:vAlign w:val="bottom"/>
            <w:tcBorders>
              <w:bottom w:val="single" w:sz="8" w:color="B7E5FF"/>
            </w:tcBorders>
            <w:shd w:val="clear" w:color="auto" w:fill="B7E5FF"/>
          </w:tcPr>
          <w:p>
            <w:pPr>
              <w:spacing w:after="0"/>
              <w:rPr>
                <w:sz w:val="12"/>
                <w:szCs w:val="12"/>
                <w:color w:val="auto"/>
              </w:rPr>
            </w:pPr>
          </w:p>
        </w:tc>
        <w:tc>
          <w:tcPr>
            <w:tcW w:w="820" w:type="dxa"/>
            <w:vAlign w:val="bottom"/>
            <w:tcBorders>
              <w:bottom w:val="single" w:sz="8" w:color="auto"/>
            </w:tcBorders>
            <w:shd w:val="clear" w:color="auto" w:fill="B7E5FF"/>
          </w:tcPr>
          <w:p>
            <w:pPr>
              <w:jc w:val="right"/>
              <w:ind w:right="707"/>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w w:val="96"/>
              </w:rPr>
              <w:t>110,960</w:t>
            </w:r>
          </w:p>
        </w:tc>
        <w:tc>
          <w:tcPr>
            <w:tcW w:w="120" w:type="dxa"/>
            <w:vAlign w:val="bottom"/>
            <w:tcBorders>
              <w:bottom w:val="single" w:sz="8" w:color="B7E5FF"/>
            </w:tcBorders>
            <w:shd w:val="clear" w:color="auto" w:fill="B7E5FF"/>
          </w:tcPr>
          <w:p>
            <w:pPr>
              <w:spacing w:after="0"/>
              <w:rPr>
                <w:sz w:val="12"/>
                <w:szCs w:val="12"/>
                <w:color w:val="auto"/>
              </w:rPr>
            </w:pPr>
          </w:p>
        </w:tc>
        <w:tc>
          <w:tcPr>
            <w:tcW w:w="300" w:type="dxa"/>
            <w:vAlign w:val="bottom"/>
            <w:tcBorders>
              <w:bottom w:val="single" w:sz="8" w:color="auto"/>
            </w:tcBorders>
            <w:shd w:val="clear" w:color="auto" w:fill="B7E5FF"/>
          </w:tcPr>
          <w:p>
            <w:pPr>
              <w:jc w:val="right"/>
              <w:ind w:right="19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124,425</w:t>
            </w:r>
          </w:p>
        </w:tc>
        <w:tc>
          <w:tcPr>
            <w:tcW w:w="120" w:type="dxa"/>
            <w:vAlign w:val="bottom"/>
            <w:tcBorders>
              <w:bottom w:val="single" w:sz="8" w:color="B7E5FF"/>
            </w:tcBorders>
            <w:shd w:val="clear" w:color="auto" w:fill="B7E5FF"/>
          </w:tcPr>
          <w:p>
            <w:pPr>
              <w:spacing w:after="0"/>
              <w:rPr>
                <w:sz w:val="12"/>
                <w:szCs w:val="12"/>
                <w:color w:val="auto"/>
              </w:rPr>
            </w:pPr>
          </w:p>
        </w:tc>
        <w:tc>
          <w:tcPr>
            <w:tcW w:w="420" w:type="dxa"/>
            <w:vAlign w:val="bottom"/>
            <w:tcBorders>
              <w:bottom w:val="single" w:sz="8" w:color="auto"/>
            </w:tcBorders>
            <w:shd w:val="clear" w:color="auto" w:fill="B7E5FF"/>
          </w:tcPr>
          <w:p>
            <w:pPr>
              <w:jc w:val="right"/>
              <w:ind w:right="31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111,050</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13 – Goodwill and Other Intangible Assets</w:t>
      </w:r>
    </w:p>
    <w:p>
      <w:pPr>
        <w:spacing w:after="0" w:line="82" w:lineRule="exact"/>
        <w:rPr>
          <w:sz w:val="20"/>
          <w:szCs w:val="20"/>
          <w:color w:val="auto"/>
        </w:rPr>
      </w:pPr>
    </w:p>
    <w:p>
      <w:pPr>
        <w:jc w:val="both"/>
        <w:ind w:right="20" w:firstLine="216"/>
        <w:spacing w:after="0" w:line="375" w:lineRule="auto"/>
        <w:rPr>
          <w:sz w:val="20"/>
          <w:szCs w:val="20"/>
          <w:color w:val="auto"/>
        </w:rPr>
      </w:pPr>
      <w:r>
        <w:rPr>
          <w:rFonts w:ascii="Arial" w:cs="Arial" w:eastAsia="Arial" w:hAnsi="Arial"/>
          <w:sz w:val="10"/>
          <w:szCs w:val="10"/>
          <w:color w:val="auto"/>
        </w:rPr>
        <w:t>The Company completes its annual impairment test during the fourth quarter of each year, or more frequently if triggering events indicate a possible impairment in one or more of its reporting units. The Company continually evaluates financial performance, economic conditions and other relevant developments in assessing if an interim period impairment test for one or more of its reporting units is necessary. The Company has recorded no impairment charges in its past.</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Changes in the carrying amount of goodwill for the six months ended June 30, 2019 were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360" w:type="dxa"/>
            <w:vAlign w:val="bottom"/>
          </w:tcPr>
          <w:p>
            <w:pPr>
              <w:spacing w:after="0"/>
              <w:rPr>
                <w:sz w:val="12"/>
                <w:szCs w:val="12"/>
                <w:color w:val="auto"/>
              </w:rPr>
            </w:pPr>
          </w:p>
        </w:tc>
        <w:tc>
          <w:tcPr>
            <w:tcW w:w="920" w:type="dxa"/>
            <w:vAlign w:val="bottom"/>
          </w:tcPr>
          <w:p>
            <w:pPr>
              <w:jc w:val="right"/>
              <w:ind w:right="45"/>
              <w:spacing w:after="0"/>
              <w:rPr>
                <w:sz w:val="20"/>
                <w:szCs w:val="20"/>
                <w:color w:val="auto"/>
              </w:rPr>
            </w:pPr>
            <w:r>
              <w:rPr>
                <w:rFonts w:ascii="Arial" w:cs="Arial" w:eastAsia="Arial" w:hAnsi="Arial"/>
                <w:sz w:val="12"/>
                <w:szCs w:val="12"/>
                <w:b w:val="1"/>
                <w:bCs w:val="1"/>
                <w:color w:val="auto"/>
              </w:rPr>
              <w:t>North</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tcPr>
          <w:p>
            <w:pPr>
              <w:jc w:val="right"/>
              <w:ind w:right="640"/>
              <w:spacing w:after="0"/>
              <w:rPr>
                <w:sz w:val="20"/>
                <w:szCs w:val="20"/>
                <w:color w:val="auto"/>
              </w:rPr>
            </w:pPr>
            <w:r>
              <w:rPr>
                <w:rFonts w:ascii="Arial" w:cs="Arial" w:eastAsia="Arial" w:hAnsi="Arial"/>
                <w:sz w:val="12"/>
                <w:szCs w:val="12"/>
                <w:b w:val="1"/>
                <w:bCs w:val="1"/>
                <w:color w:val="auto"/>
              </w:rPr>
              <w:t>South</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57"/>
        </w:trPr>
        <w:tc>
          <w:tcPr>
            <w:tcW w:w="43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rPr>
              <w:t>America</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ind w:right="5"/>
              <w:spacing w:after="0"/>
              <w:rPr>
                <w:sz w:val="20"/>
                <w:szCs w:val="20"/>
                <w:color w:val="auto"/>
              </w:rPr>
            </w:pPr>
            <w:r>
              <w:rPr>
                <w:rFonts w:ascii="Arial" w:cs="Arial" w:eastAsia="Arial" w:hAnsi="Arial"/>
                <w:sz w:val="12"/>
                <w:szCs w:val="12"/>
                <w:b w:val="1"/>
                <w:bCs w:val="1"/>
                <w:color w:val="auto"/>
              </w:rPr>
              <w:t>EMEA</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Asia/Pacific</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3"/>
          </w:tcPr>
          <w:p>
            <w:pPr>
              <w:ind w:left="180"/>
              <w:spacing w:after="0"/>
              <w:rPr>
                <w:sz w:val="20"/>
                <w:szCs w:val="20"/>
                <w:color w:val="auto"/>
              </w:rPr>
            </w:pPr>
            <w:r>
              <w:rPr>
                <w:rFonts w:ascii="Arial" w:cs="Arial" w:eastAsia="Arial" w:hAnsi="Arial"/>
                <w:sz w:val="12"/>
                <w:szCs w:val="12"/>
                <w:b w:val="1"/>
                <w:bCs w:val="1"/>
                <w:color w:val="auto"/>
              </w:rPr>
              <w:t>America</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jc w:val="right"/>
              <w:ind w:right="480"/>
              <w:spacing w:after="0"/>
              <w:rPr>
                <w:sz w:val="20"/>
                <w:szCs w:val="20"/>
                <w:color w:val="auto"/>
              </w:rPr>
            </w:pPr>
            <w:r>
              <w:rPr>
                <w:rFonts w:ascii="Arial" w:cs="Arial" w:eastAsia="Arial" w:hAnsi="Arial"/>
                <w:sz w:val="12"/>
                <w:szCs w:val="12"/>
                <w:b w:val="1"/>
                <w:bCs w:val="1"/>
                <w:color w:val="auto"/>
              </w:rPr>
              <w:t>Total</w:t>
            </w:r>
          </w:p>
        </w:tc>
      </w:tr>
      <w:tr>
        <w:trPr>
          <w:trHeight w:val="133"/>
        </w:trPr>
        <w:tc>
          <w:tcPr>
            <w:tcW w:w="4360" w:type="dxa"/>
            <w:vAlign w:val="bottom"/>
            <w:tcBorders>
              <w:top w:val="single" w:sz="8" w:color="B7E5FF"/>
            </w:tcBorders>
            <w:shd w:val="clear" w:color="auto" w:fill="B7E5FF"/>
          </w:tcPr>
          <w:p>
            <w:pPr>
              <w:spacing w:after="0" w:line="133" w:lineRule="exact"/>
              <w:rPr>
                <w:sz w:val="20"/>
                <w:szCs w:val="20"/>
                <w:color w:val="auto"/>
              </w:rPr>
            </w:pPr>
            <w:r>
              <w:rPr>
                <w:rFonts w:ascii="Arial" w:cs="Arial" w:eastAsia="Arial" w:hAnsi="Arial"/>
                <w:sz w:val="12"/>
                <w:szCs w:val="12"/>
                <w:color w:val="auto"/>
              </w:rPr>
              <w:t>Balance as of December 31, 2018</w:t>
            </w:r>
          </w:p>
        </w:tc>
        <w:tc>
          <w:tcPr>
            <w:tcW w:w="920" w:type="dxa"/>
            <w:vAlign w:val="bottom"/>
            <w:tcBorders>
              <w:top w:val="single" w:sz="8" w:color="auto"/>
            </w:tcBorders>
            <w:shd w:val="clear" w:color="auto" w:fill="B7E5FF"/>
          </w:tcPr>
          <w:p>
            <w:pPr>
              <w:jc w:val="right"/>
              <w:ind w:right="805"/>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w w:val="92"/>
              </w:rPr>
              <w:t>47,303</w:t>
            </w:r>
          </w:p>
        </w:tc>
        <w:tc>
          <w:tcPr>
            <w:tcW w:w="120" w:type="dxa"/>
            <w:vAlign w:val="bottom"/>
            <w:tcBorders>
              <w:top w:val="single" w:sz="8" w:color="B7E5FF"/>
            </w:tcBorders>
            <w:shd w:val="clear" w:color="auto" w:fill="B7E5FF"/>
          </w:tcPr>
          <w:p>
            <w:pPr>
              <w:spacing w:after="0"/>
              <w:rPr>
                <w:sz w:val="11"/>
                <w:szCs w:val="11"/>
                <w:color w:val="auto"/>
              </w:rPr>
            </w:pPr>
          </w:p>
        </w:tc>
        <w:tc>
          <w:tcPr>
            <w:tcW w:w="8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B7E5FF"/>
          </w:tcPr>
          <w:p>
            <w:pPr>
              <w:spacing w:after="0"/>
              <w:rPr>
                <w:sz w:val="11"/>
                <w:szCs w:val="11"/>
                <w:color w:val="auto"/>
              </w:rPr>
            </w:pPr>
          </w:p>
        </w:tc>
        <w:tc>
          <w:tcPr>
            <w:tcW w:w="42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w w:val="97"/>
              </w:rPr>
              <w:t>19,335</w:t>
            </w:r>
          </w:p>
        </w:tc>
        <w:tc>
          <w:tcPr>
            <w:tcW w:w="60" w:type="dxa"/>
            <w:vAlign w:val="bottom"/>
            <w:tcBorders>
              <w:top w:val="single" w:sz="8" w:color="B7E5FF"/>
            </w:tcBorders>
            <w:shd w:val="clear" w:color="auto" w:fill="B7E5FF"/>
          </w:tcPr>
          <w:p>
            <w:pPr>
              <w:spacing w:after="0"/>
              <w:rPr>
                <w:sz w:val="11"/>
                <w:szCs w:val="11"/>
                <w:color w:val="auto"/>
              </w:rPr>
            </w:pPr>
          </w:p>
        </w:tc>
        <w:tc>
          <w:tcPr>
            <w:tcW w:w="40" w:type="dxa"/>
            <w:vAlign w:val="bottom"/>
            <w:tcBorders>
              <w:top w:val="single" w:sz="8" w:color="B7E5FF"/>
            </w:tcBorders>
            <w:shd w:val="clear" w:color="auto" w:fill="B7E5FF"/>
          </w:tcPr>
          <w:p>
            <w:pPr>
              <w:spacing w:after="0"/>
              <w:rPr>
                <w:sz w:val="11"/>
                <w:szCs w:val="11"/>
                <w:color w:val="auto"/>
              </w:rPr>
            </w:pPr>
          </w:p>
        </w:tc>
        <w:tc>
          <w:tcPr>
            <w:tcW w:w="300" w:type="dxa"/>
            <w:vAlign w:val="bottom"/>
            <w:tcBorders>
              <w:top w:val="single" w:sz="8" w:color="auto"/>
            </w:tcBorders>
            <w:gridSpan w:val="2"/>
            <w:shd w:val="clear" w:color="auto" w:fill="B7E5FF"/>
          </w:tcPr>
          <w:p>
            <w:pPr>
              <w:jc w:val="right"/>
              <w:ind w:right="160"/>
              <w:spacing w:after="0" w:line="133" w:lineRule="exact"/>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14,587</w:t>
            </w:r>
          </w:p>
        </w:tc>
        <w:tc>
          <w:tcPr>
            <w:tcW w:w="40" w:type="dxa"/>
            <w:vAlign w:val="bottom"/>
            <w:tcBorders>
              <w:top w:val="single" w:sz="8" w:color="B7E5FF"/>
            </w:tcBorders>
            <w:shd w:val="clear" w:color="auto" w:fill="B7E5FF"/>
          </w:tcPr>
          <w:p>
            <w:pPr>
              <w:spacing w:after="0"/>
              <w:rPr>
                <w:sz w:val="11"/>
                <w:szCs w:val="11"/>
                <w:color w:val="auto"/>
              </w:rPr>
            </w:pPr>
          </w:p>
        </w:tc>
        <w:tc>
          <w:tcPr>
            <w:tcW w:w="60" w:type="dxa"/>
            <w:vAlign w:val="bottom"/>
            <w:tcBorders>
              <w:top w:val="single" w:sz="8" w:color="B7E5FF"/>
            </w:tcBorders>
            <w:shd w:val="clear" w:color="auto" w:fill="B7E5FF"/>
          </w:tcPr>
          <w:p>
            <w:pPr>
              <w:spacing w:after="0"/>
              <w:rPr>
                <w:sz w:val="11"/>
                <w:szCs w:val="11"/>
                <w:color w:val="auto"/>
              </w:rPr>
            </w:pPr>
          </w:p>
        </w:tc>
        <w:tc>
          <w:tcPr>
            <w:tcW w:w="280" w:type="dxa"/>
            <w:vAlign w:val="bottom"/>
            <w:tcBorders>
              <w:top w:val="single" w:sz="8" w:color="auto"/>
            </w:tcBorders>
            <w:gridSpan w:val="2"/>
            <w:shd w:val="clear" w:color="auto" w:fill="B7E5FF"/>
          </w:tcPr>
          <w:p>
            <w:pPr>
              <w:jc w:val="right"/>
              <w:ind w:right="150"/>
              <w:spacing w:after="0" w:line="133" w:lineRule="exact"/>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2,108</w:t>
            </w:r>
          </w:p>
        </w:tc>
        <w:tc>
          <w:tcPr>
            <w:tcW w:w="20" w:type="dxa"/>
            <w:vAlign w:val="bottom"/>
            <w:tcBorders>
              <w:top w:val="single" w:sz="8" w:color="B7E5FF"/>
            </w:tcBorders>
            <w:shd w:val="clear" w:color="auto" w:fill="B7E5FF"/>
          </w:tcPr>
          <w:p>
            <w:pPr>
              <w:spacing w:after="0"/>
              <w:rPr>
                <w:sz w:val="11"/>
                <w:szCs w:val="11"/>
                <w:color w:val="auto"/>
              </w:rPr>
            </w:pPr>
          </w:p>
        </w:tc>
        <w:tc>
          <w:tcPr>
            <w:tcW w:w="100" w:type="dxa"/>
            <w:vAlign w:val="bottom"/>
            <w:tcBorders>
              <w:top w:val="single" w:sz="8" w:color="B7E5FF"/>
            </w:tcBorders>
            <w:shd w:val="clear" w:color="auto" w:fill="B7E5FF"/>
          </w:tcPr>
          <w:p>
            <w:pPr>
              <w:spacing w:after="0"/>
              <w:rPr>
                <w:sz w:val="11"/>
                <w:szCs w:val="11"/>
                <w:color w:val="auto"/>
              </w:rPr>
            </w:pPr>
          </w:p>
        </w:tc>
        <w:tc>
          <w:tcPr>
            <w:tcW w:w="440" w:type="dxa"/>
            <w:vAlign w:val="bottom"/>
            <w:tcBorders>
              <w:top w:val="single" w:sz="8" w:color="auto"/>
            </w:tcBorders>
            <w:gridSpan w:val="2"/>
            <w:shd w:val="clear" w:color="auto" w:fill="B7E5FF"/>
          </w:tcPr>
          <w:p>
            <w:pPr>
              <w:jc w:val="right"/>
              <w:ind w:right="310"/>
              <w:spacing w:after="0" w:line="133" w:lineRule="exact"/>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83,333</w:t>
            </w:r>
          </w:p>
        </w:tc>
      </w:tr>
      <w:tr>
        <w:trPr>
          <w:trHeight w:val="153"/>
        </w:trPr>
        <w:tc>
          <w:tcPr>
            <w:tcW w:w="4360" w:type="dxa"/>
            <w:vAlign w:val="bottom"/>
            <w:tcBorders>
              <w:bottom w:val="single" w:sz="8" w:color="B7E5FF"/>
            </w:tcBorders>
          </w:tcPr>
          <w:p>
            <w:pPr>
              <w:ind w:left="240"/>
              <w:spacing w:after="0"/>
              <w:rPr>
                <w:sz w:val="20"/>
                <w:szCs w:val="20"/>
                <w:color w:val="auto"/>
              </w:rPr>
            </w:pPr>
            <w:r>
              <w:rPr>
                <w:rFonts w:ascii="Arial" w:cs="Arial" w:eastAsia="Arial" w:hAnsi="Arial"/>
                <w:sz w:val="12"/>
                <w:szCs w:val="12"/>
                <w:color w:val="auto"/>
              </w:rPr>
              <w:t>Currency translation adjustments</w:t>
            </w:r>
          </w:p>
        </w:tc>
        <w:tc>
          <w:tcPr>
            <w:tcW w:w="9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160</w:t>
            </w:r>
          </w:p>
        </w:tc>
        <w:tc>
          <w:tcPr>
            <w:tcW w:w="120" w:type="dxa"/>
            <w:vAlign w:val="bottom"/>
            <w:tcBorders>
              <w:bottom w:val="single" w:sz="8" w:color="B7E5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(256)</w:t>
            </w:r>
          </w:p>
        </w:tc>
        <w:tc>
          <w:tcPr>
            <w:tcW w:w="60" w:type="dxa"/>
            <w:vAlign w:val="bottom"/>
            <w:tcBorders>
              <w:bottom w:val="single" w:sz="8" w:color="B7E5FF"/>
            </w:tcBorders>
          </w:tcPr>
          <w:p>
            <w:pPr>
              <w:spacing w:after="0"/>
              <w:rPr>
                <w:sz w:val="13"/>
                <w:szCs w:val="13"/>
                <w:color w:val="auto"/>
              </w:rPr>
            </w:pPr>
          </w:p>
        </w:tc>
        <w:tc>
          <w:tcPr>
            <w:tcW w:w="40" w:type="dxa"/>
            <w:vAlign w:val="bottom"/>
            <w:tcBorders>
              <w:bottom w:val="single" w:sz="8" w:color="B7E5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w:t>
            </w:r>
          </w:p>
        </w:tc>
        <w:tc>
          <w:tcPr>
            <w:tcW w:w="40" w:type="dxa"/>
            <w:vAlign w:val="bottom"/>
            <w:tcBorders>
              <w:bottom w:val="single" w:sz="8" w:color="B7E5FF"/>
            </w:tcBorders>
          </w:tcPr>
          <w:p>
            <w:pPr>
              <w:spacing w:after="0"/>
              <w:rPr>
                <w:sz w:val="13"/>
                <w:szCs w:val="13"/>
                <w:color w:val="auto"/>
              </w:rPr>
            </w:pPr>
          </w:p>
        </w:tc>
        <w:tc>
          <w:tcPr>
            <w:tcW w:w="60" w:type="dxa"/>
            <w:vAlign w:val="bottom"/>
            <w:tcBorders>
              <w:bottom w:val="single" w:sz="8" w:color="B7E5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20" w:type="dxa"/>
            <w:vAlign w:val="bottom"/>
            <w:tcBorders>
              <w:bottom w:val="single" w:sz="8" w:color="B7E5FF"/>
            </w:tcBorders>
          </w:tcPr>
          <w:p>
            <w:pPr>
              <w:spacing w:after="0"/>
              <w:rPr>
                <w:sz w:val="13"/>
                <w:szCs w:val="13"/>
                <w:color w:val="auto"/>
              </w:rPr>
            </w:pPr>
          </w:p>
        </w:tc>
        <w:tc>
          <w:tcPr>
            <w:tcW w:w="100" w:type="dxa"/>
            <w:vAlign w:val="bottom"/>
            <w:tcBorders>
              <w:bottom w:val="single" w:sz="8" w:color="B7E5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w:t>
            </w:r>
          </w:p>
        </w:tc>
      </w:tr>
      <w:tr>
        <w:trPr>
          <w:trHeight w:val="140"/>
        </w:trPr>
        <w:tc>
          <w:tcPr>
            <w:tcW w:w="4360" w:type="dxa"/>
            <w:vAlign w:val="bottom"/>
            <w:tcBorders>
              <w:bottom w:val="single" w:sz="8" w:color="B7E5FF"/>
            </w:tcBorders>
            <w:shd w:val="clear" w:color="auto" w:fill="B7E5FF"/>
          </w:tcPr>
          <w:p>
            <w:pPr>
              <w:spacing w:after="0" w:line="133" w:lineRule="exact"/>
              <w:rPr>
                <w:sz w:val="20"/>
                <w:szCs w:val="20"/>
                <w:color w:val="auto"/>
              </w:rPr>
            </w:pPr>
            <w:r>
              <w:rPr>
                <w:rFonts w:ascii="Arial" w:cs="Arial" w:eastAsia="Arial" w:hAnsi="Arial"/>
                <w:sz w:val="12"/>
                <w:szCs w:val="12"/>
                <w:color w:val="auto"/>
              </w:rPr>
              <w:t>Balance as of June 30, 2019</w:t>
            </w:r>
          </w:p>
        </w:tc>
        <w:tc>
          <w:tcPr>
            <w:tcW w:w="920" w:type="dxa"/>
            <w:vAlign w:val="bottom"/>
            <w:tcBorders>
              <w:bottom w:val="single" w:sz="8" w:color="auto"/>
            </w:tcBorders>
            <w:shd w:val="clear" w:color="auto" w:fill="B7E5FF"/>
          </w:tcPr>
          <w:p>
            <w:pPr>
              <w:jc w:val="right"/>
              <w:ind w:right="805"/>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w w:val="92"/>
              </w:rPr>
              <w:t>47,463</w:t>
            </w:r>
          </w:p>
        </w:tc>
        <w:tc>
          <w:tcPr>
            <w:tcW w:w="120" w:type="dxa"/>
            <w:vAlign w:val="bottom"/>
            <w:tcBorders>
              <w:bottom w:val="single" w:sz="8" w:color="B7E5FF"/>
            </w:tcBorders>
            <w:shd w:val="clear" w:color="auto" w:fill="B7E5FF"/>
          </w:tcPr>
          <w:p>
            <w:pPr>
              <w:spacing w:after="0"/>
              <w:rPr>
                <w:sz w:val="12"/>
                <w:szCs w:val="12"/>
                <w:color w:val="auto"/>
              </w:rPr>
            </w:pPr>
          </w:p>
        </w:tc>
        <w:tc>
          <w:tcPr>
            <w:tcW w:w="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B7E5FF"/>
          </w:tcPr>
          <w:p>
            <w:pPr>
              <w:spacing w:after="0"/>
              <w:rPr>
                <w:sz w:val="12"/>
                <w:szCs w:val="12"/>
                <w:color w:val="auto"/>
              </w:rPr>
            </w:pPr>
          </w:p>
        </w:tc>
        <w:tc>
          <w:tcPr>
            <w:tcW w:w="42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w w:val="97"/>
              </w:rPr>
              <w:t>19,079</w:t>
            </w:r>
          </w:p>
        </w:tc>
        <w:tc>
          <w:tcPr>
            <w:tcW w:w="60" w:type="dxa"/>
            <w:vAlign w:val="bottom"/>
            <w:tcBorders>
              <w:bottom w:val="single" w:sz="8" w:color="B7E5FF"/>
            </w:tcBorders>
            <w:shd w:val="clear" w:color="auto" w:fill="B7E5FF"/>
          </w:tcPr>
          <w:p>
            <w:pPr>
              <w:spacing w:after="0"/>
              <w:rPr>
                <w:sz w:val="12"/>
                <w:szCs w:val="12"/>
                <w:color w:val="auto"/>
              </w:rPr>
            </w:pPr>
          </w:p>
        </w:tc>
        <w:tc>
          <w:tcPr>
            <w:tcW w:w="40" w:type="dxa"/>
            <w:vAlign w:val="bottom"/>
            <w:tcBorders>
              <w:bottom w:val="single" w:sz="8" w:color="B7E5FF"/>
            </w:tcBorders>
            <w:shd w:val="clear" w:color="auto" w:fill="B7E5FF"/>
          </w:tcPr>
          <w:p>
            <w:pPr>
              <w:spacing w:after="0"/>
              <w:rPr>
                <w:sz w:val="12"/>
                <w:szCs w:val="12"/>
                <w:color w:val="auto"/>
              </w:rPr>
            </w:pPr>
          </w:p>
        </w:tc>
        <w:tc>
          <w:tcPr>
            <w:tcW w:w="300" w:type="dxa"/>
            <w:vAlign w:val="bottom"/>
            <w:tcBorders>
              <w:bottom w:val="single" w:sz="8" w:color="auto"/>
            </w:tcBorders>
            <w:gridSpan w:val="2"/>
            <w:shd w:val="clear" w:color="auto" w:fill="B7E5FF"/>
          </w:tcPr>
          <w:p>
            <w:pPr>
              <w:jc w:val="right"/>
              <w:ind w:right="160"/>
              <w:spacing w:after="0" w:line="133" w:lineRule="exact"/>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14,634</w:t>
            </w:r>
          </w:p>
        </w:tc>
        <w:tc>
          <w:tcPr>
            <w:tcW w:w="40" w:type="dxa"/>
            <w:vAlign w:val="bottom"/>
            <w:tcBorders>
              <w:bottom w:val="single" w:sz="8" w:color="B7E5FF"/>
            </w:tcBorders>
            <w:shd w:val="clear" w:color="auto" w:fill="B7E5FF"/>
          </w:tcPr>
          <w:p>
            <w:pPr>
              <w:spacing w:after="0"/>
              <w:rPr>
                <w:sz w:val="12"/>
                <w:szCs w:val="12"/>
                <w:color w:val="auto"/>
              </w:rPr>
            </w:pPr>
          </w:p>
        </w:tc>
        <w:tc>
          <w:tcPr>
            <w:tcW w:w="60" w:type="dxa"/>
            <w:vAlign w:val="bottom"/>
            <w:tcBorders>
              <w:bottom w:val="single" w:sz="8" w:color="B7E5FF"/>
            </w:tcBorders>
            <w:shd w:val="clear" w:color="auto" w:fill="B7E5FF"/>
          </w:tcPr>
          <w:p>
            <w:pPr>
              <w:spacing w:after="0"/>
              <w:rPr>
                <w:sz w:val="12"/>
                <w:szCs w:val="12"/>
                <w:color w:val="auto"/>
              </w:rPr>
            </w:pPr>
          </w:p>
        </w:tc>
        <w:tc>
          <w:tcPr>
            <w:tcW w:w="280" w:type="dxa"/>
            <w:vAlign w:val="bottom"/>
            <w:tcBorders>
              <w:bottom w:val="single" w:sz="8" w:color="auto"/>
            </w:tcBorders>
            <w:gridSpan w:val="2"/>
            <w:shd w:val="clear" w:color="auto" w:fill="B7E5FF"/>
          </w:tcPr>
          <w:p>
            <w:pPr>
              <w:jc w:val="right"/>
              <w:ind w:right="150"/>
              <w:spacing w:after="0" w:line="133" w:lineRule="exact"/>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2,120</w:t>
            </w:r>
          </w:p>
        </w:tc>
        <w:tc>
          <w:tcPr>
            <w:tcW w:w="20" w:type="dxa"/>
            <w:vAlign w:val="bottom"/>
            <w:tcBorders>
              <w:bottom w:val="single" w:sz="8" w:color="B7E5FF"/>
            </w:tcBorders>
            <w:shd w:val="clear" w:color="auto" w:fill="B7E5FF"/>
          </w:tcPr>
          <w:p>
            <w:pPr>
              <w:spacing w:after="0"/>
              <w:rPr>
                <w:sz w:val="12"/>
                <w:szCs w:val="12"/>
                <w:color w:val="auto"/>
              </w:rPr>
            </w:pPr>
          </w:p>
        </w:tc>
        <w:tc>
          <w:tcPr>
            <w:tcW w:w="100" w:type="dxa"/>
            <w:vAlign w:val="bottom"/>
            <w:tcBorders>
              <w:bottom w:val="single" w:sz="8" w:color="B7E5FF"/>
            </w:tcBorders>
            <w:shd w:val="clear" w:color="auto" w:fill="B7E5FF"/>
          </w:tcPr>
          <w:p>
            <w:pPr>
              <w:spacing w:after="0"/>
              <w:rPr>
                <w:sz w:val="12"/>
                <w:szCs w:val="12"/>
                <w:color w:val="auto"/>
              </w:rPr>
            </w:pPr>
          </w:p>
        </w:tc>
        <w:tc>
          <w:tcPr>
            <w:tcW w:w="440" w:type="dxa"/>
            <w:vAlign w:val="bottom"/>
            <w:tcBorders>
              <w:bottom w:val="single" w:sz="8" w:color="auto"/>
            </w:tcBorders>
            <w:gridSpan w:val="2"/>
            <w:shd w:val="clear" w:color="auto" w:fill="B7E5FF"/>
          </w:tcPr>
          <w:p>
            <w:pPr>
              <w:jc w:val="right"/>
              <w:ind w:right="310"/>
              <w:spacing w:after="0" w:line="133" w:lineRule="exact"/>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83,296</w:t>
            </w:r>
          </w:p>
        </w:tc>
      </w:tr>
      <w:tr>
        <w:trPr>
          <w:trHeight w:val="203"/>
        </w:trPr>
        <w:tc>
          <w:tcPr>
            <w:tcW w:w="7520" w:type="dxa"/>
            <w:vAlign w:val="bottom"/>
            <w:gridSpan w:val="11"/>
          </w:tcPr>
          <w:p>
            <w:pPr>
              <w:jc w:val="right"/>
              <w:spacing w:after="0"/>
              <w:rPr>
                <w:sz w:val="20"/>
                <w:szCs w:val="20"/>
                <w:color w:val="auto"/>
              </w:rPr>
            </w:pPr>
            <w:r>
              <w:rPr>
                <w:rFonts w:ascii="Arial" w:cs="Arial" w:eastAsia="Arial" w:hAnsi="Arial"/>
                <w:sz w:val="12"/>
                <w:szCs w:val="12"/>
                <w:color w:val="auto"/>
                <w:w w:val="92"/>
              </w:rPr>
              <w:t>Gross carrying amounts and accumulated amortization for definite-lived intangible assets as of June 30, 2019 and December 31, 2018 were as follows:</w:t>
            </w: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44"/>
        </w:trPr>
        <w:tc>
          <w:tcPr>
            <w:tcW w:w="4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60" w:type="dxa"/>
            <w:vAlign w:val="bottom"/>
            <w:gridSpan w:val="8"/>
          </w:tcPr>
          <w:p>
            <w:pPr>
              <w:ind w:left="140"/>
              <w:spacing w:after="0"/>
              <w:rPr>
                <w:sz w:val="20"/>
                <w:szCs w:val="20"/>
                <w:color w:val="auto"/>
              </w:rPr>
            </w:pPr>
            <w:r>
              <w:rPr>
                <w:rFonts w:ascii="Arial" w:cs="Arial" w:eastAsia="Arial" w:hAnsi="Arial"/>
                <w:sz w:val="12"/>
                <w:szCs w:val="12"/>
                <w:b w:val="1"/>
                <w:bCs w:val="1"/>
                <w:color w:val="auto"/>
              </w:rPr>
              <w:t>Gross Carrying</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5"/>
          </w:tcPr>
          <w:p>
            <w:pPr>
              <w:jc w:val="right"/>
              <w:ind w:right="70"/>
              <w:spacing w:after="0"/>
              <w:rPr>
                <w:sz w:val="20"/>
                <w:szCs w:val="20"/>
                <w:color w:val="auto"/>
              </w:rPr>
            </w:pPr>
            <w:r>
              <w:rPr>
                <w:rFonts w:ascii="Arial" w:cs="Arial" w:eastAsia="Arial" w:hAnsi="Arial"/>
                <w:sz w:val="12"/>
                <w:szCs w:val="12"/>
                <w:b w:val="1"/>
                <w:bCs w:val="1"/>
                <w:color w:val="auto"/>
              </w:rPr>
              <w:t>Accumulated</w:t>
            </w:r>
          </w:p>
        </w:tc>
        <w:tc>
          <w:tcPr>
            <w:tcW w:w="920" w:type="dxa"/>
            <w:vAlign w:val="bottom"/>
          </w:tcPr>
          <w:p>
            <w:pPr>
              <w:spacing w:after="0"/>
              <w:rPr>
                <w:sz w:val="12"/>
                <w:szCs w:val="12"/>
                <w:color w:val="auto"/>
              </w:rPr>
            </w:pPr>
          </w:p>
        </w:tc>
      </w:tr>
      <w:tr>
        <w:trPr>
          <w:trHeight w:val="157"/>
        </w:trPr>
        <w:tc>
          <w:tcPr>
            <w:tcW w:w="4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2"/>
                <w:szCs w:val="12"/>
                <w:b w:val="1"/>
                <w:bCs w:val="1"/>
                <w:color w:val="auto"/>
              </w:rPr>
              <w:t>Amount</w:t>
            </w:r>
          </w:p>
        </w:tc>
        <w:tc>
          <w:tcPr>
            <w:tcW w:w="10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2"/>
                <w:szCs w:val="12"/>
                <w:b w:val="1"/>
                <w:bCs w:val="1"/>
                <w:color w:val="auto"/>
              </w:rPr>
              <w:t>Amortization</w:t>
            </w:r>
          </w:p>
        </w:tc>
        <w:tc>
          <w:tcPr>
            <w:tcW w:w="920" w:type="dxa"/>
            <w:vAlign w:val="bottom"/>
            <w:tcBorders>
              <w:bottom w:val="single" w:sz="8" w:color="auto"/>
            </w:tcBorders>
          </w:tcPr>
          <w:p>
            <w:pPr>
              <w:spacing w:after="0"/>
              <w:rPr>
                <w:sz w:val="13"/>
                <w:szCs w:val="13"/>
                <w:color w:val="auto"/>
              </w:rPr>
            </w:pPr>
          </w:p>
        </w:tc>
      </w:tr>
      <w:tr>
        <w:trPr>
          <w:trHeight w:val="133"/>
        </w:trPr>
        <w:tc>
          <w:tcPr>
            <w:tcW w:w="4360" w:type="dxa"/>
            <w:vAlign w:val="bottom"/>
            <w:tcBorders>
              <w:bottom w:val="single" w:sz="8" w:color="B7E5FF"/>
            </w:tcBorders>
          </w:tcPr>
          <w:p>
            <w:pPr>
              <w:spacing w:after="0"/>
              <w:rPr>
                <w:sz w:val="11"/>
                <w:szCs w:val="11"/>
                <w:color w:val="auto"/>
              </w:rPr>
            </w:pPr>
          </w:p>
        </w:tc>
        <w:tc>
          <w:tcPr>
            <w:tcW w:w="920" w:type="dxa"/>
            <w:vAlign w:val="bottom"/>
            <w:tcBorders>
              <w:bottom w:val="single" w:sz="8" w:color="B7E5FF"/>
            </w:tcBorders>
          </w:tcPr>
          <w:p>
            <w:pPr>
              <w:spacing w:after="0"/>
              <w:rPr>
                <w:sz w:val="11"/>
                <w:szCs w:val="11"/>
                <w:color w:val="auto"/>
              </w:rPr>
            </w:pPr>
          </w:p>
        </w:tc>
        <w:tc>
          <w:tcPr>
            <w:tcW w:w="400" w:type="dxa"/>
            <w:vAlign w:val="bottom"/>
            <w:tcBorders>
              <w:bottom w:val="single" w:sz="8" w:color="B7E5FF"/>
            </w:tcBorders>
          </w:tcPr>
          <w:p>
            <w:pPr>
              <w:spacing w:after="0"/>
              <w:rPr>
                <w:sz w:val="11"/>
                <w:szCs w:val="11"/>
                <w:color w:val="auto"/>
              </w:rPr>
            </w:pPr>
          </w:p>
        </w:tc>
        <w:tc>
          <w:tcPr>
            <w:tcW w:w="120" w:type="dxa"/>
            <w:vAlign w:val="bottom"/>
            <w:tcBorders>
              <w:bottom w:val="single" w:sz="8" w:color="B7E5FF"/>
            </w:tcBorders>
          </w:tcPr>
          <w:p>
            <w:pPr>
              <w:spacing w:after="0"/>
              <w:rPr>
                <w:sz w:val="11"/>
                <w:szCs w:val="11"/>
                <w:color w:val="auto"/>
              </w:rPr>
            </w:pPr>
          </w:p>
        </w:tc>
        <w:tc>
          <w:tcPr>
            <w:tcW w:w="80" w:type="dxa"/>
            <w:vAlign w:val="bottom"/>
            <w:tcBorders>
              <w:bottom w:val="single" w:sz="8" w:color="B7E5FF"/>
            </w:tcBorders>
          </w:tcPr>
          <w:p>
            <w:pPr>
              <w:spacing w:after="0"/>
              <w:rPr>
                <w:sz w:val="11"/>
                <w:szCs w:val="11"/>
                <w:color w:val="auto"/>
              </w:rPr>
            </w:pPr>
          </w:p>
        </w:tc>
        <w:tc>
          <w:tcPr>
            <w:tcW w:w="820" w:type="dxa"/>
            <w:vAlign w:val="bottom"/>
            <w:tcBorders>
              <w:bottom w:val="single" w:sz="8" w:color="auto"/>
            </w:tcBorders>
          </w:tcPr>
          <w:p>
            <w:pPr>
              <w:jc w:val="right"/>
              <w:ind w:right="5"/>
              <w:spacing w:after="0" w:line="133" w:lineRule="exact"/>
              <w:rPr>
                <w:sz w:val="20"/>
                <w:szCs w:val="20"/>
                <w:color w:val="auto"/>
              </w:rPr>
            </w:pPr>
            <w:r>
              <w:rPr>
                <w:rFonts w:ascii="Arial" w:cs="Arial" w:eastAsia="Arial" w:hAnsi="Arial"/>
                <w:sz w:val="12"/>
                <w:szCs w:val="12"/>
                <w:b w:val="1"/>
                <w:bCs w:val="1"/>
                <w:color w:val="auto"/>
              </w:rPr>
              <w:t>2019</w:t>
            </w:r>
          </w:p>
        </w:tc>
        <w:tc>
          <w:tcPr>
            <w:tcW w:w="4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B7E5FF"/>
            </w:tcBorders>
          </w:tcPr>
          <w:p>
            <w:pPr>
              <w:spacing w:after="0"/>
              <w:rPr>
                <w:sz w:val="11"/>
                <w:szCs w:val="11"/>
                <w:color w:val="auto"/>
              </w:rPr>
            </w:pPr>
          </w:p>
        </w:tc>
        <w:tc>
          <w:tcPr>
            <w:tcW w:w="60" w:type="dxa"/>
            <w:vAlign w:val="bottom"/>
            <w:tcBorders>
              <w:bottom w:val="single" w:sz="8" w:color="B7E5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440"/>
              <w:spacing w:after="0" w:line="133" w:lineRule="exact"/>
              <w:rPr>
                <w:sz w:val="20"/>
                <w:szCs w:val="20"/>
                <w:color w:val="auto"/>
              </w:rPr>
            </w:pPr>
            <w:r>
              <w:rPr>
                <w:rFonts w:ascii="Arial" w:cs="Arial" w:eastAsia="Arial" w:hAnsi="Arial"/>
                <w:sz w:val="12"/>
                <w:szCs w:val="12"/>
                <w:b w:val="1"/>
                <w:bCs w:val="1"/>
                <w:color w:val="auto"/>
              </w:rPr>
              <w:t>2018</w:t>
            </w: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B7E5FF"/>
            </w:tcBorders>
          </w:tcPr>
          <w:p>
            <w:pPr>
              <w:spacing w:after="0"/>
              <w:rPr>
                <w:sz w:val="11"/>
                <w:szCs w:val="11"/>
                <w:color w:val="auto"/>
              </w:rPr>
            </w:pPr>
          </w:p>
        </w:tc>
        <w:tc>
          <w:tcPr>
            <w:tcW w:w="60" w:type="dxa"/>
            <w:vAlign w:val="bottom"/>
            <w:tcBorders>
              <w:bottom w:val="single" w:sz="8" w:color="B7E5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60"/>
              <w:spacing w:after="0" w:line="133" w:lineRule="exact"/>
              <w:rPr>
                <w:sz w:val="20"/>
                <w:szCs w:val="20"/>
                <w:color w:val="auto"/>
              </w:rPr>
            </w:pPr>
            <w:r>
              <w:rPr>
                <w:rFonts w:ascii="Arial" w:cs="Arial" w:eastAsia="Arial" w:hAnsi="Arial"/>
                <w:sz w:val="12"/>
                <w:szCs w:val="12"/>
                <w:b w:val="1"/>
                <w:bCs w:val="1"/>
                <w:color w:val="auto"/>
              </w:rPr>
              <w:t>2019</w:t>
            </w: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B7E5FF"/>
            </w:tcBorders>
          </w:tcPr>
          <w:p>
            <w:pPr>
              <w:spacing w:after="0"/>
              <w:rPr>
                <w:sz w:val="11"/>
                <w:szCs w:val="11"/>
                <w:color w:val="auto"/>
              </w:rPr>
            </w:pPr>
          </w:p>
        </w:tc>
        <w:tc>
          <w:tcPr>
            <w:tcW w:w="20" w:type="dxa"/>
            <w:vAlign w:val="bottom"/>
            <w:tcBorders>
              <w:bottom w:val="single" w:sz="8" w:color="B7E5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500"/>
              <w:spacing w:after="0" w:line="133" w:lineRule="exact"/>
              <w:rPr>
                <w:sz w:val="20"/>
                <w:szCs w:val="20"/>
                <w:color w:val="auto"/>
              </w:rPr>
            </w:pPr>
            <w:r>
              <w:rPr>
                <w:rFonts w:ascii="Arial" w:cs="Arial" w:eastAsia="Arial" w:hAnsi="Arial"/>
                <w:sz w:val="12"/>
                <w:szCs w:val="12"/>
                <w:b w:val="1"/>
                <w:bCs w:val="1"/>
                <w:color w:val="auto"/>
              </w:rPr>
              <w:t>2018</w:t>
            </w:r>
          </w:p>
        </w:tc>
      </w:tr>
      <w:tr>
        <w:trPr>
          <w:trHeight w:val="133"/>
        </w:trPr>
        <w:tc>
          <w:tcPr>
            <w:tcW w:w="4360" w:type="dxa"/>
            <w:vAlign w:val="bottom"/>
            <w:shd w:val="clear" w:color="auto" w:fill="B7E5FF"/>
          </w:tcPr>
          <w:p>
            <w:pPr>
              <w:spacing w:after="0" w:line="133" w:lineRule="exact"/>
              <w:rPr>
                <w:sz w:val="20"/>
                <w:szCs w:val="20"/>
                <w:color w:val="auto"/>
              </w:rPr>
            </w:pPr>
            <w:r>
              <w:rPr>
                <w:rFonts w:ascii="Arial" w:cs="Arial" w:eastAsia="Arial" w:hAnsi="Arial"/>
                <w:sz w:val="12"/>
                <w:szCs w:val="12"/>
                <w:color w:val="auto"/>
              </w:rPr>
              <w:t>Customer lists and rights to sell</w:t>
            </w:r>
          </w:p>
        </w:tc>
        <w:tc>
          <w:tcPr>
            <w:tcW w:w="920" w:type="dxa"/>
            <w:vAlign w:val="bottom"/>
            <w:shd w:val="clear" w:color="auto" w:fill="B7E5FF"/>
          </w:tcPr>
          <w:p>
            <w:pPr>
              <w:spacing w:after="0"/>
              <w:rPr>
                <w:sz w:val="11"/>
                <w:szCs w:val="11"/>
                <w:color w:val="auto"/>
              </w:rPr>
            </w:pPr>
          </w:p>
        </w:tc>
        <w:tc>
          <w:tcPr>
            <w:tcW w:w="400" w:type="dxa"/>
            <w:vAlign w:val="bottom"/>
            <w:shd w:val="clear" w:color="auto" w:fill="B7E5FF"/>
          </w:tcPr>
          <w:p>
            <w:pPr>
              <w:spacing w:after="0"/>
              <w:rPr>
                <w:sz w:val="11"/>
                <w:szCs w:val="11"/>
                <w:color w:val="auto"/>
              </w:rPr>
            </w:pPr>
          </w:p>
        </w:tc>
        <w:tc>
          <w:tcPr>
            <w:tcW w:w="120" w:type="dxa"/>
            <w:vAlign w:val="bottom"/>
            <w:shd w:val="clear" w:color="auto" w:fill="B7E5FF"/>
          </w:tcPr>
          <w:p>
            <w:pPr>
              <w:spacing w:after="0"/>
              <w:rPr>
                <w:sz w:val="11"/>
                <w:szCs w:val="11"/>
                <w:color w:val="auto"/>
              </w:rPr>
            </w:pPr>
          </w:p>
        </w:tc>
        <w:tc>
          <w:tcPr>
            <w:tcW w:w="80" w:type="dxa"/>
            <w:vAlign w:val="bottom"/>
            <w:shd w:val="clear" w:color="auto" w:fill="B7E5FF"/>
          </w:tcPr>
          <w:p>
            <w:pPr>
              <w:spacing w:after="0"/>
              <w:rPr>
                <w:sz w:val="11"/>
                <w:szCs w:val="11"/>
                <w:color w:val="auto"/>
              </w:rPr>
            </w:pPr>
          </w:p>
        </w:tc>
        <w:tc>
          <w:tcPr>
            <w:tcW w:w="820" w:type="dxa"/>
            <w:vAlign w:val="bottom"/>
            <w:shd w:val="clear" w:color="auto" w:fill="B7E5FF"/>
          </w:tcPr>
          <w:p>
            <w:pPr>
              <w:jc w:val="right"/>
              <w:ind w:right="705"/>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B7E5FF"/>
          </w:tcPr>
          <w:p>
            <w:pPr>
              <w:jc w:val="right"/>
              <w:ind w:right="40"/>
              <w:spacing w:after="0" w:line="133" w:lineRule="exact"/>
              <w:rPr>
                <w:sz w:val="20"/>
                <w:szCs w:val="20"/>
                <w:color w:val="auto"/>
              </w:rPr>
            </w:pPr>
            <w:r>
              <w:rPr>
                <w:rFonts w:ascii="Arial" w:cs="Arial" w:eastAsia="Arial" w:hAnsi="Arial"/>
                <w:sz w:val="12"/>
                <w:szCs w:val="12"/>
                <w:color w:val="auto"/>
              </w:rPr>
              <w:t>73,554</w:t>
            </w:r>
          </w:p>
        </w:tc>
        <w:tc>
          <w:tcPr>
            <w:tcW w:w="40" w:type="dxa"/>
            <w:vAlign w:val="bottom"/>
            <w:shd w:val="clear" w:color="auto" w:fill="B7E5FF"/>
          </w:tcPr>
          <w:p>
            <w:pPr>
              <w:spacing w:after="0"/>
              <w:rPr>
                <w:sz w:val="11"/>
                <w:szCs w:val="11"/>
                <w:color w:val="auto"/>
              </w:rPr>
            </w:pPr>
          </w:p>
        </w:tc>
        <w:tc>
          <w:tcPr>
            <w:tcW w:w="60" w:type="dxa"/>
            <w:vAlign w:val="bottom"/>
            <w:shd w:val="clear" w:color="auto" w:fill="B7E5FF"/>
          </w:tcPr>
          <w:p>
            <w:pPr>
              <w:spacing w:after="0"/>
              <w:rPr>
                <w:sz w:val="11"/>
                <w:szCs w:val="11"/>
                <w:color w:val="auto"/>
              </w:rPr>
            </w:pPr>
          </w:p>
        </w:tc>
        <w:tc>
          <w:tcPr>
            <w:tcW w:w="240" w:type="dxa"/>
            <w:vAlign w:val="bottom"/>
            <w:shd w:val="clear" w:color="auto" w:fill="B7E5FF"/>
          </w:tcPr>
          <w:p>
            <w:pPr>
              <w:jc w:val="right"/>
              <w:ind w:right="100"/>
              <w:spacing w:after="0" w:line="133" w:lineRule="exact"/>
              <w:rPr>
                <w:sz w:val="20"/>
                <w:szCs w:val="20"/>
                <w:color w:val="auto"/>
              </w:rPr>
            </w:pPr>
            <w:r>
              <w:rPr>
                <w:rFonts w:ascii="Arial" w:cs="Arial" w:eastAsia="Arial" w:hAnsi="Arial"/>
                <w:sz w:val="12"/>
                <w:szCs w:val="12"/>
                <w:color w:val="auto"/>
                <w:w w:val="89"/>
              </w:rPr>
              <w:t>$</w:t>
            </w:r>
          </w:p>
        </w:tc>
        <w:tc>
          <w:tcPr>
            <w:tcW w:w="1080" w:type="dxa"/>
            <w:vAlign w:val="bottom"/>
            <w:gridSpan w:val="2"/>
            <w:shd w:val="clear" w:color="auto" w:fill="B7E5FF"/>
          </w:tcPr>
          <w:p>
            <w:pPr>
              <w:jc w:val="right"/>
              <w:ind w:right="40"/>
              <w:spacing w:after="0" w:line="133" w:lineRule="exact"/>
              <w:rPr>
                <w:sz w:val="20"/>
                <w:szCs w:val="20"/>
                <w:color w:val="auto"/>
              </w:rPr>
            </w:pPr>
            <w:r>
              <w:rPr>
                <w:rFonts w:ascii="Arial" w:cs="Arial" w:eastAsia="Arial" w:hAnsi="Arial"/>
                <w:sz w:val="12"/>
                <w:szCs w:val="12"/>
                <w:color w:val="auto"/>
              </w:rPr>
              <w:t>74,989</w:t>
            </w:r>
          </w:p>
        </w:tc>
        <w:tc>
          <w:tcPr>
            <w:tcW w:w="60" w:type="dxa"/>
            <w:vAlign w:val="bottom"/>
            <w:shd w:val="clear" w:color="auto" w:fill="B7E5FF"/>
          </w:tcPr>
          <w:p>
            <w:pPr>
              <w:spacing w:after="0"/>
              <w:rPr>
                <w:sz w:val="11"/>
                <w:szCs w:val="11"/>
                <w:color w:val="auto"/>
              </w:rPr>
            </w:pPr>
          </w:p>
        </w:tc>
        <w:tc>
          <w:tcPr>
            <w:tcW w:w="60" w:type="dxa"/>
            <w:vAlign w:val="bottom"/>
            <w:shd w:val="clear" w:color="auto" w:fill="B7E5FF"/>
          </w:tcPr>
          <w:p>
            <w:pPr>
              <w:spacing w:after="0"/>
              <w:rPr>
                <w:sz w:val="11"/>
                <w:szCs w:val="11"/>
                <w:color w:val="auto"/>
              </w:rPr>
            </w:pPr>
          </w:p>
        </w:tc>
        <w:tc>
          <w:tcPr>
            <w:tcW w:w="220" w:type="dxa"/>
            <w:vAlign w:val="bottom"/>
            <w:shd w:val="clear" w:color="auto" w:fill="B7E5FF"/>
          </w:tcPr>
          <w:p>
            <w:pPr>
              <w:jc w:val="right"/>
              <w:ind w:right="110"/>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30,541</w:t>
            </w:r>
          </w:p>
        </w:tc>
        <w:tc>
          <w:tcPr>
            <w:tcW w:w="20" w:type="dxa"/>
            <w:vAlign w:val="bottom"/>
            <w:shd w:val="clear" w:color="auto" w:fill="B7E5FF"/>
          </w:tcPr>
          <w:p>
            <w:pPr>
              <w:spacing w:after="0"/>
              <w:rPr>
                <w:sz w:val="11"/>
                <w:szCs w:val="11"/>
                <w:color w:val="auto"/>
              </w:rPr>
            </w:pPr>
          </w:p>
        </w:tc>
        <w:tc>
          <w:tcPr>
            <w:tcW w:w="100" w:type="dxa"/>
            <w:vAlign w:val="bottom"/>
            <w:shd w:val="clear" w:color="auto" w:fill="B7E5FF"/>
          </w:tcPr>
          <w:p>
            <w:pPr>
              <w:spacing w:after="0"/>
              <w:rPr>
                <w:sz w:val="11"/>
                <w:szCs w:val="11"/>
                <w:color w:val="auto"/>
              </w:rPr>
            </w:pPr>
          </w:p>
        </w:tc>
        <w:tc>
          <w:tcPr>
            <w:tcW w:w="20" w:type="dxa"/>
            <w:vAlign w:val="bottom"/>
            <w:shd w:val="clear" w:color="auto" w:fill="B7E5FF"/>
          </w:tcPr>
          <w:p>
            <w:pPr>
              <w:spacing w:after="0"/>
              <w:rPr>
                <w:sz w:val="11"/>
                <w:szCs w:val="11"/>
                <w:color w:val="auto"/>
              </w:rPr>
            </w:pPr>
          </w:p>
        </w:tc>
        <w:tc>
          <w:tcPr>
            <w:tcW w:w="420" w:type="dxa"/>
            <w:vAlign w:val="bottom"/>
            <w:shd w:val="clear" w:color="auto" w:fill="B7E5FF"/>
          </w:tcPr>
          <w:p>
            <w:pPr>
              <w:jc w:val="right"/>
              <w:ind w:right="31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29,587</w:t>
            </w:r>
          </w:p>
        </w:tc>
      </w:tr>
      <w:tr>
        <w:trPr>
          <w:trHeight w:val="153"/>
        </w:trPr>
        <w:tc>
          <w:tcPr>
            <w:tcW w:w="4360" w:type="dxa"/>
            <w:vAlign w:val="bottom"/>
          </w:tcPr>
          <w:p>
            <w:pPr>
              <w:spacing w:after="0"/>
              <w:rPr>
                <w:sz w:val="20"/>
                <w:szCs w:val="20"/>
                <w:color w:val="auto"/>
              </w:rPr>
            </w:pPr>
            <w:r>
              <w:rPr>
                <w:rFonts w:ascii="Arial" w:cs="Arial" w:eastAsia="Arial" w:hAnsi="Arial"/>
                <w:sz w:val="12"/>
                <w:szCs w:val="12"/>
                <w:color w:val="auto"/>
              </w:rPr>
              <w:t>Trademarks, formulations and product technology</w:t>
            </w: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33,264</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2"/>
                <w:szCs w:val="12"/>
                <w:color w:val="auto"/>
              </w:rPr>
              <w:t>33,275</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17,640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16,469</w:t>
            </w:r>
          </w:p>
        </w:tc>
      </w:tr>
      <w:tr>
        <w:trPr>
          <w:trHeight w:val="153"/>
        </w:trPr>
        <w:tc>
          <w:tcPr>
            <w:tcW w:w="4360" w:type="dxa"/>
            <w:vAlign w:val="bottom"/>
            <w:shd w:val="clear" w:color="auto" w:fill="B7E5FF"/>
          </w:tcPr>
          <w:p>
            <w:pPr>
              <w:spacing w:after="0"/>
              <w:rPr>
                <w:sz w:val="20"/>
                <w:szCs w:val="20"/>
                <w:color w:val="auto"/>
              </w:rPr>
            </w:pPr>
            <w:r>
              <w:rPr>
                <w:rFonts w:ascii="Arial" w:cs="Arial" w:eastAsia="Arial" w:hAnsi="Arial"/>
                <w:sz w:val="12"/>
                <w:szCs w:val="12"/>
                <w:color w:val="auto"/>
              </w:rPr>
              <w:t>Other</w:t>
            </w:r>
          </w:p>
        </w:tc>
        <w:tc>
          <w:tcPr>
            <w:tcW w:w="920" w:type="dxa"/>
            <w:vAlign w:val="bottom"/>
            <w:shd w:val="clear" w:color="auto" w:fill="B7E5FF"/>
          </w:tcPr>
          <w:p>
            <w:pPr>
              <w:spacing w:after="0"/>
              <w:rPr>
                <w:sz w:val="13"/>
                <w:szCs w:val="13"/>
                <w:color w:val="auto"/>
              </w:rPr>
            </w:pPr>
          </w:p>
        </w:tc>
        <w:tc>
          <w:tcPr>
            <w:tcW w:w="400" w:type="dxa"/>
            <w:vAlign w:val="bottom"/>
            <w:shd w:val="clear" w:color="auto" w:fill="B7E5FF"/>
          </w:tcPr>
          <w:p>
            <w:pPr>
              <w:spacing w:after="0"/>
              <w:rPr>
                <w:sz w:val="13"/>
                <w:szCs w:val="13"/>
                <w:color w:val="auto"/>
              </w:rPr>
            </w:pPr>
          </w:p>
        </w:tc>
        <w:tc>
          <w:tcPr>
            <w:tcW w:w="120" w:type="dxa"/>
            <w:vAlign w:val="bottom"/>
            <w:shd w:val="clear" w:color="auto" w:fill="B7E5FF"/>
          </w:tcPr>
          <w:p>
            <w:pPr>
              <w:spacing w:after="0"/>
              <w:rPr>
                <w:sz w:val="13"/>
                <w:szCs w:val="13"/>
                <w:color w:val="auto"/>
              </w:rPr>
            </w:pPr>
          </w:p>
        </w:tc>
        <w:tc>
          <w:tcPr>
            <w:tcW w:w="80" w:type="dxa"/>
            <w:vAlign w:val="bottom"/>
            <w:shd w:val="clear" w:color="auto" w:fill="B7E5FF"/>
          </w:tcPr>
          <w:p>
            <w:pPr>
              <w:spacing w:after="0"/>
              <w:rPr>
                <w:sz w:val="13"/>
                <w:szCs w:val="13"/>
                <w:color w:val="auto"/>
              </w:rPr>
            </w:pPr>
          </w:p>
        </w:tc>
        <w:tc>
          <w:tcPr>
            <w:tcW w:w="820" w:type="dxa"/>
            <w:vAlign w:val="bottom"/>
            <w:tcBorders>
              <w:bottom w:val="single" w:sz="8" w:color="auto"/>
            </w:tcBorders>
            <w:shd w:val="clear" w:color="auto" w:fill="B7E5FF"/>
          </w:tcPr>
          <w:p>
            <w:pPr>
              <w:spacing w:after="0"/>
              <w:rPr>
                <w:sz w:val="13"/>
                <w:szCs w:val="13"/>
                <w:color w:val="auto"/>
              </w:rPr>
            </w:pPr>
          </w:p>
        </w:tc>
        <w:tc>
          <w:tcPr>
            <w:tcW w:w="480" w:type="dxa"/>
            <w:vAlign w:val="bottom"/>
            <w:tcBorders>
              <w:bottom w:val="single" w:sz="8" w:color="auto"/>
            </w:tcBorders>
            <w:gridSpan w:val="2"/>
            <w:shd w:val="clear" w:color="auto" w:fill="B7E5FF"/>
          </w:tcPr>
          <w:p>
            <w:pPr>
              <w:jc w:val="right"/>
              <w:ind w:right="40"/>
              <w:spacing w:after="0"/>
              <w:rPr>
                <w:sz w:val="20"/>
                <w:szCs w:val="20"/>
                <w:color w:val="auto"/>
              </w:rPr>
            </w:pPr>
            <w:r>
              <w:rPr>
                <w:rFonts w:ascii="Arial" w:cs="Arial" w:eastAsia="Arial" w:hAnsi="Arial"/>
                <w:sz w:val="12"/>
                <w:szCs w:val="12"/>
                <w:color w:val="auto"/>
              </w:rPr>
              <w:t>5,842</w:t>
            </w:r>
          </w:p>
        </w:tc>
        <w:tc>
          <w:tcPr>
            <w:tcW w:w="40" w:type="dxa"/>
            <w:vAlign w:val="bottom"/>
            <w:shd w:val="clear" w:color="auto" w:fill="B7E5FF"/>
          </w:tcPr>
          <w:p>
            <w:pPr>
              <w:spacing w:after="0"/>
              <w:rPr>
                <w:sz w:val="13"/>
                <w:szCs w:val="13"/>
                <w:color w:val="auto"/>
              </w:rPr>
            </w:pPr>
          </w:p>
        </w:tc>
        <w:tc>
          <w:tcPr>
            <w:tcW w:w="60" w:type="dxa"/>
            <w:vAlign w:val="bottom"/>
            <w:shd w:val="clear" w:color="auto" w:fill="B7E5FF"/>
          </w:tcPr>
          <w:p>
            <w:pPr>
              <w:spacing w:after="0"/>
              <w:rPr>
                <w:sz w:val="13"/>
                <w:szCs w:val="13"/>
                <w:color w:val="auto"/>
              </w:rPr>
            </w:pPr>
          </w:p>
        </w:tc>
        <w:tc>
          <w:tcPr>
            <w:tcW w:w="240" w:type="dxa"/>
            <w:vAlign w:val="bottom"/>
            <w:tcBorders>
              <w:bottom w:val="single" w:sz="8" w:color="auto"/>
            </w:tcBorders>
            <w:shd w:val="clear" w:color="auto" w:fill="B7E5FF"/>
          </w:tcPr>
          <w:p>
            <w:pPr>
              <w:spacing w:after="0"/>
              <w:rPr>
                <w:sz w:val="13"/>
                <w:szCs w:val="13"/>
                <w:color w:val="auto"/>
              </w:rPr>
            </w:pPr>
          </w:p>
        </w:tc>
        <w:tc>
          <w:tcPr>
            <w:tcW w:w="1080" w:type="dxa"/>
            <w:vAlign w:val="bottom"/>
            <w:tcBorders>
              <w:bottom w:val="single" w:sz="8" w:color="auto"/>
            </w:tcBorders>
            <w:gridSpan w:val="2"/>
            <w:shd w:val="clear" w:color="auto" w:fill="B7E5FF"/>
          </w:tcPr>
          <w:p>
            <w:pPr>
              <w:jc w:val="right"/>
              <w:ind w:right="40"/>
              <w:spacing w:after="0"/>
              <w:rPr>
                <w:sz w:val="20"/>
                <w:szCs w:val="20"/>
                <w:color w:val="auto"/>
              </w:rPr>
            </w:pPr>
            <w:r>
              <w:rPr>
                <w:rFonts w:ascii="Arial" w:cs="Arial" w:eastAsia="Arial" w:hAnsi="Arial"/>
                <w:sz w:val="12"/>
                <w:szCs w:val="12"/>
                <w:color w:val="auto"/>
              </w:rPr>
              <w:t>5,840</w:t>
            </w:r>
          </w:p>
        </w:tc>
        <w:tc>
          <w:tcPr>
            <w:tcW w:w="60" w:type="dxa"/>
            <w:vAlign w:val="bottom"/>
            <w:shd w:val="clear" w:color="auto" w:fill="B7E5FF"/>
          </w:tcPr>
          <w:p>
            <w:pPr>
              <w:spacing w:after="0"/>
              <w:rPr>
                <w:sz w:val="13"/>
                <w:szCs w:val="13"/>
                <w:color w:val="auto"/>
              </w:rPr>
            </w:pPr>
          </w:p>
        </w:tc>
        <w:tc>
          <w:tcPr>
            <w:tcW w:w="60" w:type="dxa"/>
            <w:vAlign w:val="bottom"/>
            <w:shd w:val="clear" w:color="auto" w:fill="B7E5FF"/>
          </w:tcPr>
          <w:p>
            <w:pPr>
              <w:spacing w:after="0"/>
              <w:rPr>
                <w:sz w:val="13"/>
                <w:szCs w:val="13"/>
                <w:color w:val="auto"/>
              </w:rPr>
            </w:pPr>
          </w:p>
        </w:tc>
        <w:tc>
          <w:tcPr>
            <w:tcW w:w="220" w:type="dxa"/>
            <w:vAlign w:val="bottom"/>
            <w:tcBorders>
              <w:bottom w:val="single" w:sz="8" w:color="auto"/>
            </w:tcBorders>
            <w:shd w:val="clear" w:color="auto" w:fill="B7E5FF"/>
          </w:tcPr>
          <w:p>
            <w:pPr>
              <w:spacing w:after="0"/>
              <w:rPr>
                <w:sz w:val="13"/>
                <w:szCs w:val="13"/>
                <w:color w:val="auto"/>
              </w:rPr>
            </w:pPr>
          </w:p>
        </w:tc>
        <w:tc>
          <w:tcPr>
            <w:tcW w:w="10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5,724</w:t>
            </w:r>
          </w:p>
        </w:tc>
        <w:tc>
          <w:tcPr>
            <w:tcW w:w="20" w:type="dxa"/>
            <w:vAlign w:val="bottom"/>
            <w:tcBorders>
              <w:bottom w:val="single" w:sz="8" w:color="auto"/>
            </w:tcBorders>
            <w:shd w:val="clear" w:color="auto" w:fill="B7E5FF"/>
          </w:tcPr>
          <w:p>
            <w:pPr>
              <w:spacing w:after="0"/>
              <w:rPr>
                <w:sz w:val="13"/>
                <w:szCs w:val="13"/>
                <w:color w:val="auto"/>
              </w:rPr>
            </w:pPr>
          </w:p>
        </w:tc>
        <w:tc>
          <w:tcPr>
            <w:tcW w:w="100" w:type="dxa"/>
            <w:vAlign w:val="bottom"/>
            <w:shd w:val="clear" w:color="auto" w:fill="B7E5FF"/>
          </w:tcPr>
          <w:p>
            <w:pPr>
              <w:spacing w:after="0"/>
              <w:rPr>
                <w:sz w:val="13"/>
                <w:szCs w:val="13"/>
                <w:color w:val="auto"/>
              </w:rPr>
            </w:pPr>
          </w:p>
        </w:tc>
        <w:tc>
          <w:tcPr>
            <w:tcW w:w="20" w:type="dxa"/>
            <w:vAlign w:val="bottom"/>
            <w:shd w:val="clear" w:color="auto" w:fill="B7E5FF"/>
          </w:tcPr>
          <w:p>
            <w:pPr>
              <w:spacing w:after="0"/>
              <w:rPr>
                <w:sz w:val="13"/>
                <w:szCs w:val="13"/>
                <w:color w:val="auto"/>
              </w:rPr>
            </w:pPr>
          </w:p>
        </w:tc>
        <w:tc>
          <w:tcPr>
            <w:tcW w:w="420" w:type="dxa"/>
            <w:vAlign w:val="bottom"/>
            <w:tcBorders>
              <w:bottom w:val="single" w:sz="8" w:color="auto"/>
            </w:tcBorders>
            <w:shd w:val="clear" w:color="auto" w:fill="B7E5FF"/>
          </w:tcPr>
          <w:p>
            <w:pPr>
              <w:spacing w:after="0"/>
              <w:rPr>
                <w:sz w:val="13"/>
                <w:szCs w:val="13"/>
                <w:color w:val="auto"/>
              </w:rPr>
            </w:pPr>
          </w:p>
        </w:tc>
        <w:tc>
          <w:tcPr>
            <w:tcW w:w="9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5,566</w:t>
            </w:r>
          </w:p>
        </w:tc>
      </w:tr>
      <w:tr>
        <w:trPr>
          <w:trHeight w:val="140"/>
        </w:trPr>
        <w:tc>
          <w:tcPr>
            <w:tcW w:w="4360" w:type="dxa"/>
            <w:vAlign w:val="bottom"/>
          </w:tcPr>
          <w:p>
            <w:pPr>
              <w:spacing w:after="0" w:line="133" w:lineRule="exact"/>
              <w:rPr>
                <w:sz w:val="20"/>
                <w:szCs w:val="20"/>
                <w:color w:val="auto"/>
              </w:rPr>
            </w:pPr>
            <w:r>
              <w:rPr>
                <w:rFonts w:ascii="Arial" w:cs="Arial" w:eastAsia="Arial" w:hAnsi="Arial"/>
                <w:sz w:val="12"/>
                <w:szCs w:val="12"/>
                <w:color w:val="auto"/>
              </w:rPr>
              <w:t>Total definite-lived intangible assets</w:t>
            </w: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bottom w:val="single" w:sz="8" w:color="auto"/>
            </w:tcBorders>
          </w:tcPr>
          <w:p>
            <w:pPr>
              <w:jc w:val="right"/>
              <w:ind w:right="705"/>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gridSpan w:val="2"/>
          </w:tcPr>
          <w:p>
            <w:pPr>
              <w:jc w:val="right"/>
              <w:ind w:right="40"/>
              <w:spacing w:after="0" w:line="133" w:lineRule="exact"/>
              <w:rPr>
                <w:sz w:val="20"/>
                <w:szCs w:val="20"/>
                <w:color w:val="auto"/>
              </w:rPr>
            </w:pPr>
            <w:r>
              <w:rPr>
                <w:rFonts w:ascii="Arial" w:cs="Arial" w:eastAsia="Arial" w:hAnsi="Arial"/>
                <w:sz w:val="12"/>
                <w:szCs w:val="12"/>
                <w:color w:val="auto"/>
                <w:w w:val="96"/>
              </w:rPr>
              <w:t>112,660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bottom w:val="single" w:sz="8" w:color="auto"/>
            </w:tcBorders>
          </w:tcPr>
          <w:p>
            <w:pPr>
              <w:jc w:val="right"/>
              <w:ind w:right="100"/>
              <w:spacing w:after="0" w:line="133" w:lineRule="exact"/>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gridSpan w:val="2"/>
          </w:tcPr>
          <w:p>
            <w:pPr>
              <w:jc w:val="right"/>
              <w:ind w:right="40"/>
              <w:spacing w:after="0" w:line="133" w:lineRule="exact"/>
              <w:rPr>
                <w:sz w:val="20"/>
                <w:szCs w:val="20"/>
                <w:color w:val="auto"/>
              </w:rPr>
            </w:pPr>
            <w:r>
              <w:rPr>
                <w:rFonts w:ascii="Arial" w:cs="Arial" w:eastAsia="Arial" w:hAnsi="Arial"/>
                <w:sz w:val="12"/>
                <w:szCs w:val="12"/>
                <w:color w:val="auto"/>
              </w:rPr>
              <w:t>114,104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53,905</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51,622</w:t>
            </w:r>
          </w:p>
        </w:tc>
      </w:tr>
    </w:tbl>
    <w:p>
      <w:pPr>
        <w:spacing w:after="0" w:line="63" w:lineRule="exact"/>
        <w:rPr>
          <w:sz w:val="20"/>
          <w:szCs w:val="20"/>
          <w:color w:val="auto"/>
        </w:rPr>
      </w:pPr>
    </w:p>
    <w:p>
      <w:pPr>
        <w:ind w:right="380" w:firstLine="216"/>
        <w:spacing w:after="0" w:line="276" w:lineRule="auto"/>
        <w:rPr>
          <w:sz w:val="20"/>
          <w:szCs w:val="20"/>
          <w:color w:val="auto"/>
        </w:rPr>
      </w:pPr>
      <w:r>
        <w:rPr>
          <w:rFonts w:ascii="Arial" w:cs="Arial" w:eastAsia="Arial" w:hAnsi="Arial"/>
          <w:sz w:val="12"/>
          <w:szCs w:val="12"/>
          <w:color w:val="auto"/>
        </w:rPr>
        <w:t>The Company recorded $1.8 million and $3.6 million of amortization expense for the three and six months ended June 30, 2019, respectively. Comparatively, the Company recorded $1.8 million and $3.7 million of amortization expense for the three and six months ended June 30, 2018, respectively. Estimated annual aggregate amortization expense for the current year and subsequent five years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860" w:type="dxa"/>
            <w:vAlign w:val="bottom"/>
          </w:tcPr>
          <w:p>
            <w:pPr>
              <w:spacing w:after="0"/>
              <w:rPr>
                <w:sz w:val="13"/>
                <w:szCs w:val="13"/>
                <w:color w:val="auto"/>
              </w:rPr>
            </w:pPr>
          </w:p>
        </w:tc>
        <w:tc>
          <w:tcPr>
            <w:tcW w:w="2340" w:type="dxa"/>
            <w:vAlign w:val="bottom"/>
            <w:shd w:val="clear" w:color="auto" w:fill="B7E5FF"/>
          </w:tcPr>
          <w:p>
            <w:pPr>
              <w:ind w:left="20"/>
              <w:spacing w:after="0"/>
              <w:rPr>
                <w:sz w:val="20"/>
                <w:szCs w:val="20"/>
                <w:color w:val="auto"/>
              </w:rPr>
            </w:pPr>
            <w:r>
              <w:rPr>
                <w:rFonts w:ascii="Arial" w:cs="Arial" w:eastAsia="Arial" w:hAnsi="Arial"/>
                <w:sz w:val="12"/>
                <w:szCs w:val="12"/>
                <w:color w:val="auto"/>
              </w:rPr>
              <w:t>For the year ended December 31, 2019</w:t>
            </w:r>
          </w:p>
        </w:tc>
        <w:tc>
          <w:tcPr>
            <w:tcW w:w="2600" w:type="dxa"/>
            <w:vAlign w:val="bottom"/>
            <w:shd w:val="clear" w:color="auto" w:fill="B7E5FF"/>
          </w:tcPr>
          <w:p>
            <w:pPr>
              <w:jc w:val="right"/>
              <w:ind w:right="440"/>
              <w:spacing w:after="0"/>
              <w:rPr>
                <w:sz w:val="20"/>
                <w:szCs w:val="20"/>
                <w:color w:val="auto"/>
              </w:rPr>
            </w:pPr>
            <w:r>
              <w:rPr>
                <w:rFonts w:ascii="Arial" w:cs="Arial" w:eastAsia="Arial" w:hAnsi="Arial"/>
                <w:sz w:val="12"/>
                <w:szCs w:val="12"/>
                <w:color w:val="auto"/>
              </w:rPr>
              <w:t>$</w:t>
            </w:r>
          </w:p>
        </w:tc>
        <w:tc>
          <w:tcPr>
            <w:tcW w:w="8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7,082</w:t>
            </w:r>
          </w:p>
        </w:tc>
        <w:tc>
          <w:tcPr>
            <w:tcW w:w="2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860" w:type="dxa"/>
            <w:vAlign w:val="bottom"/>
          </w:tcPr>
          <w:p>
            <w:pPr>
              <w:spacing w:after="0"/>
              <w:rPr>
                <w:sz w:val="13"/>
                <w:szCs w:val="13"/>
                <w:color w:val="auto"/>
              </w:rPr>
            </w:pPr>
          </w:p>
        </w:tc>
        <w:tc>
          <w:tcPr>
            <w:tcW w:w="2340" w:type="dxa"/>
            <w:vAlign w:val="bottom"/>
          </w:tcPr>
          <w:p>
            <w:pPr>
              <w:ind w:left="20"/>
              <w:spacing w:after="0"/>
              <w:rPr>
                <w:sz w:val="20"/>
                <w:szCs w:val="20"/>
                <w:color w:val="auto"/>
              </w:rPr>
            </w:pPr>
            <w:r>
              <w:rPr>
                <w:rFonts w:ascii="Arial" w:cs="Arial" w:eastAsia="Arial" w:hAnsi="Arial"/>
                <w:sz w:val="12"/>
                <w:szCs w:val="12"/>
                <w:color w:val="auto"/>
              </w:rPr>
              <w:t>For the year ended December 31, 2020</w:t>
            </w:r>
          </w:p>
        </w:tc>
        <w:tc>
          <w:tcPr>
            <w:tcW w:w="26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6,863</w:t>
            </w:r>
          </w:p>
        </w:tc>
        <w:tc>
          <w:tcPr>
            <w:tcW w:w="2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860" w:type="dxa"/>
            <w:vAlign w:val="bottom"/>
          </w:tcPr>
          <w:p>
            <w:pPr>
              <w:spacing w:after="0"/>
              <w:rPr>
                <w:sz w:val="13"/>
                <w:szCs w:val="13"/>
                <w:color w:val="auto"/>
              </w:rPr>
            </w:pPr>
          </w:p>
        </w:tc>
        <w:tc>
          <w:tcPr>
            <w:tcW w:w="2340" w:type="dxa"/>
            <w:vAlign w:val="bottom"/>
            <w:shd w:val="clear" w:color="auto" w:fill="B7E5FF"/>
          </w:tcPr>
          <w:p>
            <w:pPr>
              <w:ind w:left="20"/>
              <w:spacing w:after="0"/>
              <w:rPr>
                <w:sz w:val="20"/>
                <w:szCs w:val="20"/>
                <w:color w:val="auto"/>
              </w:rPr>
            </w:pPr>
            <w:r>
              <w:rPr>
                <w:rFonts w:ascii="Arial" w:cs="Arial" w:eastAsia="Arial" w:hAnsi="Arial"/>
                <w:sz w:val="12"/>
                <w:szCs w:val="12"/>
                <w:color w:val="auto"/>
              </w:rPr>
              <w:t>For the year ended December 31, 2021</w:t>
            </w:r>
          </w:p>
        </w:tc>
        <w:tc>
          <w:tcPr>
            <w:tcW w:w="2600" w:type="dxa"/>
            <w:vAlign w:val="bottom"/>
            <w:shd w:val="clear" w:color="auto" w:fill="B7E5FF"/>
          </w:tcPr>
          <w:p>
            <w:pPr>
              <w:spacing w:after="0"/>
              <w:rPr>
                <w:sz w:val="13"/>
                <w:szCs w:val="13"/>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6,514</w:t>
            </w:r>
          </w:p>
        </w:tc>
        <w:tc>
          <w:tcPr>
            <w:tcW w:w="2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860" w:type="dxa"/>
            <w:vAlign w:val="bottom"/>
          </w:tcPr>
          <w:p>
            <w:pPr>
              <w:spacing w:after="0"/>
              <w:rPr>
                <w:sz w:val="13"/>
                <w:szCs w:val="13"/>
                <w:color w:val="auto"/>
              </w:rPr>
            </w:pPr>
          </w:p>
        </w:tc>
        <w:tc>
          <w:tcPr>
            <w:tcW w:w="2340" w:type="dxa"/>
            <w:vAlign w:val="bottom"/>
          </w:tcPr>
          <w:p>
            <w:pPr>
              <w:ind w:left="20"/>
              <w:spacing w:after="0"/>
              <w:rPr>
                <w:sz w:val="20"/>
                <w:szCs w:val="20"/>
                <w:color w:val="auto"/>
              </w:rPr>
            </w:pPr>
            <w:r>
              <w:rPr>
                <w:rFonts w:ascii="Arial" w:cs="Arial" w:eastAsia="Arial" w:hAnsi="Arial"/>
                <w:sz w:val="12"/>
                <w:szCs w:val="12"/>
                <w:color w:val="auto"/>
              </w:rPr>
              <w:t>For the year ended December 31, 2022</w:t>
            </w:r>
          </w:p>
        </w:tc>
        <w:tc>
          <w:tcPr>
            <w:tcW w:w="26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6,359</w:t>
            </w:r>
          </w:p>
        </w:tc>
        <w:tc>
          <w:tcPr>
            <w:tcW w:w="2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860" w:type="dxa"/>
            <w:vAlign w:val="bottom"/>
          </w:tcPr>
          <w:p>
            <w:pPr>
              <w:spacing w:after="0"/>
              <w:rPr>
                <w:sz w:val="13"/>
                <w:szCs w:val="13"/>
                <w:color w:val="auto"/>
              </w:rPr>
            </w:pPr>
          </w:p>
        </w:tc>
        <w:tc>
          <w:tcPr>
            <w:tcW w:w="2340" w:type="dxa"/>
            <w:vAlign w:val="bottom"/>
            <w:shd w:val="clear" w:color="auto" w:fill="B7E5FF"/>
          </w:tcPr>
          <w:p>
            <w:pPr>
              <w:ind w:left="20"/>
              <w:spacing w:after="0"/>
              <w:rPr>
                <w:sz w:val="20"/>
                <w:szCs w:val="20"/>
                <w:color w:val="auto"/>
              </w:rPr>
            </w:pPr>
            <w:r>
              <w:rPr>
                <w:rFonts w:ascii="Arial" w:cs="Arial" w:eastAsia="Arial" w:hAnsi="Arial"/>
                <w:sz w:val="12"/>
                <w:szCs w:val="12"/>
                <w:color w:val="auto"/>
              </w:rPr>
              <w:t>For the year ended December 31, 2023</w:t>
            </w:r>
          </w:p>
        </w:tc>
        <w:tc>
          <w:tcPr>
            <w:tcW w:w="2600" w:type="dxa"/>
            <w:vAlign w:val="bottom"/>
            <w:shd w:val="clear" w:color="auto" w:fill="B7E5FF"/>
          </w:tcPr>
          <w:p>
            <w:pPr>
              <w:spacing w:after="0"/>
              <w:rPr>
                <w:sz w:val="13"/>
                <w:szCs w:val="13"/>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6,141</w:t>
            </w:r>
          </w:p>
        </w:tc>
        <w:tc>
          <w:tcPr>
            <w:tcW w:w="2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860" w:type="dxa"/>
            <w:vAlign w:val="bottom"/>
          </w:tcPr>
          <w:p>
            <w:pPr>
              <w:spacing w:after="0"/>
              <w:rPr>
                <w:sz w:val="13"/>
                <w:szCs w:val="13"/>
                <w:color w:val="auto"/>
              </w:rPr>
            </w:pPr>
          </w:p>
        </w:tc>
        <w:tc>
          <w:tcPr>
            <w:tcW w:w="2340" w:type="dxa"/>
            <w:vAlign w:val="bottom"/>
          </w:tcPr>
          <w:p>
            <w:pPr>
              <w:ind w:left="20"/>
              <w:spacing w:after="0"/>
              <w:rPr>
                <w:sz w:val="20"/>
                <w:szCs w:val="20"/>
                <w:color w:val="auto"/>
              </w:rPr>
            </w:pPr>
            <w:r>
              <w:rPr>
                <w:rFonts w:ascii="Arial" w:cs="Arial" w:eastAsia="Arial" w:hAnsi="Arial"/>
                <w:sz w:val="12"/>
                <w:szCs w:val="12"/>
                <w:color w:val="auto"/>
              </w:rPr>
              <w:t>For the year ended December 31, 2024</w:t>
            </w:r>
          </w:p>
        </w:tc>
        <w:tc>
          <w:tcPr>
            <w:tcW w:w="2600" w:type="dxa"/>
            <w:vAlign w:val="bottom"/>
            <w:vMerge w:val="restart"/>
          </w:tcPr>
          <w:p>
            <w:pPr>
              <w:jc w:val="right"/>
              <w:ind w:right="1940"/>
              <w:spacing w:after="0"/>
              <w:rPr>
                <w:sz w:val="20"/>
                <w:szCs w:val="20"/>
                <w:color w:val="auto"/>
              </w:rPr>
            </w:pPr>
            <w:r>
              <w:rPr>
                <w:rFonts w:ascii="Arial" w:cs="Arial" w:eastAsia="Arial" w:hAnsi="Arial"/>
                <w:sz w:val="12"/>
                <w:szCs w:val="12"/>
                <w:color w:val="auto"/>
              </w:rPr>
              <w:t>18</w:t>
            </w:r>
          </w:p>
        </w:tc>
        <w:tc>
          <w:tcPr>
            <w:tcW w:w="820" w:type="dxa"/>
            <w:vAlign w:val="bottom"/>
          </w:tcPr>
          <w:p>
            <w:pPr>
              <w:jc w:val="right"/>
              <w:spacing w:after="0"/>
              <w:rPr>
                <w:sz w:val="20"/>
                <w:szCs w:val="20"/>
                <w:color w:val="auto"/>
              </w:rPr>
            </w:pPr>
            <w:r>
              <w:rPr>
                <w:rFonts w:ascii="Arial" w:cs="Arial" w:eastAsia="Arial" w:hAnsi="Arial"/>
                <w:sz w:val="12"/>
                <w:szCs w:val="12"/>
                <w:color w:val="auto"/>
              </w:rPr>
              <w:t>5,715</w:t>
            </w:r>
          </w:p>
        </w:tc>
        <w:tc>
          <w:tcPr>
            <w:tcW w:w="2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8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60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2860" w:type="dxa"/>
            <w:vAlign w:val="bottom"/>
            <w:tcBorders>
              <w:bottom w:val="single" w:sz="8" w:color="9A9A9A"/>
            </w:tcBorders>
          </w:tcPr>
          <w:p>
            <w:pPr>
              <w:spacing w:after="0"/>
              <w:rPr>
                <w:sz w:val="6"/>
                <w:szCs w:val="6"/>
                <w:color w:val="auto"/>
              </w:rPr>
            </w:pPr>
          </w:p>
        </w:tc>
        <w:tc>
          <w:tcPr>
            <w:tcW w:w="2340" w:type="dxa"/>
            <w:vAlign w:val="bottom"/>
            <w:tcBorders>
              <w:bottom w:val="single" w:sz="8" w:color="9A9A9A"/>
            </w:tcBorders>
          </w:tcPr>
          <w:p>
            <w:pPr>
              <w:spacing w:after="0"/>
              <w:rPr>
                <w:sz w:val="6"/>
                <w:szCs w:val="6"/>
                <w:color w:val="auto"/>
              </w:rPr>
            </w:pPr>
          </w:p>
        </w:tc>
        <w:tc>
          <w:tcPr>
            <w:tcW w:w="26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28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-23495</wp:posOffset>
            </wp:positionV>
            <wp:extent cx="31115"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19" w:name="page20"/>
    <w:bookmarkEnd w:id="19"/>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Company has two indefinite-lived intangible assets totaling $1.1 million for trademarks as of June 30, 2019 and December 31, 2018.</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14 – Debt</w:t>
      </w:r>
    </w:p>
    <w:p>
      <w:pPr>
        <w:spacing w:after="0" w:line="82" w:lineRule="exact"/>
        <w:rPr>
          <w:sz w:val="20"/>
          <w:szCs w:val="20"/>
          <w:color w:val="auto"/>
        </w:rPr>
      </w:pPr>
    </w:p>
    <w:p>
      <w:pPr>
        <w:ind w:right="40" w:firstLine="216"/>
        <w:spacing w:after="0" w:line="281" w:lineRule="auto"/>
        <w:rPr>
          <w:sz w:val="20"/>
          <w:szCs w:val="20"/>
          <w:color w:val="auto"/>
        </w:rPr>
      </w:pPr>
      <w:r>
        <w:rPr>
          <w:rFonts w:ascii="Arial" w:cs="Arial" w:eastAsia="Arial" w:hAnsi="Arial"/>
          <w:sz w:val="11"/>
          <w:szCs w:val="11"/>
          <w:color w:val="auto"/>
        </w:rPr>
        <w:t>On August 1, 2019, the Company’s then existing credit facility (“the Old Credit Facility”) was replaced by the New Credit Facility. See Note 2 of Notes to Condensed Consolidated Financial Statements. The Old Credit Facility was a $300.0 million syndicated multicurrency revolving credit facility with a group of lenders. The maximum amount available under the Old Credit Facility could have been increased to $400.0 million at the Company’s option if the lenders agreed and the Company satisfied certain conditions. Borrowings under the Old Credit Facility generally bore interest at a base rate or LIBOR rate plus a margin. The Old Credit Facility had certain financial and other covenants, with the key financial covenant requiring that the Company’s consolidated total debt to adjusted EBITDA ratio could not exceed 3.50 to 1. As of June 30, 2019 and December 31, 2018, the Company’s total debt to adjusted EBITDA ratio was below 1.0 to 1, and the Company was also in compliance with all of its other covenants. During July 2019, the Old Credit Facility was amended and restated to extend the maturity date to August 31, 2020. As of June 30, 2019, the Company had no Old Credit Facility borrowings outstanding. As of December 31, 2018, the Company had Old Credit Facility borrowings of $24.0 million. The Company’s other debt obligations are primarily industrial development bonds and municipality-related loans, which totaled $12.5 million as of June 30, 2019 and $12.6 million as of December 31, 2018.</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15 – Equity</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tables present the changes in equity, net of tax, for the three and six months ended June 30, 2019 and 2018:</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0"/>
              </w:rPr>
              <w:t>Accumulated</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4"/>
        </w:trPr>
        <w:tc>
          <w:tcPr>
            <w:tcW w:w="4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6"/>
              </w:rPr>
              <w:t>Capital in</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3"/>
              </w:rPr>
              <w:t>Other</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4"/>
        </w:trPr>
        <w:tc>
          <w:tcPr>
            <w:tcW w:w="4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Common</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5"/>
              </w:rPr>
              <w:t>Excess of</w:t>
            </w:r>
          </w:p>
        </w:tc>
        <w:tc>
          <w:tcPr>
            <w:tcW w:w="140" w:type="dxa"/>
            <w:vAlign w:val="bottom"/>
          </w:tcPr>
          <w:p>
            <w:pPr>
              <w:spacing w:after="0"/>
              <w:rPr>
                <w:sz w:val="12"/>
                <w:szCs w:val="12"/>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Retained</w:t>
            </w:r>
          </w:p>
        </w:tc>
        <w:tc>
          <w:tcPr>
            <w:tcW w:w="220" w:type="dxa"/>
            <w:vAlign w:val="bottom"/>
          </w:tcPr>
          <w:p>
            <w:pPr>
              <w:spacing w:after="0"/>
              <w:rPr>
                <w:sz w:val="12"/>
                <w:szCs w:val="12"/>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6"/>
              </w:rPr>
              <w:t>Comprehensive</w:t>
            </w:r>
          </w:p>
        </w:tc>
        <w:tc>
          <w:tcPr>
            <w:tcW w:w="220" w:type="dxa"/>
            <w:vAlign w:val="bottom"/>
          </w:tcPr>
          <w:p>
            <w:pPr>
              <w:spacing w:after="0"/>
              <w:rPr>
                <w:sz w:val="12"/>
                <w:szCs w:val="12"/>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9"/>
              </w:rPr>
              <w:t>Noncontrolling</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7"/>
        </w:trPr>
        <w:tc>
          <w:tcPr>
            <w:tcW w:w="4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Stock</w:t>
            </w:r>
          </w:p>
        </w:tc>
        <w:tc>
          <w:tcPr>
            <w:tcW w:w="160" w:type="dxa"/>
            <w:vAlign w:val="bottom"/>
          </w:tcPr>
          <w:p>
            <w:pPr>
              <w:spacing w:after="0"/>
              <w:rPr>
                <w:sz w:val="13"/>
                <w:szCs w:val="13"/>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4"/>
              </w:rPr>
              <w:t>Par Value</w:t>
            </w:r>
          </w:p>
        </w:tc>
        <w:tc>
          <w:tcPr>
            <w:tcW w:w="14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Earnings</w:t>
            </w:r>
          </w:p>
        </w:tc>
        <w:tc>
          <w:tcPr>
            <w:tcW w:w="220" w:type="dxa"/>
            <w:vAlign w:val="bottom"/>
          </w:tcPr>
          <w:p>
            <w:pPr>
              <w:spacing w:after="0"/>
              <w:rPr>
                <w:sz w:val="13"/>
                <w:szCs w:val="13"/>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78"/>
              </w:rPr>
              <w:t>Loss</w:t>
            </w:r>
          </w:p>
        </w:tc>
        <w:tc>
          <w:tcPr>
            <w:tcW w:w="220" w:type="dxa"/>
            <w:vAlign w:val="bottom"/>
          </w:tcPr>
          <w:p>
            <w:pPr>
              <w:spacing w:after="0"/>
              <w:rPr>
                <w:sz w:val="13"/>
                <w:szCs w:val="13"/>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2"/>
              </w:rPr>
              <w:t>Interest</w:t>
            </w:r>
          </w:p>
        </w:tc>
        <w:tc>
          <w:tcPr>
            <w:tcW w:w="160" w:type="dxa"/>
            <w:vAlign w:val="bottom"/>
          </w:tcPr>
          <w:p>
            <w:pPr>
              <w:spacing w:after="0"/>
              <w:rPr>
                <w:sz w:val="13"/>
                <w:szCs w:val="13"/>
                <w:color w:val="auto"/>
              </w:rPr>
            </w:pPr>
          </w:p>
        </w:tc>
        <w:tc>
          <w:tcPr>
            <w:tcW w:w="640" w:type="dxa"/>
            <w:vAlign w:val="bottom"/>
          </w:tcPr>
          <w:p>
            <w:pPr>
              <w:jc w:val="right"/>
              <w:ind w:right="220"/>
              <w:spacing w:after="0"/>
              <w:rPr>
                <w:sz w:val="20"/>
                <w:szCs w:val="20"/>
                <w:color w:val="auto"/>
              </w:rPr>
            </w:pPr>
            <w:r>
              <w:rPr>
                <w:rFonts w:ascii="Arial" w:cs="Arial" w:eastAsia="Arial" w:hAnsi="Arial"/>
                <w:sz w:val="12"/>
                <w:szCs w:val="12"/>
                <w:b w:val="1"/>
                <w:bCs w:val="1"/>
                <w:color w:val="auto"/>
              </w:rPr>
              <w:t>Total</w:t>
            </w:r>
          </w:p>
        </w:tc>
      </w:tr>
      <w:tr>
        <w:trPr>
          <w:trHeight w:val="133"/>
        </w:trPr>
        <w:tc>
          <w:tcPr>
            <w:tcW w:w="4260" w:type="dxa"/>
            <w:vAlign w:val="bottom"/>
            <w:tcBorders>
              <w:top w:val="single" w:sz="8" w:color="B7E5FF"/>
            </w:tcBorders>
            <w:shd w:val="clear" w:color="auto" w:fill="B7E5FF"/>
          </w:tcPr>
          <w:p>
            <w:pPr>
              <w:spacing w:after="0" w:line="133" w:lineRule="exact"/>
              <w:rPr>
                <w:sz w:val="20"/>
                <w:szCs w:val="20"/>
                <w:color w:val="auto"/>
              </w:rPr>
            </w:pPr>
            <w:r>
              <w:rPr>
                <w:rFonts w:ascii="Arial" w:cs="Arial" w:eastAsia="Arial" w:hAnsi="Arial"/>
                <w:sz w:val="12"/>
                <w:szCs w:val="12"/>
                <w:b w:val="1"/>
                <w:bCs w:val="1"/>
                <w:color w:val="auto"/>
              </w:rPr>
              <w:t>Balance at March 31, 2019</w:t>
            </w:r>
          </w:p>
        </w:tc>
        <w:tc>
          <w:tcPr>
            <w:tcW w:w="140" w:type="dxa"/>
            <w:vAlign w:val="bottom"/>
            <w:tcBorders>
              <w:top w:val="single" w:sz="8" w:color="auto"/>
            </w:tcBorders>
            <w:shd w:val="clear" w:color="auto" w:fill="B7E5FF"/>
          </w:tcPr>
          <w:p>
            <w:pPr>
              <w:jc w:val="right"/>
              <w:ind w:right="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13,334</w:t>
            </w:r>
          </w:p>
        </w:tc>
        <w:tc>
          <w:tcPr>
            <w:tcW w:w="120" w:type="dxa"/>
            <w:vAlign w:val="bottom"/>
            <w:tcBorders>
              <w:top w:val="single" w:sz="8" w:color="B7E5FF"/>
            </w:tcBorders>
            <w:shd w:val="clear" w:color="auto" w:fill="B7E5FF"/>
          </w:tcPr>
          <w:p>
            <w:pPr>
              <w:spacing w:after="0"/>
              <w:rPr>
                <w:sz w:val="11"/>
                <w:szCs w:val="11"/>
                <w:color w:val="auto"/>
              </w:rPr>
            </w:pPr>
          </w:p>
        </w:tc>
        <w:tc>
          <w:tcPr>
            <w:tcW w:w="160" w:type="dxa"/>
            <w:vAlign w:val="bottom"/>
            <w:tcBorders>
              <w:top w:val="single" w:sz="8" w:color="auto"/>
            </w:tcBorders>
            <w:shd w:val="clear" w:color="auto" w:fill="B7E5FF"/>
          </w:tcPr>
          <w:p>
            <w:pPr>
              <w:jc w:val="right"/>
              <w:ind w:right="5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96,832</w:t>
            </w:r>
          </w:p>
        </w:tc>
        <w:tc>
          <w:tcPr>
            <w:tcW w:w="120" w:type="dxa"/>
            <w:vAlign w:val="bottom"/>
            <w:tcBorders>
              <w:top w:val="single" w:sz="8" w:color="B7E5FF"/>
            </w:tcBorders>
            <w:shd w:val="clear" w:color="auto" w:fill="B7E5FF"/>
          </w:tcPr>
          <w:p>
            <w:pPr>
              <w:spacing w:after="0"/>
              <w:rPr>
                <w:sz w:val="11"/>
                <w:szCs w:val="11"/>
                <w:color w:val="auto"/>
              </w:rPr>
            </w:pPr>
          </w:p>
        </w:tc>
        <w:tc>
          <w:tcPr>
            <w:tcW w:w="140" w:type="dxa"/>
            <w:vAlign w:val="bottom"/>
            <w:tcBorders>
              <w:top w:val="single" w:sz="8" w:color="auto"/>
            </w:tcBorders>
            <w:shd w:val="clear" w:color="auto" w:fill="B7E5FF"/>
          </w:tcPr>
          <w:p>
            <w:pPr>
              <w:jc w:val="right"/>
              <w:ind w:right="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413,992</w:t>
            </w:r>
          </w:p>
        </w:tc>
        <w:tc>
          <w:tcPr>
            <w:tcW w:w="100" w:type="dxa"/>
            <w:vAlign w:val="bottom"/>
            <w:tcBorders>
              <w:top w:val="single" w:sz="8" w:color="B7E5FF"/>
            </w:tcBorders>
            <w:shd w:val="clear" w:color="auto" w:fill="B7E5FF"/>
          </w:tcPr>
          <w:p>
            <w:pPr>
              <w:spacing w:after="0"/>
              <w:rPr>
                <w:sz w:val="11"/>
                <w:szCs w:val="11"/>
                <w:color w:val="auto"/>
              </w:rPr>
            </w:pPr>
          </w:p>
        </w:tc>
        <w:tc>
          <w:tcPr>
            <w:tcW w:w="220" w:type="dxa"/>
            <w:vAlign w:val="bottom"/>
            <w:tcBorders>
              <w:top w:val="single" w:sz="8" w:color="auto"/>
            </w:tcBorders>
            <w:shd w:val="clear" w:color="auto" w:fill="B7E5FF"/>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(79,167)</w:t>
            </w:r>
          </w:p>
        </w:tc>
        <w:tc>
          <w:tcPr>
            <w:tcW w:w="100" w:type="dxa"/>
            <w:vAlign w:val="bottom"/>
            <w:tcBorders>
              <w:top w:val="single" w:sz="8" w:color="B7E5FF"/>
            </w:tcBorders>
            <w:shd w:val="clear" w:color="auto" w:fill="B7E5FF"/>
          </w:tcPr>
          <w:p>
            <w:pPr>
              <w:spacing w:after="0"/>
              <w:rPr>
                <w:sz w:val="11"/>
                <w:szCs w:val="11"/>
                <w:color w:val="auto"/>
              </w:rPr>
            </w:pPr>
          </w:p>
        </w:tc>
        <w:tc>
          <w:tcPr>
            <w:tcW w:w="220" w:type="dxa"/>
            <w:vAlign w:val="bottom"/>
            <w:tcBorders>
              <w:top w:val="single" w:sz="8" w:color="auto"/>
            </w:tcBorders>
            <w:shd w:val="clear" w:color="auto" w:fill="B7E5FF"/>
          </w:tcPr>
          <w:p>
            <w:pPr>
              <w:jc w:val="right"/>
              <w:ind w:right="110"/>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1,372</w:t>
            </w:r>
          </w:p>
        </w:tc>
        <w:tc>
          <w:tcPr>
            <w:tcW w:w="120" w:type="dxa"/>
            <w:vAlign w:val="bottom"/>
            <w:tcBorders>
              <w:top w:val="single" w:sz="8" w:color="B7E5FF"/>
            </w:tcBorders>
            <w:shd w:val="clear" w:color="auto" w:fill="B7E5FF"/>
          </w:tcPr>
          <w:p>
            <w:pPr>
              <w:spacing w:after="0"/>
              <w:rPr>
                <w:sz w:val="11"/>
                <w:szCs w:val="11"/>
                <w:color w:val="auto"/>
              </w:rPr>
            </w:pPr>
          </w:p>
        </w:tc>
        <w:tc>
          <w:tcPr>
            <w:tcW w:w="160" w:type="dxa"/>
            <w:vAlign w:val="bottom"/>
            <w:tcBorders>
              <w:top w:val="single" w:sz="8" w:color="auto"/>
            </w:tcBorders>
            <w:shd w:val="clear" w:color="auto" w:fill="B7E5FF"/>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446,363</w:t>
            </w:r>
          </w:p>
        </w:tc>
      </w:tr>
      <w:tr>
        <w:trPr>
          <w:trHeight w:val="153"/>
        </w:trPr>
        <w:tc>
          <w:tcPr>
            <w:tcW w:w="426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14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15,591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58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15,649</w:t>
            </w:r>
          </w:p>
        </w:tc>
      </w:tr>
      <w:tr>
        <w:trPr>
          <w:trHeight w:val="153"/>
        </w:trPr>
        <w:tc>
          <w:tcPr>
            <w:tcW w:w="4260" w:type="dxa"/>
            <w:vAlign w:val="bottom"/>
            <w:shd w:val="clear" w:color="auto" w:fill="B7E5FF"/>
          </w:tcPr>
          <w:p>
            <w:pPr>
              <w:ind w:left="120"/>
              <w:spacing w:after="0"/>
              <w:rPr>
                <w:sz w:val="20"/>
                <w:szCs w:val="20"/>
                <w:color w:val="auto"/>
              </w:rPr>
            </w:pPr>
            <w:r>
              <w:rPr>
                <w:rFonts w:ascii="Arial" w:cs="Arial" w:eastAsia="Arial" w:hAnsi="Arial"/>
                <w:sz w:val="12"/>
                <w:szCs w:val="12"/>
                <w:color w:val="auto"/>
              </w:rPr>
              <w:t>Amounts reported in other comprehensive</w:t>
            </w:r>
          </w:p>
        </w:tc>
        <w:tc>
          <w:tcPr>
            <w:tcW w:w="140" w:type="dxa"/>
            <w:vAlign w:val="bottom"/>
            <w:shd w:val="clear" w:color="auto" w:fill="B7E5FF"/>
          </w:tcPr>
          <w:p>
            <w:pPr>
              <w:spacing w:after="0"/>
              <w:rPr>
                <w:sz w:val="13"/>
                <w:szCs w:val="13"/>
                <w:color w:val="auto"/>
              </w:rPr>
            </w:pPr>
          </w:p>
        </w:tc>
        <w:tc>
          <w:tcPr>
            <w:tcW w:w="780" w:type="dxa"/>
            <w:vAlign w:val="bottom"/>
            <w:shd w:val="clear" w:color="auto" w:fill="B7E5FF"/>
          </w:tcPr>
          <w:p>
            <w:pPr>
              <w:spacing w:after="0"/>
              <w:rPr>
                <w:sz w:val="13"/>
                <w:szCs w:val="13"/>
                <w:color w:val="auto"/>
              </w:rPr>
            </w:pPr>
          </w:p>
        </w:tc>
        <w:tc>
          <w:tcPr>
            <w:tcW w:w="120" w:type="dxa"/>
            <w:vAlign w:val="bottom"/>
            <w:shd w:val="clear" w:color="auto" w:fill="B7E5FF"/>
          </w:tcPr>
          <w:p>
            <w:pPr>
              <w:spacing w:after="0"/>
              <w:rPr>
                <w:sz w:val="13"/>
                <w:szCs w:val="13"/>
                <w:color w:val="auto"/>
              </w:rPr>
            </w:pPr>
          </w:p>
        </w:tc>
        <w:tc>
          <w:tcPr>
            <w:tcW w:w="160" w:type="dxa"/>
            <w:vAlign w:val="bottom"/>
            <w:shd w:val="clear" w:color="auto" w:fill="B7E5FF"/>
          </w:tcPr>
          <w:p>
            <w:pPr>
              <w:spacing w:after="0"/>
              <w:rPr>
                <w:sz w:val="13"/>
                <w:szCs w:val="13"/>
                <w:color w:val="auto"/>
              </w:rPr>
            </w:pPr>
          </w:p>
        </w:tc>
        <w:tc>
          <w:tcPr>
            <w:tcW w:w="880" w:type="dxa"/>
            <w:vAlign w:val="bottom"/>
            <w:shd w:val="clear" w:color="auto" w:fill="B7E5FF"/>
          </w:tcPr>
          <w:p>
            <w:pPr>
              <w:spacing w:after="0"/>
              <w:rPr>
                <w:sz w:val="13"/>
                <w:szCs w:val="13"/>
                <w:color w:val="auto"/>
              </w:rPr>
            </w:pPr>
          </w:p>
        </w:tc>
        <w:tc>
          <w:tcPr>
            <w:tcW w:w="120" w:type="dxa"/>
            <w:vAlign w:val="bottom"/>
            <w:shd w:val="clear" w:color="auto" w:fill="B7E5FF"/>
          </w:tcPr>
          <w:p>
            <w:pPr>
              <w:spacing w:after="0"/>
              <w:rPr>
                <w:sz w:val="13"/>
                <w:szCs w:val="13"/>
                <w:color w:val="auto"/>
              </w:rPr>
            </w:pPr>
          </w:p>
        </w:tc>
        <w:tc>
          <w:tcPr>
            <w:tcW w:w="140" w:type="dxa"/>
            <w:vAlign w:val="bottom"/>
            <w:shd w:val="clear" w:color="auto" w:fill="B7E5FF"/>
          </w:tcPr>
          <w:p>
            <w:pPr>
              <w:spacing w:after="0"/>
              <w:rPr>
                <w:sz w:val="13"/>
                <w:szCs w:val="13"/>
                <w:color w:val="auto"/>
              </w:rPr>
            </w:pPr>
          </w:p>
        </w:tc>
        <w:tc>
          <w:tcPr>
            <w:tcW w:w="780" w:type="dxa"/>
            <w:vAlign w:val="bottom"/>
            <w:shd w:val="clear" w:color="auto" w:fill="B7E5FF"/>
          </w:tcPr>
          <w:p>
            <w:pPr>
              <w:spacing w:after="0"/>
              <w:rPr>
                <w:sz w:val="13"/>
                <w:szCs w:val="13"/>
                <w:color w:val="auto"/>
              </w:rPr>
            </w:pPr>
          </w:p>
        </w:tc>
        <w:tc>
          <w:tcPr>
            <w:tcW w:w="100" w:type="dxa"/>
            <w:vAlign w:val="bottom"/>
            <w:shd w:val="clear" w:color="auto" w:fill="B7E5FF"/>
          </w:tcPr>
          <w:p>
            <w:pPr>
              <w:spacing w:after="0"/>
              <w:rPr>
                <w:sz w:val="13"/>
                <w:szCs w:val="13"/>
                <w:color w:val="auto"/>
              </w:rPr>
            </w:pPr>
          </w:p>
        </w:tc>
        <w:tc>
          <w:tcPr>
            <w:tcW w:w="220" w:type="dxa"/>
            <w:vAlign w:val="bottom"/>
            <w:shd w:val="clear" w:color="auto" w:fill="B7E5FF"/>
          </w:tcPr>
          <w:p>
            <w:pPr>
              <w:spacing w:after="0"/>
              <w:rPr>
                <w:sz w:val="13"/>
                <w:szCs w:val="13"/>
                <w:color w:val="auto"/>
              </w:rPr>
            </w:pPr>
          </w:p>
        </w:tc>
        <w:tc>
          <w:tcPr>
            <w:tcW w:w="1280" w:type="dxa"/>
            <w:vAlign w:val="bottom"/>
            <w:shd w:val="clear" w:color="auto" w:fill="B7E5FF"/>
          </w:tcPr>
          <w:p>
            <w:pPr>
              <w:spacing w:after="0"/>
              <w:rPr>
                <w:sz w:val="13"/>
                <w:szCs w:val="13"/>
                <w:color w:val="auto"/>
              </w:rPr>
            </w:pPr>
          </w:p>
        </w:tc>
        <w:tc>
          <w:tcPr>
            <w:tcW w:w="100" w:type="dxa"/>
            <w:vAlign w:val="bottom"/>
            <w:shd w:val="clear" w:color="auto" w:fill="B7E5FF"/>
          </w:tcPr>
          <w:p>
            <w:pPr>
              <w:spacing w:after="0"/>
              <w:rPr>
                <w:sz w:val="13"/>
                <w:szCs w:val="13"/>
                <w:color w:val="auto"/>
              </w:rPr>
            </w:pPr>
          </w:p>
        </w:tc>
        <w:tc>
          <w:tcPr>
            <w:tcW w:w="220" w:type="dxa"/>
            <w:vAlign w:val="bottom"/>
            <w:shd w:val="clear" w:color="auto" w:fill="B7E5FF"/>
          </w:tcPr>
          <w:p>
            <w:pPr>
              <w:spacing w:after="0"/>
              <w:rPr>
                <w:sz w:val="13"/>
                <w:szCs w:val="13"/>
                <w:color w:val="auto"/>
              </w:rPr>
            </w:pPr>
          </w:p>
        </w:tc>
        <w:tc>
          <w:tcPr>
            <w:tcW w:w="1260" w:type="dxa"/>
            <w:vAlign w:val="bottom"/>
            <w:shd w:val="clear" w:color="auto" w:fill="B7E5FF"/>
          </w:tcPr>
          <w:p>
            <w:pPr>
              <w:spacing w:after="0"/>
              <w:rPr>
                <w:sz w:val="13"/>
                <w:szCs w:val="13"/>
                <w:color w:val="auto"/>
              </w:rPr>
            </w:pPr>
          </w:p>
        </w:tc>
        <w:tc>
          <w:tcPr>
            <w:tcW w:w="120" w:type="dxa"/>
            <w:vAlign w:val="bottom"/>
            <w:shd w:val="clear" w:color="auto" w:fill="B7E5FF"/>
          </w:tcPr>
          <w:p>
            <w:pPr>
              <w:spacing w:after="0"/>
              <w:rPr>
                <w:sz w:val="13"/>
                <w:szCs w:val="13"/>
                <w:color w:val="auto"/>
              </w:rPr>
            </w:pPr>
          </w:p>
        </w:tc>
        <w:tc>
          <w:tcPr>
            <w:tcW w:w="160" w:type="dxa"/>
            <w:vAlign w:val="bottom"/>
            <w:shd w:val="clear" w:color="auto" w:fill="B7E5FF"/>
          </w:tcPr>
          <w:p>
            <w:pPr>
              <w:spacing w:after="0"/>
              <w:rPr>
                <w:sz w:val="13"/>
                <w:szCs w:val="13"/>
                <w:color w:val="auto"/>
              </w:rPr>
            </w:pPr>
          </w:p>
        </w:tc>
        <w:tc>
          <w:tcPr>
            <w:tcW w:w="640" w:type="dxa"/>
            <w:vAlign w:val="bottom"/>
            <w:shd w:val="clear" w:color="auto" w:fill="B7E5FF"/>
          </w:tcPr>
          <w:p>
            <w:pPr>
              <w:spacing w:after="0"/>
              <w:rPr>
                <w:sz w:val="13"/>
                <w:szCs w:val="13"/>
                <w:color w:val="auto"/>
              </w:rPr>
            </w:pPr>
          </w:p>
        </w:tc>
      </w:tr>
      <w:tr>
        <w:trPr>
          <w:trHeight w:val="153"/>
        </w:trPr>
        <w:tc>
          <w:tcPr>
            <w:tcW w:w="4260" w:type="dxa"/>
            <w:vAlign w:val="bottom"/>
          </w:tcPr>
          <w:p>
            <w:pPr>
              <w:ind w:left="240"/>
              <w:spacing w:after="0"/>
              <w:rPr>
                <w:sz w:val="20"/>
                <w:szCs w:val="20"/>
                <w:color w:val="auto"/>
              </w:rPr>
            </w:pPr>
            <w:r>
              <w:rPr>
                <w:rFonts w:ascii="Arial" w:cs="Arial" w:eastAsia="Arial" w:hAnsi="Arial"/>
                <w:sz w:val="12"/>
                <w:szCs w:val="12"/>
                <w:color w:val="auto"/>
              </w:rPr>
              <w:t>income</w:t>
            </w:r>
          </w:p>
        </w:tc>
        <w:tc>
          <w:tcPr>
            <w:tcW w:w="14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286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310</w:t>
            </w:r>
          </w:p>
        </w:tc>
      </w:tr>
      <w:tr>
        <w:trPr>
          <w:trHeight w:val="153"/>
        </w:trPr>
        <w:tc>
          <w:tcPr>
            <w:tcW w:w="4260" w:type="dxa"/>
            <w:vAlign w:val="bottom"/>
            <w:shd w:val="clear" w:color="auto" w:fill="B7E5FF"/>
          </w:tcPr>
          <w:p>
            <w:pPr>
              <w:ind w:left="120"/>
              <w:spacing w:after="0"/>
              <w:rPr>
                <w:sz w:val="20"/>
                <w:szCs w:val="20"/>
                <w:color w:val="auto"/>
              </w:rPr>
            </w:pPr>
            <w:r>
              <w:rPr>
                <w:rFonts w:ascii="Arial" w:cs="Arial" w:eastAsia="Arial" w:hAnsi="Arial"/>
                <w:sz w:val="12"/>
                <w:szCs w:val="12"/>
                <w:color w:val="auto"/>
              </w:rPr>
              <w:t>Dividends ($0.385 per share)</w:t>
            </w:r>
          </w:p>
        </w:tc>
        <w:tc>
          <w:tcPr>
            <w:tcW w:w="140" w:type="dxa"/>
            <w:vAlign w:val="bottom"/>
            <w:shd w:val="clear" w:color="auto" w:fill="B7E5FF"/>
          </w:tcPr>
          <w:p>
            <w:pPr>
              <w:spacing w:after="0"/>
              <w:rPr>
                <w:sz w:val="13"/>
                <w:szCs w:val="13"/>
                <w:color w:val="auto"/>
              </w:rPr>
            </w:pPr>
          </w:p>
        </w:tc>
        <w:tc>
          <w:tcPr>
            <w:tcW w:w="90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B7E5FF"/>
          </w:tcPr>
          <w:p>
            <w:pPr>
              <w:spacing w:after="0"/>
              <w:rPr>
                <w:sz w:val="13"/>
                <w:szCs w:val="13"/>
                <w:color w:val="auto"/>
              </w:rPr>
            </w:pPr>
          </w:p>
        </w:tc>
        <w:tc>
          <w:tcPr>
            <w:tcW w:w="100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B7E5FF"/>
          </w:tcPr>
          <w:p>
            <w:pPr>
              <w:spacing w:after="0"/>
              <w:rPr>
                <w:sz w:val="13"/>
                <w:szCs w:val="13"/>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(5,135)</w:t>
            </w:r>
          </w:p>
        </w:tc>
        <w:tc>
          <w:tcPr>
            <w:tcW w:w="100" w:type="dxa"/>
            <w:vAlign w:val="bottom"/>
            <w:shd w:val="clear" w:color="auto" w:fill="B7E5FF"/>
          </w:tcPr>
          <w:p>
            <w:pPr>
              <w:spacing w:after="0"/>
              <w:rPr>
                <w:sz w:val="13"/>
                <w:szCs w:val="13"/>
                <w:color w:val="auto"/>
              </w:rPr>
            </w:pPr>
          </w:p>
        </w:tc>
        <w:tc>
          <w:tcPr>
            <w:tcW w:w="220" w:type="dxa"/>
            <w:vAlign w:val="bottom"/>
            <w:shd w:val="clear" w:color="auto" w:fill="B7E5FF"/>
          </w:tcPr>
          <w:p>
            <w:pPr>
              <w:spacing w:after="0"/>
              <w:rPr>
                <w:sz w:val="13"/>
                <w:szCs w:val="13"/>
                <w:color w:val="auto"/>
              </w:rPr>
            </w:pPr>
          </w:p>
        </w:tc>
        <w:tc>
          <w:tcPr>
            <w:tcW w:w="138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B7E5FF"/>
          </w:tcPr>
          <w:p>
            <w:pPr>
              <w:spacing w:after="0"/>
              <w:rPr>
                <w:sz w:val="13"/>
                <w:szCs w:val="13"/>
                <w:color w:val="auto"/>
              </w:rPr>
            </w:pPr>
          </w:p>
        </w:tc>
        <w:tc>
          <w:tcPr>
            <w:tcW w:w="138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B7E5FF"/>
          </w:tcPr>
          <w:p>
            <w:pPr>
              <w:spacing w:after="0"/>
              <w:rPr>
                <w:sz w:val="13"/>
                <w:szCs w:val="13"/>
                <w:color w:val="auto"/>
              </w:rPr>
            </w:pPr>
          </w:p>
        </w:tc>
        <w:tc>
          <w:tcPr>
            <w:tcW w:w="6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(5,135)</w:t>
            </w:r>
          </w:p>
        </w:tc>
      </w:tr>
      <w:tr>
        <w:trPr>
          <w:trHeight w:val="153"/>
        </w:trPr>
        <w:tc>
          <w:tcPr>
            <w:tcW w:w="4260" w:type="dxa"/>
            <w:vAlign w:val="bottom"/>
          </w:tcPr>
          <w:p>
            <w:pPr>
              <w:ind w:left="120"/>
              <w:spacing w:after="0"/>
              <w:rPr>
                <w:sz w:val="20"/>
                <w:szCs w:val="20"/>
                <w:color w:val="auto"/>
              </w:rPr>
            </w:pPr>
            <w:r>
              <w:rPr>
                <w:rFonts w:ascii="Arial" w:cs="Arial" w:eastAsia="Arial" w:hAnsi="Arial"/>
                <w:sz w:val="12"/>
                <w:szCs w:val="12"/>
                <w:color w:val="auto"/>
              </w:rPr>
              <w:t>Share issuance and equity-based</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3"/>
        </w:trPr>
        <w:tc>
          <w:tcPr>
            <w:tcW w:w="4260" w:type="dxa"/>
            <w:vAlign w:val="bottom"/>
            <w:shd w:val="clear" w:color="auto" w:fill="B7E5FF"/>
          </w:tcPr>
          <w:p>
            <w:pPr>
              <w:ind w:left="240"/>
              <w:spacing w:after="0"/>
              <w:rPr>
                <w:sz w:val="20"/>
                <w:szCs w:val="20"/>
                <w:color w:val="auto"/>
              </w:rPr>
            </w:pPr>
            <w:r>
              <w:rPr>
                <w:rFonts w:ascii="Arial" w:cs="Arial" w:eastAsia="Arial" w:hAnsi="Arial"/>
                <w:sz w:val="12"/>
                <w:szCs w:val="12"/>
                <w:color w:val="auto"/>
              </w:rPr>
              <w:t>compensation plans</w:t>
            </w:r>
          </w:p>
        </w:tc>
        <w:tc>
          <w:tcPr>
            <w:tcW w:w="140" w:type="dxa"/>
            <w:vAlign w:val="bottom"/>
            <w:shd w:val="clear" w:color="auto" w:fill="B7E5FF"/>
          </w:tcPr>
          <w:p>
            <w:pPr>
              <w:spacing w:after="0"/>
              <w:rPr>
                <w:sz w:val="13"/>
                <w:szCs w:val="13"/>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w:t>
            </w:r>
          </w:p>
        </w:tc>
        <w:tc>
          <w:tcPr>
            <w:tcW w:w="120" w:type="dxa"/>
            <w:vAlign w:val="bottom"/>
            <w:shd w:val="clear" w:color="auto" w:fill="B7E5FF"/>
          </w:tcPr>
          <w:p>
            <w:pPr>
              <w:spacing w:after="0"/>
              <w:rPr>
                <w:sz w:val="13"/>
                <w:szCs w:val="13"/>
                <w:color w:val="auto"/>
              </w:rPr>
            </w:pPr>
          </w:p>
        </w:tc>
        <w:tc>
          <w:tcPr>
            <w:tcW w:w="160" w:type="dxa"/>
            <w:vAlign w:val="bottom"/>
            <w:shd w:val="clear" w:color="auto" w:fill="B7E5FF"/>
          </w:tcPr>
          <w:p>
            <w:pPr>
              <w:spacing w:after="0"/>
              <w:rPr>
                <w:sz w:val="13"/>
                <w:szCs w:val="13"/>
                <w:color w:val="auto"/>
              </w:rPr>
            </w:pPr>
          </w:p>
        </w:tc>
        <w:tc>
          <w:tcPr>
            <w:tcW w:w="8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770</w:t>
            </w:r>
          </w:p>
        </w:tc>
        <w:tc>
          <w:tcPr>
            <w:tcW w:w="120" w:type="dxa"/>
            <w:vAlign w:val="bottom"/>
            <w:shd w:val="clear" w:color="auto" w:fill="B7E5FF"/>
          </w:tcPr>
          <w:p>
            <w:pPr>
              <w:spacing w:after="0"/>
              <w:rPr>
                <w:sz w:val="13"/>
                <w:szCs w:val="13"/>
                <w:color w:val="auto"/>
              </w:rPr>
            </w:pPr>
          </w:p>
        </w:tc>
        <w:tc>
          <w:tcPr>
            <w:tcW w:w="140" w:type="dxa"/>
            <w:vAlign w:val="bottom"/>
            <w:shd w:val="clear" w:color="auto" w:fill="B7E5FF"/>
          </w:tcPr>
          <w:p>
            <w:pPr>
              <w:spacing w:after="0"/>
              <w:rPr>
                <w:sz w:val="13"/>
                <w:szCs w:val="13"/>
                <w:color w:val="auto"/>
              </w:rPr>
            </w:pPr>
          </w:p>
        </w:tc>
        <w:tc>
          <w:tcPr>
            <w:tcW w:w="880" w:type="dxa"/>
            <w:vAlign w:val="bottom"/>
            <w:gridSpan w:val="2"/>
            <w:shd w:val="clear" w:color="auto" w:fill="B7E5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B7E5FF"/>
          </w:tcPr>
          <w:p>
            <w:pPr>
              <w:spacing w:after="0"/>
              <w:rPr>
                <w:sz w:val="13"/>
                <w:szCs w:val="13"/>
                <w:color w:val="auto"/>
              </w:rPr>
            </w:pPr>
          </w:p>
        </w:tc>
        <w:tc>
          <w:tcPr>
            <w:tcW w:w="138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B7E5FF"/>
          </w:tcPr>
          <w:p>
            <w:pPr>
              <w:spacing w:after="0"/>
              <w:rPr>
                <w:sz w:val="13"/>
                <w:szCs w:val="13"/>
                <w:color w:val="auto"/>
              </w:rPr>
            </w:pPr>
          </w:p>
        </w:tc>
        <w:tc>
          <w:tcPr>
            <w:tcW w:w="138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B7E5FF"/>
          </w:tcPr>
          <w:p>
            <w:pPr>
              <w:spacing w:after="0"/>
              <w:rPr>
                <w:sz w:val="13"/>
                <w:szCs w:val="13"/>
                <w:color w:val="auto"/>
              </w:rPr>
            </w:pPr>
          </w:p>
        </w:tc>
        <w:tc>
          <w:tcPr>
            <w:tcW w:w="6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774</w:t>
            </w:r>
          </w:p>
        </w:tc>
      </w:tr>
      <w:tr>
        <w:trPr>
          <w:trHeight w:val="140"/>
        </w:trPr>
        <w:tc>
          <w:tcPr>
            <w:tcW w:w="4260" w:type="dxa"/>
            <w:vAlign w:val="bottom"/>
            <w:tcBorders>
              <w:bottom w:val="single" w:sz="8" w:color="B7E5FF"/>
            </w:tcBorders>
          </w:tcPr>
          <w:p>
            <w:pPr>
              <w:spacing w:after="0" w:line="133" w:lineRule="exact"/>
              <w:rPr>
                <w:sz w:val="20"/>
                <w:szCs w:val="20"/>
                <w:color w:val="auto"/>
              </w:rPr>
            </w:pPr>
            <w:r>
              <w:rPr>
                <w:rFonts w:ascii="Arial" w:cs="Arial" w:eastAsia="Arial" w:hAnsi="Arial"/>
                <w:sz w:val="12"/>
                <w:szCs w:val="12"/>
                <w:b w:val="1"/>
                <w:bCs w:val="1"/>
                <w:color w:val="auto"/>
              </w:rPr>
              <w:t>Balance at June 30, 2019</w:t>
            </w: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13,338</w:t>
            </w:r>
          </w:p>
        </w:tc>
        <w:tc>
          <w:tcPr>
            <w:tcW w:w="120" w:type="dxa"/>
            <w:vAlign w:val="bottom"/>
            <w:tcBorders>
              <w:bottom w:val="single" w:sz="8" w:color="B7E5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97,602</w:t>
            </w:r>
          </w:p>
        </w:tc>
        <w:tc>
          <w:tcPr>
            <w:tcW w:w="120" w:type="dxa"/>
            <w:vAlign w:val="bottom"/>
            <w:tcBorders>
              <w:bottom w:val="single" w:sz="8" w:color="B7E5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424,448</w:t>
            </w:r>
          </w:p>
        </w:tc>
        <w:tc>
          <w:tcPr>
            <w:tcW w:w="100" w:type="dxa"/>
            <w:vAlign w:val="bottom"/>
            <w:tcBorders>
              <w:bottom w:val="single" w:sz="8" w:color="B7E5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(78,881)</w:t>
            </w:r>
          </w:p>
        </w:tc>
        <w:tc>
          <w:tcPr>
            <w:tcW w:w="100" w:type="dxa"/>
            <w:vAlign w:val="bottom"/>
            <w:tcBorders>
              <w:bottom w:val="single" w:sz="8" w:color="B7E5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1,454</w:t>
            </w:r>
          </w:p>
        </w:tc>
        <w:tc>
          <w:tcPr>
            <w:tcW w:w="120" w:type="dxa"/>
            <w:vAlign w:val="bottom"/>
            <w:tcBorders>
              <w:bottom w:val="single" w:sz="8" w:color="B7E5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457,961</w:t>
            </w:r>
          </w:p>
        </w:tc>
      </w:tr>
      <w:tr>
        <w:trPr>
          <w:trHeight w:val="144"/>
        </w:trPr>
        <w:tc>
          <w:tcPr>
            <w:tcW w:w="4260" w:type="dxa"/>
            <w:vAlign w:val="bottom"/>
            <w:shd w:val="clear" w:color="auto" w:fill="B7E5FF"/>
          </w:tcPr>
          <w:p>
            <w:pPr>
              <w:spacing w:after="0"/>
              <w:rPr>
                <w:sz w:val="12"/>
                <w:szCs w:val="12"/>
                <w:color w:val="auto"/>
              </w:rPr>
            </w:pPr>
          </w:p>
        </w:tc>
        <w:tc>
          <w:tcPr>
            <w:tcW w:w="140" w:type="dxa"/>
            <w:vAlign w:val="bottom"/>
            <w:shd w:val="clear" w:color="auto" w:fill="B7E5FF"/>
          </w:tcPr>
          <w:p>
            <w:pPr>
              <w:spacing w:after="0"/>
              <w:rPr>
                <w:sz w:val="12"/>
                <w:szCs w:val="12"/>
                <w:color w:val="auto"/>
              </w:rPr>
            </w:pPr>
          </w:p>
        </w:tc>
        <w:tc>
          <w:tcPr>
            <w:tcW w:w="78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160" w:type="dxa"/>
            <w:vAlign w:val="bottom"/>
            <w:shd w:val="clear" w:color="auto" w:fill="B7E5FF"/>
          </w:tcPr>
          <w:p>
            <w:pPr>
              <w:spacing w:after="0"/>
              <w:rPr>
                <w:sz w:val="12"/>
                <w:szCs w:val="12"/>
                <w:color w:val="auto"/>
              </w:rPr>
            </w:pPr>
          </w:p>
        </w:tc>
        <w:tc>
          <w:tcPr>
            <w:tcW w:w="88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140" w:type="dxa"/>
            <w:vAlign w:val="bottom"/>
            <w:shd w:val="clear" w:color="auto" w:fill="B7E5FF"/>
          </w:tcPr>
          <w:p>
            <w:pPr>
              <w:spacing w:after="0"/>
              <w:rPr>
                <w:sz w:val="12"/>
                <w:szCs w:val="12"/>
                <w:color w:val="auto"/>
              </w:rPr>
            </w:pPr>
          </w:p>
        </w:tc>
        <w:tc>
          <w:tcPr>
            <w:tcW w:w="78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220" w:type="dxa"/>
            <w:vAlign w:val="bottom"/>
            <w:shd w:val="clear" w:color="auto" w:fill="B7E5FF"/>
          </w:tcPr>
          <w:p>
            <w:pPr>
              <w:spacing w:after="0"/>
              <w:rPr>
                <w:sz w:val="12"/>
                <w:szCs w:val="12"/>
                <w:color w:val="auto"/>
              </w:rPr>
            </w:pPr>
          </w:p>
        </w:tc>
        <w:tc>
          <w:tcPr>
            <w:tcW w:w="128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220" w:type="dxa"/>
            <w:vAlign w:val="bottom"/>
            <w:shd w:val="clear" w:color="auto" w:fill="B7E5FF"/>
          </w:tcPr>
          <w:p>
            <w:pPr>
              <w:spacing w:after="0"/>
              <w:rPr>
                <w:sz w:val="12"/>
                <w:szCs w:val="12"/>
                <w:color w:val="auto"/>
              </w:rPr>
            </w:pPr>
          </w:p>
        </w:tc>
        <w:tc>
          <w:tcPr>
            <w:tcW w:w="126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160" w:type="dxa"/>
            <w:vAlign w:val="bottom"/>
            <w:shd w:val="clear" w:color="auto" w:fill="B7E5FF"/>
          </w:tcPr>
          <w:p>
            <w:pPr>
              <w:spacing w:after="0"/>
              <w:rPr>
                <w:sz w:val="12"/>
                <w:szCs w:val="12"/>
                <w:color w:val="auto"/>
              </w:rPr>
            </w:pPr>
          </w:p>
        </w:tc>
        <w:tc>
          <w:tcPr>
            <w:tcW w:w="640" w:type="dxa"/>
            <w:vAlign w:val="bottom"/>
            <w:shd w:val="clear" w:color="auto" w:fill="B7E5FF"/>
          </w:tcPr>
          <w:p>
            <w:pPr>
              <w:spacing w:after="0"/>
              <w:rPr>
                <w:sz w:val="12"/>
                <w:szCs w:val="12"/>
                <w:color w:val="auto"/>
              </w:rPr>
            </w:pPr>
          </w:p>
        </w:tc>
      </w:tr>
      <w:tr>
        <w:trPr>
          <w:trHeight w:val="153"/>
        </w:trPr>
        <w:tc>
          <w:tcPr>
            <w:tcW w:w="4260" w:type="dxa"/>
            <w:vAlign w:val="bottom"/>
          </w:tcPr>
          <w:p>
            <w:pPr>
              <w:spacing w:after="0"/>
              <w:rPr>
                <w:sz w:val="20"/>
                <w:szCs w:val="20"/>
                <w:color w:val="auto"/>
              </w:rPr>
            </w:pPr>
            <w:r>
              <w:rPr>
                <w:rFonts w:ascii="Arial" w:cs="Arial" w:eastAsia="Arial" w:hAnsi="Arial"/>
                <w:sz w:val="12"/>
                <w:szCs w:val="12"/>
                <w:b w:val="1"/>
                <w:bCs w:val="1"/>
                <w:color w:val="auto"/>
              </w:rPr>
              <w:t>Balance at March 31, 2018</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13,323</w:t>
            </w:r>
          </w:p>
        </w:tc>
        <w:tc>
          <w:tcPr>
            <w:tcW w:w="120" w:type="dxa"/>
            <w:vAlign w:val="bottom"/>
          </w:tcPr>
          <w:p>
            <w:pPr>
              <w:spacing w:after="0"/>
              <w:rPr>
                <w:sz w:val="13"/>
                <w:szCs w:val="13"/>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93,731</w:t>
            </w:r>
          </w:p>
        </w:tc>
        <w:tc>
          <w:tcPr>
            <w:tcW w:w="120" w:type="dxa"/>
            <w:vAlign w:val="bottom"/>
          </w:tcPr>
          <w:p>
            <w:pPr>
              <w:spacing w:after="0"/>
              <w:rPr>
                <w:sz w:val="13"/>
                <w:szCs w:val="13"/>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373,185</w:t>
            </w:r>
          </w:p>
        </w:tc>
        <w:tc>
          <w:tcPr>
            <w:tcW w:w="10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(58,738)</w:t>
            </w:r>
          </w:p>
        </w:tc>
        <w:tc>
          <w:tcPr>
            <w:tcW w:w="100" w:type="dxa"/>
            <w:vAlign w:val="bottom"/>
          </w:tcPr>
          <w:p>
            <w:pPr>
              <w:spacing w:after="0"/>
              <w:rPr>
                <w:sz w:val="13"/>
                <w:szCs w:val="13"/>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1,262</w:t>
            </w:r>
          </w:p>
        </w:tc>
        <w:tc>
          <w:tcPr>
            <w:tcW w:w="120" w:type="dxa"/>
            <w:vAlign w:val="bottom"/>
          </w:tcPr>
          <w:p>
            <w:pPr>
              <w:spacing w:after="0"/>
              <w:rPr>
                <w:sz w:val="13"/>
                <w:szCs w:val="13"/>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422,763</w:t>
            </w:r>
          </w:p>
        </w:tc>
      </w:tr>
      <w:tr>
        <w:trPr>
          <w:trHeight w:val="153"/>
        </w:trPr>
        <w:tc>
          <w:tcPr>
            <w:tcW w:w="4260" w:type="dxa"/>
            <w:vAlign w:val="bottom"/>
            <w:shd w:val="clear" w:color="auto" w:fill="B7E5FF"/>
          </w:tcPr>
          <w:p>
            <w:pPr>
              <w:ind w:left="120"/>
              <w:spacing w:after="0"/>
              <w:rPr>
                <w:sz w:val="20"/>
                <w:szCs w:val="20"/>
                <w:color w:val="auto"/>
              </w:rPr>
            </w:pPr>
            <w:r>
              <w:rPr>
                <w:rFonts w:ascii="Arial" w:cs="Arial" w:eastAsia="Arial" w:hAnsi="Arial"/>
                <w:sz w:val="12"/>
                <w:szCs w:val="12"/>
                <w:color w:val="auto"/>
              </w:rPr>
              <w:t>Net income</w:t>
            </w:r>
          </w:p>
        </w:tc>
        <w:tc>
          <w:tcPr>
            <w:tcW w:w="140" w:type="dxa"/>
            <w:vAlign w:val="bottom"/>
            <w:shd w:val="clear" w:color="auto" w:fill="B7E5FF"/>
          </w:tcPr>
          <w:p>
            <w:pPr>
              <w:spacing w:after="0"/>
              <w:rPr>
                <w:sz w:val="13"/>
                <w:szCs w:val="13"/>
                <w:color w:val="auto"/>
              </w:rPr>
            </w:pPr>
          </w:p>
        </w:tc>
        <w:tc>
          <w:tcPr>
            <w:tcW w:w="90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B7E5FF"/>
          </w:tcPr>
          <w:p>
            <w:pPr>
              <w:spacing w:after="0"/>
              <w:rPr>
                <w:sz w:val="13"/>
                <w:szCs w:val="13"/>
                <w:color w:val="auto"/>
              </w:rPr>
            </w:pPr>
          </w:p>
        </w:tc>
        <w:tc>
          <w:tcPr>
            <w:tcW w:w="100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B7E5FF"/>
          </w:tcPr>
          <w:p>
            <w:pPr>
              <w:spacing w:after="0"/>
              <w:rPr>
                <w:sz w:val="13"/>
                <w:szCs w:val="13"/>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19,246</w:t>
            </w:r>
          </w:p>
        </w:tc>
        <w:tc>
          <w:tcPr>
            <w:tcW w:w="100" w:type="dxa"/>
            <w:vAlign w:val="bottom"/>
            <w:shd w:val="clear" w:color="auto" w:fill="B7E5FF"/>
          </w:tcPr>
          <w:p>
            <w:pPr>
              <w:spacing w:after="0"/>
              <w:rPr>
                <w:sz w:val="13"/>
                <w:szCs w:val="13"/>
                <w:color w:val="auto"/>
              </w:rPr>
            </w:pPr>
          </w:p>
        </w:tc>
        <w:tc>
          <w:tcPr>
            <w:tcW w:w="220" w:type="dxa"/>
            <w:vAlign w:val="bottom"/>
            <w:shd w:val="clear" w:color="auto" w:fill="B7E5FF"/>
          </w:tcPr>
          <w:p>
            <w:pPr>
              <w:spacing w:after="0"/>
              <w:rPr>
                <w:sz w:val="13"/>
                <w:szCs w:val="13"/>
                <w:color w:val="auto"/>
              </w:rPr>
            </w:pPr>
          </w:p>
        </w:tc>
        <w:tc>
          <w:tcPr>
            <w:tcW w:w="138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B7E5FF"/>
          </w:tcPr>
          <w:p>
            <w:pPr>
              <w:spacing w:after="0"/>
              <w:rPr>
                <w:sz w:val="13"/>
                <w:szCs w:val="13"/>
                <w:color w:val="auto"/>
              </w:rPr>
            </w:pPr>
          </w:p>
        </w:tc>
        <w:tc>
          <w:tcPr>
            <w:tcW w:w="12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124</w:t>
            </w:r>
          </w:p>
        </w:tc>
        <w:tc>
          <w:tcPr>
            <w:tcW w:w="120" w:type="dxa"/>
            <w:vAlign w:val="bottom"/>
            <w:shd w:val="clear" w:color="auto" w:fill="B7E5FF"/>
          </w:tcPr>
          <w:p>
            <w:pPr>
              <w:spacing w:after="0"/>
              <w:rPr>
                <w:sz w:val="13"/>
                <w:szCs w:val="13"/>
                <w:color w:val="auto"/>
              </w:rPr>
            </w:pPr>
          </w:p>
        </w:tc>
        <w:tc>
          <w:tcPr>
            <w:tcW w:w="160" w:type="dxa"/>
            <w:vAlign w:val="bottom"/>
            <w:shd w:val="clear" w:color="auto" w:fill="B7E5FF"/>
          </w:tcPr>
          <w:p>
            <w:pPr>
              <w:spacing w:after="0"/>
              <w:rPr>
                <w:sz w:val="13"/>
                <w:szCs w:val="13"/>
                <w:color w:val="auto"/>
              </w:rPr>
            </w:pPr>
          </w:p>
        </w:tc>
        <w:tc>
          <w:tcPr>
            <w:tcW w:w="6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19,370</w:t>
            </w:r>
          </w:p>
        </w:tc>
      </w:tr>
      <w:tr>
        <w:trPr>
          <w:trHeight w:val="153"/>
        </w:trPr>
        <w:tc>
          <w:tcPr>
            <w:tcW w:w="4260" w:type="dxa"/>
            <w:vAlign w:val="bottom"/>
          </w:tcPr>
          <w:p>
            <w:pPr>
              <w:ind w:left="120"/>
              <w:spacing w:after="0"/>
              <w:rPr>
                <w:sz w:val="20"/>
                <w:szCs w:val="20"/>
                <w:color w:val="auto"/>
              </w:rPr>
            </w:pPr>
            <w:r>
              <w:rPr>
                <w:rFonts w:ascii="Arial" w:cs="Arial" w:eastAsia="Arial" w:hAnsi="Arial"/>
                <w:sz w:val="12"/>
                <w:szCs w:val="12"/>
                <w:color w:val="auto"/>
              </w:rPr>
              <w:t>Amounts reported in other comprehensive</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3"/>
        </w:trPr>
        <w:tc>
          <w:tcPr>
            <w:tcW w:w="4260" w:type="dxa"/>
            <w:vAlign w:val="bottom"/>
            <w:shd w:val="clear" w:color="auto" w:fill="B7E5FF"/>
          </w:tcPr>
          <w:p>
            <w:pPr>
              <w:ind w:left="240"/>
              <w:spacing w:after="0"/>
              <w:rPr>
                <w:sz w:val="20"/>
                <w:szCs w:val="20"/>
                <w:color w:val="auto"/>
              </w:rPr>
            </w:pPr>
            <w:r>
              <w:rPr>
                <w:rFonts w:ascii="Arial" w:cs="Arial" w:eastAsia="Arial" w:hAnsi="Arial"/>
                <w:sz w:val="12"/>
                <w:szCs w:val="12"/>
                <w:color w:val="auto"/>
              </w:rPr>
              <w:t>loss</w:t>
            </w:r>
          </w:p>
        </w:tc>
        <w:tc>
          <w:tcPr>
            <w:tcW w:w="140" w:type="dxa"/>
            <w:vAlign w:val="bottom"/>
            <w:shd w:val="clear" w:color="auto" w:fill="B7E5FF"/>
          </w:tcPr>
          <w:p>
            <w:pPr>
              <w:spacing w:after="0"/>
              <w:rPr>
                <w:sz w:val="13"/>
                <w:szCs w:val="13"/>
                <w:color w:val="auto"/>
              </w:rPr>
            </w:pPr>
          </w:p>
        </w:tc>
        <w:tc>
          <w:tcPr>
            <w:tcW w:w="90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B7E5FF"/>
          </w:tcPr>
          <w:p>
            <w:pPr>
              <w:spacing w:after="0"/>
              <w:rPr>
                <w:sz w:val="13"/>
                <w:szCs w:val="13"/>
                <w:color w:val="auto"/>
              </w:rPr>
            </w:pPr>
          </w:p>
        </w:tc>
        <w:tc>
          <w:tcPr>
            <w:tcW w:w="100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B7E5FF"/>
          </w:tcPr>
          <w:p>
            <w:pPr>
              <w:spacing w:after="0"/>
              <w:rPr>
                <w:sz w:val="13"/>
                <w:szCs w:val="13"/>
                <w:color w:val="auto"/>
              </w:rPr>
            </w:pPr>
          </w:p>
        </w:tc>
        <w:tc>
          <w:tcPr>
            <w:tcW w:w="880" w:type="dxa"/>
            <w:vAlign w:val="bottom"/>
            <w:gridSpan w:val="2"/>
            <w:shd w:val="clear" w:color="auto" w:fill="B7E5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B7E5FF"/>
          </w:tcPr>
          <w:p>
            <w:pPr>
              <w:spacing w:after="0"/>
              <w:rPr>
                <w:sz w:val="13"/>
                <w:szCs w:val="13"/>
                <w:color w:val="auto"/>
              </w:rPr>
            </w:pPr>
          </w:p>
        </w:tc>
        <w:tc>
          <w:tcPr>
            <w:tcW w:w="12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(15,613)</w:t>
            </w:r>
          </w:p>
        </w:tc>
        <w:tc>
          <w:tcPr>
            <w:tcW w:w="100" w:type="dxa"/>
            <w:vAlign w:val="bottom"/>
            <w:shd w:val="clear" w:color="auto" w:fill="B7E5FF"/>
          </w:tcPr>
          <w:p>
            <w:pPr>
              <w:spacing w:after="0"/>
              <w:rPr>
                <w:sz w:val="13"/>
                <w:szCs w:val="13"/>
                <w:color w:val="auto"/>
              </w:rPr>
            </w:pPr>
          </w:p>
        </w:tc>
        <w:tc>
          <w:tcPr>
            <w:tcW w:w="220" w:type="dxa"/>
            <w:vAlign w:val="bottom"/>
            <w:shd w:val="clear" w:color="auto" w:fill="B7E5FF"/>
          </w:tcPr>
          <w:p>
            <w:pPr>
              <w:spacing w:after="0"/>
              <w:rPr>
                <w:sz w:val="13"/>
                <w:szCs w:val="13"/>
                <w:color w:val="auto"/>
              </w:rPr>
            </w:pPr>
          </w:p>
        </w:tc>
        <w:tc>
          <w:tcPr>
            <w:tcW w:w="12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(171)</w:t>
            </w:r>
          </w:p>
        </w:tc>
        <w:tc>
          <w:tcPr>
            <w:tcW w:w="120" w:type="dxa"/>
            <w:vAlign w:val="bottom"/>
            <w:shd w:val="clear" w:color="auto" w:fill="B7E5FF"/>
          </w:tcPr>
          <w:p>
            <w:pPr>
              <w:spacing w:after="0"/>
              <w:rPr>
                <w:sz w:val="13"/>
                <w:szCs w:val="13"/>
                <w:color w:val="auto"/>
              </w:rPr>
            </w:pPr>
          </w:p>
        </w:tc>
        <w:tc>
          <w:tcPr>
            <w:tcW w:w="160" w:type="dxa"/>
            <w:vAlign w:val="bottom"/>
            <w:shd w:val="clear" w:color="auto" w:fill="B7E5FF"/>
          </w:tcPr>
          <w:p>
            <w:pPr>
              <w:spacing w:after="0"/>
              <w:rPr>
                <w:sz w:val="13"/>
                <w:szCs w:val="13"/>
                <w:color w:val="auto"/>
              </w:rPr>
            </w:pPr>
          </w:p>
        </w:tc>
        <w:tc>
          <w:tcPr>
            <w:tcW w:w="6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(15,784)</w:t>
            </w:r>
          </w:p>
        </w:tc>
      </w:tr>
      <w:tr>
        <w:trPr>
          <w:trHeight w:val="153"/>
        </w:trPr>
        <w:tc>
          <w:tcPr>
            <w:tcW w:w="4260" w:type="dxa"/>
            <w:vAlign w:val="bottom"/>
          </w:tcPr>
          <w:p>
            <w:pPr>
              <w:ind w:left="120"/>
              <w:spacing w:after="0"/>
              <w:rPr>
                <w:sz w:val="20"/>
                <w:szCs w:val="20"/>
                <w:color w:val="auto"/>
              </w:rPr>
            </w:pPr>
            <w:r>
              <w:rPr>
                <w:rFonts w:ascii="Arial" w:cs="Arial" w:eastAsia="Arial" w:hAnsi="Arial"/>
                <w:sz w:val="12"/>
                <w:szCs w:val="12"/>
                <w:color w:val="auto"/>
              </w:rPr>
              <w:t>Dividends ($0.37 per share)</w:t>
            </w:r>
          </w:p>
        </w:tc>
        <w:tc>
          <w:tcPr>
            <w:tcW w:w="14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(4,933)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(4,933)</w:t>
            </w:r>
          </w:p>
        </w:tc>
      </w:tr>
      <w:tr>
        <w:trPr>
          <w:trHeight w:val="153"/>
        </w:trPr>
        <w:tc>
          <w:tcPr>
            <w:tcW w:w="4260" w:type="dxa"/>
            <w:vAlign w:val="bottom"/>
            <w:shd w:val="clear" w:color="auto" w:fill="B7E5FF"/>
          </w:tcPr>
          <w:p>
            <w:pPr>
              <w:ind w:left="120"/>
              <w:spacing w:after="0"/>
              <w:rPr>
                <w:sz w:val="20"/>
                <w:szCs w:val="20"/>
                <w:color w:val="auto"/>
              </w:rPr>
            </w:pPr>
            <w:r>
              <w:rPr>
                <w:rFonts w:ascii="Arial" w:cs="Arial" w:eastAsia="Arial" w:hAnsi="Arial"/>
                <w:sz w:val="12"/>
                <w:szCs w:val="12"/>
                <w:color w:val="auto"/>
              </w:rPr>
              <w:t>Share issuance and equity-based</w:t>
            </w:r>
          </w:p>
        </w:tc>
        <w:tc>
          <w:tcPr>
            <w:tcW w:w="140" w:type="dxa"/>
            <w:vAlign w:val="bottom"/>
            <w:shd w:val="clear" w:color="auto" w:fill="B7E5FF"/>
          </w:tcPr>
          <w:p>
            <w:pPr>
              <w:spacing w:after="0"/>
              <w:rPr>
                <w:sz w:val="13"/>
                <w:szCs w:val="13"/>
                <w:color w:val="auto"/>
              </w:rPr>
            </w:pPr>
          </w:p>
        </w:tc>
        <w:tc>
          <w:tcPr>
            <w:tcW w:w="780" w:type="dxa"/>
            <w:vAlign w:val="bottom"/>
            <w:shd w:val="clear" w:color="auto" w:fill="B7E5FF"/>
          </w:tcPr>
          <w:p>
            <w:pPr>
              <w:spacing w:after="0"/>
              <w:rPr>
                <w:sz w:val="13"/>
                <w:szCs w:val="13"/>
                <w:color w:val="auto"/>
              </w:rPr>
            </w:pPr>
          </w:p>
        </w:tc>
        <w:tc>
          <w:tcPr>
            <w:tcW w:w="120" w:type="dxa"/>
            <w:vAlign w:val="bottom"/>
            <w:shd w:val="clear" w:color="auto" w:fill="B7E5FF"/>
          </w:tcPr>
          <w:p>
            <w:pPr>
              <w:spacing w:after="0"/>
              <w:rPr>
                <w:sz w:val="13"/>
                <w:szCs w:val="13"/>
                <w:color w:val="auto"/>
              </w:rPr>
            </w:pPr>
          </w:p>
        </w:tc>
        <w:tc>
          <w:tcPr>
            <w:tcW w:w="160" w:type="dxa"/>
            <w:vAlign w:val="bottom"/>
            <w:shd w:val="clear" w:color="auto" w:fill="B7E5FF"/>
          </w:tcPr>
          <w:p>
            <w:pPr>
              <w:spacing w:after="0"/>
              <w:rPr>
                <w:sz w:val="13"/>
                <w:szCs w:val="13"/>
                <w:color w:val="auto"/>
              </w:rPr>
            </w:pPr>
          </w:p>
        </w:tc>
        <w:tc>
          <w:tcPr>
            <w:tcW w:w="880" w:type="dxa"/>
            <w:vAlign w:val="bottom"/>
            <w:shd w:val="clear" w:color="auto" w:fill="B7E5FF"/>
          </w:tcPr>
          <w:p>
            <w:pPr>
              <w:spacing w:after="0"/>
              <w:rPr>
                <w:sz w:val="13"/>
                <w:szCs w:val="13"/>
                <w:color w:val="auto"/>
              </w:rPr>
            </w:pPr>
          </w:p>
        </w:tc>
        <w:tc>
          <w:tcPr>
            <w:tcW w:w="120" w:type="dxa"/>
            <w:vAlign w:val="bottom"/>
            <w:shd w:val="clear" w:color="auto" w:fill="B7E5FF"/>
          </w:tcPr>
          <w:p>
            <w:pPr>
              <w:spacing w:after="0"/>
              <w:rPr>
                <w:sz w:val="13"/>
                <w:szCs w:val="13"/>
                <w:color w:val="auto"/>
              </w:rPr>
            </w:pPr>
          </w:p>
        </w:tc>
        <w:tc>
          <w:tcPr>
            <w:tcW w:w="140" w:type="dxa"/>
            <w:vAlign w:val="bottom"/>
            <w:shd w:val="clear" w:color="auto" w:fill="B7E5FF"/>
          </w:tcPr>
          <w:p>
            <w:pPr>
              <w:spacing w:after="0"/>
              <w:rPr>
                <w:sz w:val="13"/>
                <w:szCs w:val="13"/>
                <w:color w:val="auto"/>
              </w:rPr>
            </w:pPr>
          </w:p>
        </w:tc>
        <w:tc>
          <w:tcPr>
            <w:tcW w:w="780" w:type="dxa"/>
            <w:vAlign w:val="bottom"/>
            <w:shd w:val="clear" w:color="auto" w:fill="B7E5FF"/>
          </w:tcPr>
          <w:p>
            <w:pPr>
              <w:spacing w:after="0"/>
              <w:rPr>
                <w:sz w:val="13"/>
                <w:szCs w:val="13"/>
                <w:color w:val="auto"/>
              </w:rPr>
            </w:pPr>
          </w:p>
        </w:tc>
        <w:tc>
          <w:tcPr>
            <w:tcW w:w="100" w:type="dxa"/>
            <w:vAlign w:val="bottom"/>
            <w:shd w:val="clear" w:color="auto" w:fill="B7E5FF"/>
          </w:tcPr>
          <w:p>
            <w:pPr>
              <w:spacing w:after="0"/>
              <w:rPr>
                <w:sz w:val="13"/>
                <w:szCs w:val="13"/>
                <w:color w:val="auto"/>
              </w:rPr>
            </w:pPr>
          </w:p>
        </w:tc>
        <w:tc>
          <w:tcPr>
            <w:tcW w:w="220" w:type="dxa"/>
            <w:vAlign w:val="bottom"/>
            <w:shd w:val="clear" w:color="auto" w:fill="B7E5FF"/>
          </w:tcPr>
          <w:p>
            <w:pPr>
              <w:spacing w:after="0"/>
              <w:rPr>
                <w:sz w:val="13"/>
                <w:szCs w:val="13"/>
                <w:color w:val="auto"/>
              </w:rPr>
            </w:pPr>
          </w:p>
        </w:tc>
        <w:tc>
          <w:tcPr>
            <w:tcW w:w="1280" w:type="dxa"/>
            <w:vAlign w:val="bottom"/>
            <w:shd w:val="clear" w:color="auto" w:fill="B7E5FF"/>
          </w:tcPr>
          <w:p>
            <w:pPr>
              <w:spacing w:after="0"/>
              <w:rPr>
                <w:sz w:val="13"/>
                <w:szCs w:val="13"/>
                <w:color w:val="auto"/>
              </w:rPr>
            </w:pPr>
          </w:p>
        </w:tc>
        <w:tc>
          <w:tcPr>
            <w:tcW w:w="100" w:type="dxa"/>
            <w:vAlign w:val="bottom"/>
            <w:shd w:val="clear" w:color="auto" w:fill="B7E5FF"/>
          </w:tcPr>
          <w:p>
            <w:pPr>
              <w:spacing w:after="0"/>
              <w:rPr>
                <w:sz w:val="13"/>
                <w:szCs w:val="13"/>
                <w:color w:val="auto"/>
              </w:rPr>
            </w:pPr>
          </w:p>
        </w:tc>
        <w:tc>
          <w:tcPr>
            <w:tcW w:w="220" w:type="dxa"/>
            <w:vAlign w:val="bottom"/>
            <w:shd w:val="clear" w:color="auto" w:fill="B7E5FF"/>
          </w:tcPr>
          <w:p>
            <w:pPr>
              <w:spacing w:after="0"/>
              <w:rPr>
                <w:sz w:val="13"/>
                <w:szCs w:val="13"/>
                <w:color w:val="auto"/>
              </w:rPr>
            </w:pPr>
          </w:p>
        </w:tc>
        <w:tc>
          <w:tcPr>
            <w:tcW w:w="1260" w:type="dxa"/>
            <w:vAlign w:val="bottom"/>
            <w:shd w:val="clear" w:color="auto" w:fill="B7E5FF"/>
          </w:tcPr>
          <w:p>
            <w:pPr>
              <w:spacing w:after="0"/>
              <w:rPr>
                <w:sz w:val="13"/>
                <w:szCs w:val="13"/>
                <w:color w:val="auto"/>
              </w:rPr>
            </w:pPr>
          </w:p>
        </w:tc>
        <w:tc>
          <w:tcPr>
            <w:tcW w:w="120" w:type="dxa"/>
            <w:vAlign w:val="bottom"/>
            <w:shd w:val="clear" w:color="auto" w:fill="B7E5FF"/>
          </w:tcPr>
          <w:p>
            <w:pPr>
              <w:spacing w:after="0"/>
              <w:rPr>
                <w:sz w:val="13"/>
                <w:szCs w:val="13"/>
                <w:color w:val="auto"/>
              </w:rPr>
            </w:pPr>
          </w:p>
        </w:tc>
        <w:tc>
          <w:tcPr>
            <w:tcW w:w="160" w:type="dxa"/>
            <w:vAlign w:val="bottom"/>
            <w:shd w:val="clear" w:color="auto" w:fill="B7E5FF"/>
          </w:tcPr>
          <w:p>
            <w:pPr>
              <w:spacing w:after="0"/>
              <w:rPr>
                <w:sz w:val="13"/>
                <w:szCs w:val="13"/>
                <w:color w:val="auto"/>
              </w:rPr>
            </w:pPr>
          </w:p>
        </w:tc>
        <w:tc>
          <w:tcPr>
            <w:tcW w:w="640" w:type="dxa"/>
            <w:vAlign w:val="bottom"/>
            <w:shd w:val="clear" w:color="auto" w:fill="B7E5FF"/>
          </w:tcPr>
          <w:p>
            <w:pPr>
              <w:spacing w:after="0"/>
              <w:rPr>
                <w:sz w:val="13"/>
                <w:szCs w:val="13"/>
                <w:color w:val="auto"/>
              </w:rPr>
            </w:pPr>
          </w:p>
        </w:tc>
      </w:tr>
      <w:tr>
        <w:trPr>
          <w:trHeight w:val="153"/>
        </w:trPr>
        <w:tc>
          <w:tcPr>
            <w:tcW w:w="4260" w:type="dxa"/>
            <w:vAlign w:val="bottom"/>
          </w:tcPr>
          <w:p>
            <w:pPr>
              <w:ind w:left="240"/>
              <w:spacing w:after="0"/>
              <w:rPr>
                <w:sz w:val="20"/>
                <w:szCs w:val="20"/>
                <w:color w:val="auto"/>
              </w:rPr>
            </w:pPr>
            <w:r>
              <w:rPr>
                <w:rFonts w:ascii="Arial" w:cs="Arial" w:eastAsia="Arial" w:hAnsi="Arial"/>
                <w:sz w:val="12"/>
                <w:szCs w:val="12"/>
                <w:color w:val="auto"/>
              </w:rPr>
              <w:t>compensation plans</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1,253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1,261</w:t>
            </w:r>
          </w:p>
        </w:tc>
      </w:tr>
      <w:tr>
        <w:trPr>
          <w:trHeight w:val="140"/>
        </w:trPr>
        <w:tc>
          <w:tcPr>
            <w:tcW w:w="4260" w:type="dxa"/>
            <w:vAlign w:val="bottom"/>
            <w:tcBorders>
              <w:top w:val="single" w:sz="8" w:color="B7E5FF"/>
              <w:bottom w:val="single" w:sz="8" w:color="B7E5FF"/>
            </w:tcBorders>
            <w:shd w:val="clear" w:color="auto" w:fill="B7E5FF"/>
          </w:tcPr>
          <w:p>
            <w:pPr>
              <w:spacing w:after="0" w:line="133" w:lineRule="exact"/>
              <w:rPr>
                <w:sz w:val="20"/>
                <w:szCs w:val="20"/>
                <w:color w:val="auto"/>
              </w:rPr>
            </w:pPr>
            <w:r>
              <w:rPr>
                <w:rFonts w:ascii="Arial" w:cs="Arial" w:eastAsia="Arial" w:hAnsi="Arial"/>
                <w:sz w:val="12"/>
                <w:szCs w:val="12"/>
                <w:b w:val="1"/>
                <w:bCs w:val="1"/>
                <w:color w:val="auto"/>
              </w:rPr>
              <w:t>Balance at June 30, 2018</w:t>
            </w:r>
          </w:p>
        </w:tc>
        <w:tc>
          <w:tcPr>
            <w:tcW w:w="140" w:type="dxa"/>
            <w:vAlign w:val="bottom"/>
            <w:tcBorders>
              <w:top w:val="single" w:sz="8" w:color="auto"/>
              <w:bottom w:val="single" w:sz="8" w:color="auto"/>
            </w:tcBorders>
            <w:shd w:val="clear" w:color="auto" w:fill="B7E5FF"/>
          </w:tcPr>
          <w:p>
            <w:pPr>
              <w:jc w:val="right"/>
              <w:ind w:right="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13,331</w:t>
            </w:r>
          </w:p>
        </w:tc>
        <w:tc>
          <w:tcPr>
            <w:tcW w:w="120" w:type="dxa"/>
            <w:vAlign w:val="bottom"/>
            <w:tcBorders>
              <w:top w:val="single" w:sz="8" w:color="B7E5FF"/>
              <w:bottom w:val="single" w:sz="8" w:color="B7E5FF"/>
            </w:tcBorders>
            <w:shd w:val="clear" w:color="auto" w:fill="B7E5FF"/>
          </w:tcPr>
          <w:p>
            <w:pPr>
              <w:spacing w:after="0"/>
              <w:rPr>
                <w:sz w:val="12"/>
                <w:szCs w:val="12"/>
                <w:color w:val="auto"/>
              </w:rPr>
            </w:pPr>
          </w:p>
        </w:tc>
        <w:tc>
          <w:tcPr>
            <w:tcW w:w="160" w:type="dxa"/>
            <w:vAlign w:val="bottom"/>
            <w:tcBorders>
              <w:top w:val="single" w:sz="8" w:color="auto"/>
              <w:bottom w:val="single" w:sz="8" w:color="auto"/>
            </w:tcBorders>
            <w:shd w:val="clear" w:color="auto" w:fill="B7E5FF"/>
          </w:tcPr>
          <w:p>
            <w:pPr>
              <w:jc w:val="right"/>
              <w:ind w:right="5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94,984</w:t>
            </w:r>
          </w:p>
        </w:tc>
        <w:tc>
          <w:tcPr>
            <w:tcW w:w="120" w:type="dxa"/>
            <w:vAlign w:val="bottom"/>
            <w:tcBorders>
              <w:top w:val="single" w:sz="8" w:color="B7E5FF"/>
              <w:bottom w:val="single" w:sz="8" w:color="B7E5FF"/>
            </w:tcBorders>
            <w:shd w:val="clear" w:color="auto" w:fill="B7E5FF"/>
          </w:tcPr>
          <w:p>
            <w:pPr>
              <w:spacing w:after="0"/>
              <w:rPr>
                <w:sz w:val="12"/>
                <w:szCs w:val="12"/>
                <w:color w:val="auto"/>
              </w:rPr>
            </w:pPr>
          </w:p>
        </w:tc>
        <w:tc>
          <w:tcPr>
            <w:tcW w:w="140" w:type="dxa"/>
            <w:vAlign w:val="bottom"/>
            <w:tcBorders>
              <w:top w:val="single" w:sz="8" w:color="auto"/>
              <w:bottom w:val="single" w:sz="8" w:color="auto"/>
            </w:tcBorders>
            <w:shd w:val="clear" w:color="auto" w:fill="B7E5FF"/>
          </w:tcPr>
          <w:p>
            <w:pPr>
              <w:jc w:val="right"/>
              <w:ind w:right="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387,498</w:t>
            </w:r>
          </w:p>
        </w:tc>
        <w:tc>
          <w:tcPr>
            <w:tcW w:w="100" w:type="dxa"/>
            <w:vAlign w:val="bottom"/>
            <w:tcBorders>
              <w:top w:val="single" w:sz="8" w:color="B7E5FF"/>
              <w:bottom w:val="single" w:sz="8" w:color="B7E5FF"/>
            </w:tcBorders>
            <w:shd w:val="clear" w:color="auto" w:fill="B7E5FF"/>
          </w:tcPr>
          <w:p>
            <w:pPr>
              <w:spacing w:after="0"/>
              <w:rPr>
                <w:sz w:val="12"/>
                <w:szCs w:val="12"/>
                <w:color w:val="auto"/>
              </w:rPr>
            </w:pPr>
          </w:p>
        </w:tc>
        <w:tc>
          <w:tcPr>
            <w:tcW w:w="220" w:type="dxa"/>
            <w:vAlign w:val="bottom"/>
            <w:tcBorders>
              <w:top w:val="single" w:sz="8" w:color="auto"/>
              <w:bottom w:val="single" w:sz="8" w:color="auto"/>
            </w:tcBorders>
            <w:shd w:val="clear" w:color="auto" w:fill="B7E5FF"/>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(74,351)</w:t>
            </w:r>
          </w:p>
        </w:tc>
        <w:tc>
          <w:tcPr>
            <w:tcW w:w="100" w:type="dxa"/>
            <w:vAlign w:val="bottom"/>
            <w:tcBorders>
              <w:top w:val="single" w:sz="8" w:color="B7E5FF"/>
              <w:bottom w:val="single" w:sz="8" w:color="B7E5FF"/>
            </w:tcBorders>
            <w:shd w:val="clear" w:color="auto" w:fill="B7E5FF"/>
          </w:tcPr>
          <w:p>
            <w:pPr>
              <w:spacing w:after="0"/>
              <w:rPr>
                <w:sz w:val="12"/>
                <w:szCs w:val="12"/>
                <w:color w:val="auto"/>
              </w:rPr>
            </w:pPr>
          </w:p>
        </w:tc>
        <w:tc>
          <w:tcPr>
            <w:tcW w:w="220" w:type="dxa"/>
            <w:vAlign w:val="bottom"/>
            <w:tcBorders>
              <w:top w:val="single" w:sz="8" w:color="auto"/>
              <w:bottom w:val="single" w:sz="8" w:color="auto"/>
            </w:tcBorders>
            <w:shd w:val="clear" w:color="auto" w:fill="B7E5FF"/>
          </w:tcPr>
          <w:p>
            <w:pPr>
              <w:jc w:val="right"/>
              <w:ind w:right="110"/>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1,215</w:t>
            </w:r>
          </w:p>
        </w:tc>
        <w:tc>
          <w:tcPr>
            <w:tcW w:w="120" w:type="dxa"/>
            <w:vAlign w:val="bottom"/>
            <w:tcBorders>
              <w:top w:val="single" w:sz="8" w:color="B7E5FF"/>
              <w:bottom w:val="single" w:sz="8" w:color="B7E5FF"/>
            </w:tcBorders>
            <w:shd w:val="clear" w:color="auto" w:fill="B7E5FF"/>
          </w:tcPr>
          <w:p>
            <w:pPr>
              <w:spacing w:after="0"/>
              <w:rPr>
                <w:sz w:val="12"/>
                <w:szCs w:val="12"/>
                <w:color w:val="auto"/>
              </w:rPr>
            </w:pPr>
          </w:p>
        </w:tc>
        <w:tc>
          <w:tcPr>
            <w:tcW w:w="160" w:type="dxa"/>
            <w:vAlign w:val="bottom"/>
            <w:tcBorders>
              <w:top w:val="single" w:sz="8" w:color="auto"/>
              <w:bottom w:val="single" w:sz="8" w:color="auto"/>
            </w:tcBorders>
            <w:shd w:val="clear" w:color="auto" w:fill="B7E5FF"/>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422,677</w:t>
            </w:r>
          </w:p>
        </w:tc>
      </w:tr>
      <w:tr>
        <w:trPr>
          <w:trHeight w:val="594"/>
        </w:trPr>
        <w:tc>
          <w:tcPr>
            <w:tcW w:w="4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480"/>
              <w:spacing w:after="0"/>
              <w:rPr>
                <w:sz w:val="20"/>
                <w:szCs w:val="20"/>
                <w:color w:val="auto"/>
              </w:rPr>
            </w:pPr>
            <w:r>
              <w:rPr>
                <w:rFonts w:ascii="Arial" w:cs="Arial" w:eastAsia="Arial" w:hAnsi="Arial"/>
                <w:sz w:val="12"/>
                <w:szCs w:val="12"/>
                <w:color w:val="auto"/>
              </w:rPr>
              <w:t>19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72"/>
        </w:trPr>
        <w:tc>
          <w:tcPr>
            <w:tcW w:w="42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-23495</wp:posOffset>
            </wp:positionV>
            <wp:extent cx="31115"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20" w:name="page21"/>
    <w:bookmarkEnd w:id="20"/>
    <w:p>
      <w:pPr>
        <w:jc w:val="center"/>
        <w:ind w:right="20"/>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i w:val="1"/>
          <w:iCs w:val="1"/>
          <w:color w:val="auto"/>
        </w:rPr>
        <w:t>(Unaudited)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0"/>
              </w:rPr>
              <w:t>Accumulated</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4"/>
        </w:trPr>
        <w:tc>
          <w:tcPr>
            <w:tcW w:w="4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6"/>
              </w:rPr>
              <w:t>Capital in</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3"/>
              </w:rPr>
              <w:t>Other</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4"/>
        </w:trPr>
        <w:tc>
          <w:tcPr>
            <w:tcW w:w="4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Common</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5"/>
              </w:rPr>
              <w:t>Excess of</w:t>
            </w:r>
          </w:p>
        </w:tc>
        <w:tc>
          <w:tcPr>
            <w:tcW w:w="140" w:type="dxa"/>
            <w:vAlign w:val="bottom"/>
          </w:tcPr>
          <w:p>
            <w:pPr>
              <w:spacing w:after="0"/>
              <w:rPr>
                <w:sz w:val="12"/>
                <w:szCs w:val="12"/>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Retained</w:t>
            </w:r>
          </w:p>
        </w:tc>
        <w:tc>
          <w:tcPr>
            <w:tcW w:w="220" w:type="dxa"/>
            <w:vAlign w:val="bottom"/>
          </w:tcPr>
          <w:p>
            <w:pPr>
              <w:spacing w:after="0"/>
              <w:rPr>
                <w:sz w:val="12"/>
                <w:szCs w:val="12"/>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6"/>
              </w:rPr>
              <w:t>Comprehensive</w:t>
            </w:r>
          </w:p>
        </w:tc>
        <w:tc>
          <w:tcPr>
            <w:tcW w:w="220" w:type="dxa"/>
            <w:vAlign w:val="bottom"/>
          </w:tcPr>
          <w:p>
            <w:pPr>
              <w:spacing w:after="0"/>
              <w:rPr>
                <w:sz w:val="12"/>
                <w:szCs w:val="12"/>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9"/>
              </w:rPr>
              <w:t>Noncontrolling</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7"/>
        </w:trPr>
        <w:tc>
          <w:tcPr>
            <w:tcW w:w="4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Stock</w:t>
            </w:r>
          </w:p>
        </w:tc>
        <w:tc>
          <w:tcPr>
            <w:tcW w:w="160" w:type="dxa"/>
            <w:vAlign w:val="bottom"/>
          </w:tcPr>
          <w:p>
            <w:pPr>
              <w:spacing w:after="0"/>
              <w:rPr>
                <w:sz w:val="13"/>
                <w:szCs w:val="13"/>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4"/>
              </w:rPr>
              <w:t>Par Value</w:t>
            </w:r>
          </w:p>
        </w:tc>
        <w:tc>
          <w:tcPr>
            <w:tcW w:w="14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Earnings</w:t>
            </w:r>
          </w:p>
        </w:tc>
        <w:tc>
          <w:tcPr>
            <w:tcW w:w="220" w:type="dxa"/>
            <w:vAlign w:val="bottom"/>
          </w:tcPr>
          <w:p>
            <w:pPr>
              <w:spacing w:after="0"/>
              <w:rPr>
                <w:sz w:val="13"/>
                <w:szCs w:val="13"/>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78"/>
              </w:rPr>
              <w:t>Loss</w:t>
            </w:r>
          </w:p>
        </w:tc>
        <w:tc>
          <w:tcPr>
            <w:tcW w:w="220" w:type="dxa"/>
            <w:vAlign w:val="bottom"/>
          </w:tcPr>
          <w:p>
            <w:pPr>
              <w:spacing w:after="0"/>
              <w:rPr>
                <w:sz w:val="13"/>
                <w:szCs w:val="13"/>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2"/>
              </w:rPr>
              <w:t>Interest</w:t>
            </w:r>
          </w:p>
        </w:tc>
        <w:tc>
          <w:tcPr>
            <w:tcW w:w="160" w:type="dxa"/>
            <w:vAlign w:val="bottom"/>
          </w:tcPr>
          <w:p>
            <w:pPr>
              <w:spacing w:after="0"/>
              <w:rPr>
                <w:sz w:val="13"/>
                <w:szCs w:val="13"/>
                <w:color w:val="auto"/>
              </w:rPr>
            </w:pPr>
          </w:p>
        </w:tc>
        <w:tc>
          <w:tcPr>
            <w:tcW w:w="640" w:type="dxa"/>
            <w:vAlign w:val="bottom"/>
          </w:tcPr>
          <w:p>
            <w:pPr>
              <w:jc w:val="right"/>
              <w:ind w:right="220"/>
              <w:spacing w:after="0"/>
              <w:rPr>
                <w:sz w:val="20"/>
                <w:szCs w:val="20"/>
                <w:color w:val="auto"/>
              </w:rPr>
            </w:pPr>
            <w:r>
              <w:rPr>
                <w:rFonts w:ascii="Arial" w:cs="Arial" w:eastAsia="Arial" w:hAnsi="Arial"/>
                <w:sz w:val="12"/>
                <w:szCs w:val="12"/>
                <w:b w:val="1"/>
                <w:bCs w:val="1"/>
                <w:color w:val="auto"/>
              </w:rPr>
              <w:t>Total</w:t>
            </w:r>
          </w:p>
        </w:tc>
      </w:tr>
      <w:tr>
        <w:trPr>
          <w:trHeight w:val="133"/>
        </w:trPr>
        <w:tc>
          <w:tcPr>
            <w:tcW w:w="4260" w:type="dxa"/>
            <w:vAlign w:val="bottom"/>
            <w:tcBorders>
              <w:top w:val="single" w:sz="8" w:color="B7E5FF"/>
            </w:tcBorders>
            <w:shd w:val="clear" w:color="auto" w:fill="B7E5FF"/>
          </w:tcPr>
          <w:p>
            <w:pPr>
              <w:spacing w:after="0" w:line="133" w:lineRule="exact"/>
              <w:rPr>
                <w:sz w:val="20"/>
                <w:szCs w:val="20"/>
                <w:color w:val="auto"/>
              </w:rPr>
            </w:pPr>
            <w:r>
              <w:rPr>
                <w:rFonts w:ascii="Arial" w:cs="Arial" w:eastAsia="Arial" w:hAnsi="Arial"/>
                <w:sz w:val="12"/>
                <w:szCs w:val="12"/>
                <w:b w:val="1"/>
                <w:bCs w:val="1"/>
                <w:color w:val="auto"/>
              </w:rPr>
              <w:t>Balance at December 31, 2018</w:t>
            </w:r>
          </w:p>
        </w:tc>
        <w:tc>
          <w:tcPr>
            <w:tcW w:w="140" w:type="dxa"/>
            <w:vAlign w:val="bottom"/>
            <w:tcBorders>
              <w:top w:val="single" w:sz="8" w:color="auto"/>
            </w:tcBorders>
            <w:shd w:val="clear" w:color="auto" w:fill="B7E5FF"/>
          </w:tcPr>
          <w:p>
            <w:pPr>
              <w:jc w:val="right"/>
              <w:ind w:right="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13,338</w:t>
            </w:r>
          </w:p>
        </w:tc>
        <w:tc>
          <w:tcPr>
            <w:tcW w:w="120" w:type="dxa"/>
            <w:vAlign w:val="bottom"/>
            <w:tcBorders>
              <w:top w:val="single" w:sz="8" w:color="B7E5FF"/>
            </w:tcBorders>
            <w:shd w:val="clear" w:color="auto" w:fill="B7E5FF"/>
          </w:tcPr>
          <w:p>
            <w:pPr>
              <w:spacing w:after="0"/>
              <w:rPr>
                <w:sz w:val="11"/>
                <w:szCs w:val="11"/>
                <w:color w:val="auto"/>
              </w:rPr>
            </w:pPr>
          </w:p>
        </w:tc>
        <w:tc>
          <w:tcPr>
            <w:tcW w:w="160" w:type="dxa"/>
            <w:vAlign w:val="bottom"/>
            <w:tcBorders>
              <w:top w:val="single" w:sz="8" w:color="auto"/>
            </w:tcBorders>
            <w:shd w:val="clear" w:color="auto" w:fill="B7E5FF"/>
          </w:tcPr>
          <w:p>
            <w:pPr>
              <w:jc w:val="right"/>
              <w:ind w:right="5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97,304</w:t>
            </w:r>
          </w:p>
        </w:tc>
        <w:tc>
          <w:tcPr>
            <w:tcW w:w="120" w:type="dxa"/>
            <w:vAlign w:val="bottom"/>
            <w:tcBorders>
              <w:top w:val="single" w:sz="8" w:color="B7E5FF"/>
            </w:tcBorders>
            <w:shd w:val="clear" w:color="auto" w:fill="B7E5FF"/>
          </w:tcPr>
          <w:p>
            <w:pPr>
              <w:spacing w:after="0"/>
              <w:rPr>
                <w:sz w:val="11"/>
                <w:szCs w:val="11"/>
                <w:color w:val="auto"/>
              </w:rPr>
            </w:pPr>
          </w:p>
        </w:tc>
        <w:tc>
          <w:tcPr>
            <w:tcW w:w="140" w:type="dxa"/>
            <w:vAlign w:val="bottom"/>
            <w:tcBorders>
              <w:top w:val="single" w:sz="8" w:color="auto"/>
            </w:tcBorders>
            <w:shd w:val="clear" w:color="auto" w:fill="B7E5FF"/>
          </w:tcPr>
          <w:p>
            <w:pPr>
              <w:jc w:val="right"/>
              <w:ind w:right="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405,125</w:t>
            </w:r>
          </w:p>
        </w:tc>
        <w:tc>
          <w:tcPr>
            <w:tcW w:w="100" w:type="dxa"/>
            <w:vAlign w:val="bottom"/>
            <w:tcBorders>
              <w:top w:val="single" w:sz="8" w:color="B7E5FF"/>
            </w:tcBorders>
            <w:shd w:val="clear" w:color="auto" w:fill="B7E5FF"/>
          </w:tcPr>
          <w:p>
            <w:pPr>
              <w:spacing w:after="0"/>
              <w:rPr>
                <w:sz w:val="11"/>
                <w:szCs w:val="11"/>
                <w:color w:val="auto"/>
              </w:rPr>
            </w:pPr>
          </w:p>
        </w:tc>
        <w:tc>
          <w:tcPr>
            <w:tcW w:w="220" w:type="dxa"/>
            <w:vAlign w:val="bottom"/>
            <w:tcBorders>
              <w:top w:val="single" w:sz="8" w:color="auto"/>
            </w:tcBorders>
            <w:shd w:val="clear" w:color="auto" w:fill="B7E5FF"/>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(80,715)</w:t>
            </w:r>
          </w:p>
        </w:tc>
        <w:tc>
          <w:tcPr>
            <w:tcW w:w="100" w:type="dxa"/>
            <w:vAlign w:val="bottom"/>
            <w:tcBorders>
              <w:top w:val="single" w:sz="8" w:color="B7E5FF"/>
            </w:tcBorders>
            <w:shd w:val="clear" w:color="auto" w:fill="B7E5FF"/>
          </w:tcPr>
          <w:p>
            <w:pPr>
              <w:spacing w:after="0"/>
              <w:rPr>
                <w:sz w:val="11"/>
                <w:szCs w:val="11"/>
                <w:color w:val="auto"/>
              </w:rPr>
            </w:pPr>
          </w:p>
        </w:tc>
        <w:tc>
          <w:tcPr>
            <w:tcW w:w="220" w:type="dxa"/>
            <w:vAlign w:val="bottom"/>
            <w:tcBorders>
              <w:top w:val="single" w:sz="8" w:color="auto"/>
            </w:tcBorders>
            <w:shd w:val="clear" w:color="auto" w:fill="B7E5FF"/>
          </w:tcPr>
          <w:p>
            <w:pPr>
              <w:jc w:val="right"/>
              <w:ind w:right="110"/>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1,317</w:t>
            </w:r>
          </w:p>
        </w:tc>
        <w:tc>
          <w:tcPr>
            <w:tcW w:w="120" w:type="dxa"/>
            <w:vAlign w:val="bottom"/>
            <w:tcBorders>
              <w:top w:val="single" w:sz="8" w:color="B7E5FF"/>
            </w:tcBorders>
            <w:shd w:val="clear" w:color="auto" w:fill="B7E5FF"/>
          </w:tcPr>
          <w:p>
            <w:pPr>
              <w:spacing w:after="0"/>
              <w:rPr>
                <w:sz w:val="11"/>
                <w:szCs w:val="11"/>
                <w:color w:val="auto"/>
              </w:rPr>
            </w:pPr>
          </w:p>
        </w:tc>
        <w:tc>
          <w:tcPr>
            <w:tcW w:w="160" w:type="dxa"/>
            <w:vAlign w:val="bottom"/>
            <w:tcBorders>
              <w:top w:val="single" w:sz="8" w:color="auto"/>
            </w:tcBorders>
            <w:shd w:val="clear" w:color="auto" w:fill="B7E5FF"/>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436,369</w:t>
            </w:r>
          </w:p>
        </w:tc>
      </w:tr>
      <w:tr>
        <w:trPr>
          <w:trHeight w:val="153"/>
        </w:trPr>
        <w:tc>
          <w:tcPr>
            <w:tcW w:w="4260" w:type="dxa"/>
            <w:vAlign w:val="bottom"/>
          </w:tcPr>
          <w:p>
            <w:pPr>
              <w:ind w:left="120"/>
              <w:spacing w:after="0"/>
              <w:rPr>
                <w:sz w:val="20"/>
                <w:szCs w:val="20"/>
                <w:color w:val="auto"/>
              </w:rPr>
            </w:pPr>
            <w:r>
              <w:rPr>
                <w:rFonts w:ascii="Arial" w:cs="Arial" w:eastAsia="Arial" w:hAnsi="Arial"/>
                <w:sz w:val="12"/>
                <w:szCs w:val="12"/>
                <w:color w:val="auto"/>
              </w:rPr>
              <w:t>Cumulative effect of an accounting change</w:t>
            </w:r>
          </w:p>
        </w:tc>
        <w:tc>
          <w:tcPr>
            <w:tcW w:w="14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(44)</w:t>
            </w:r>
          </w:p>
        </w:tc>
      </w:tr>
      <w:tr>
        <w:trPr>
          <w:trHeight w:val="133"/>
        </w:trPr>
        <w:tc>
          <w:tcPr>
            <w:tcW w:w="4260" w:type="dxa"/>
            <w:vAlign w:val="bottom"/>
            <w:tcBorders>
              <w:top w:val="single" w:sz="8" w:color="B7E5FF"/>
            </w:tcBorders>
            <w:shd w:val="clear" w:color="auto" w:fill="B7E5FF"/>
          </w:tcPr>
          <w:p>
            <w:pPr>
              <w:spacing w:after="0" w:line="133" w:lineRule="exact"/>
              <w:rPr>
                <w:sz w:val="20"/>
                <w:szCs w:val="20"/>
                <w:color w:val="auto"/>
              </w:rPr>
            </w:pPr>
            <w:r>
              <w:rPr>
                <w:rFonts w:ascii="Arial" w:cs="Arial" w:eastAsia="Arial" w:hAnsi="Arial"/>
                <w:sz w:val="12"/>
                <w:szCs w:val="12"/>
                <w:b w:val="1"/>
                <w:bCs w:val="1"/>
                <w:color w:val="auto"/>
              </w:rPr>
              <w:t>Balance at January 1, 2019</w:t>
            </w:r>
          </w:p>
        </w:tc>
        <w:tc>
          <w:tcPr>
            <w:tcW w:w="140" w:type="dxa"/>
            <w:vAlign w:val="bottom"/>
            <w:tcBorders>
              <w:top w:val="single" w:sz="8" w:color="auto"/>
            </w:tcBorders>
            <w:shd w:val="clear" w:color="auto" w:fill="B7E5FF"/>
          </w:tcPr>
          <w:p>
            <w:pPr>
              <w:spacing w:after="0"/>
              <w:rPr>
                <w:sz w:val="11"/>
                <w:szCs w:val="11"/>
                <w:color w:val="auto"/>
              </w:rPr>
            </w:pPr>
          </w:p>
        </w:tc>
        <w:tc>
          <w:tcPr>
            <w:tcW w:w="78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13,338</w:t>
            </w:r>
          </w:p>
        </w:tc>
        <w:tc>
          <w:tcPr>
            <w:tcW w:w="120" w:type="dxa"/>
            <w:vAlign w:val="bottom"/>
            <w:tcBorders>
              <w:top w:val="single" w:sz="8" w:color="B7E5FF"/>
            </w:tcBorders>
            <w:shd w:val="clear" w:color="auto" w:fill="B7E5FF"/>
          </w:tcPr>
          <w:p>
            <w:pPr>
              <w:spacing w:after="0"/>
              <w:rPr>
                <w:sz w:val="11"/>
                <w:szCs w:val="11"/>
                <w:color w:val="auto"/>
              </w:rPr>
            </w:pPr>
          </w:p>
        </w:tc>
        <w:tc>
          <w:tcPr>
            <w:tcW w:w="160" w:type="dxa"/>
            <w:vAlign w:val="bottom"/>
            <w:tcBorders>
              <w:top w:val="single" w:sz="8" w:color="auto"/>
            </w:tcBorders>
            <w:shd w:val="clear" w:color="auto" w:fill="B7E5FF"/>
          </w:tcPr>
          <w:p>
            <w:pPr>
              <w:spacing w:after="0"/>
              <w:rPr>
                <w:sz w:val="11"/>
                <w:szCs w:val="11"/>
                <w:color w:val="auto"/>
              </w:rPr>
            </w:pPr>
          </w:p>
        </w:tc>
        <w:tc>
          <w:tcPr>
            <w:tcW w:w="88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97,304</w:t>
            </w:r>
          </w:p>
        </w:tc>
        <w:tc>
          <w:tcPr>
            <w:tcW w:w="120" w:type="dxa"/>
            <w:vAlign w:val="bottom"/>
            <w:tcBorders>
              <w:top w:val="single" w:sz="8" w:color="B7E5FF"/>
            </w:tcBorders>
            <w:shd w:val="clear" w:color="auto" w:fill="B7E5FF"/>
          </w:tcPr>
          <w:p>
            <w:pPr>
              <w:spacing w:after="0"/>
              <w:rPr>
                <w:sz w:val="11"/>
                <w:szCs w:val="11"/>
                <w:color w:val="auto"/>
              </w:rPr>
            </w:pPr>
          </w:p>
        </w:tc>
        <w:tc>
          <w:tcPr>
            <w:tcW w:w="140" w:type="dxa"/>
            <w:vAlign w:val="bottom"/>
            <w:tcBorders>
              <w:top w:val="single" w:sz="8" w:color="auto"/>
            </w:tcBorders>
            <w:shd w:val="clear" w:color="auto" w:fill="B7E5FF"/>
          </w:tcPr>
          <w:p>
            <w:pPr>
              <w:spacing w:after="0"/>
              <w:rPr>
                <w:sz w:val="11"/>
                <w:szCs w:val="11"/>
                <w:color w:val="auto"/>
              </w:rPr>
            </w:pPr>
          </w:p>
        </w:tc>
        <w:tc>
          <w:tcPr>
            <w:tcW w:w="78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405,081</w:t>
            </w:r>
          </w:p>
        </w:tc>
        <w:tc>
          <w:tcPr>
            <w:tcW w:w="100" w:type="dxa"/>
            <w:vAlign w:val="bottom"/>
            <w:tcBorders>
              <w:top w:val="single" w:sz="8" w:color="B7E5FF"/>
            </w:tcBorders>
            <w:shd w:val="clear" w:color="auto" w:fill="B7E5FF"/>
          </w:tcPr>
          <w:p>
            <w:pPr>
              <w:spacing w:after="0"/>
              <w:rPr>
                <w:sz w:val="11"/>
                <w:szCs w:val="11"/>
                <w:color w:val="auto"/>
              </w:rPr>
            </w:pPr>
          </w:p>
        </w:tc>
        <w:tc>
          <w:tcPr>
            <w:tcW w:w="220" w:type="dxa"/>
            <w:vAlign w:val="bottom"/>
            <w:tcBorders>
              <w:top w:val="single" w:sz="8" w:color="auto"/>
            </w:tcBorders>
            <w:shd w:val="clear" w:color="auto" w:fill="B7E5FF"/>
          </w:tcPr>
          <w:p>
            <w:pPr>
              <w:spacing w:after="0"/>
              <w:rPr>
                <w:sz w:val="11"/>
                <w:szCs w:val="11"/>
                <w:color w:val="auto"/>
              </w:rPr>
            </w:pPr>
          </w:p>
        </w:tc>
        <w:tc>
          <w:tcPr>
            <w:tcW w:w="128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(80,715)</w:t>
            </w:r>
          </w:p>
        </w:tc>
        <w:tc>
          <w:tcPr>
            <w:tcW w:w="100" w:type="dxa"/>
            <w:vAlign w:val="bottom"/>
            <w:tcBorders>
              <w:top w:val="single" w:sz="8" w:color="B7E5FF"/>
            </w:tcBorders>
            <w:shd w:val="clear" w:color="auto" w:fill="B7E5FF"/>
          </w:tcPr>
          <w:p>
            <w:pPr>
              <w:spacing w:after="0"/>
              <w:rPr>
                <w:sz w:val="11"/>
                <w:szCs w:val="11"/>
                <w:color w:val="auto"/>
              </w:rPr>
            </w:pPr>
          </w:p>
        </w:tc>
        <w:tc>
          <w:tcPr>
            <w:tcW w:w="220" w:type="dxa"/>
            <w:vAlign w:val="bottom"/>
            <w:tcBorders>
              <w:top w:val="single" w:sz="8" w:color="auto"/>
            </w:tcBorders>
            <w:shd w:val="clear" w:color="auto" w:fill="B7E5FF"/>
          </w:tcPr>
          <w:p>
            <w:pPr>
              <w:spacing w:after="0"/>
              <w:rPr>
                <w:sz w:val="11"/>
                <w:szCs w:val="11"/>
                <w:color w:val="auto"/>
              </w:rPr>
            </w:pPr>
          </w:p>
        </w:tc>
        <w:tc>
          <w:tcPr>
            <w:tcW w:w="126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1,317</w:t>
            </w:r>
          </w:p>
        </w:tc>
        <w:tc>
          <w:tcPr>
            <w:tcW w:w="120" w:type="dxa"/>
            <w:vAlign w:val="bottom"/>
            <w:tcBorders>
              <w:top w:val="single" w:sz="8" w:color="B7E5FF"/>
            </w:tcBorders>
            <w:shd w:val="clear" w:color="auto" w:fill="B7E5FF"/>
          </w:tcPr>
          <w:p>
            <w:pPr>
              <w:spacing w:after="0"/>
              <w:rPr>
                <w:sz w:val="11"/>
                <w:szCs w:val="11"/>
                <w:color w:val="auto"/>
              </w:rPr>
            </w:pPr>
          </w:p>
        </w:tc>
        <w:tc>
          <w:tcPr>
            <w:tcW w:w="160" w:type="dxa"/>
            <w:vAlign w:val="bottom"/>
            <w:tcBorders>
              <w:top w:val="single" w:sz="8" w:color="auto"/>
            </w:tcBorders>
            <w:shd w:val="clear" w:color="auto" w:fill="B7E5FF"/>
          </w:tcPr>
          <w:p>
            <w:pPr>
              <w:spacing w:after="0"/>
              <w:rPr>
                <w:sz w:val="11"/>
                <w:szCs w:val="11"/>
                <w:color w:val="auto"/>
              </w:rPr>
            </w:pPr>
          </w:p>
        </w:tc>
        <w:tc>
          <w:tcPr>
            <w:tcW w:w="64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436,325</w:t>
            </w:r>
          </w:p>
        </w:tc>
      </w:tr>
      <w:tr>
        <w:trPr>
          <w:trHeight w:val="153"/>
        </w:trPr>
        <w:tc>
          <w:tcPr>
            <w:tcW w:w="426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14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29,435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114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29,549</w:t>
            </w:r>
          </w:p>
        </w:tc>
      </w:tr>
      <w:tr>
        <w:trPr>
          <w:trHeight w:val="153"/>
        </w:trPr>
        <w:tc>
          <w:tcPr>
            <w:tcW w:w="4260" w:type="dxa"/>
            <w:vAlign w:val="bottom"/>
            <w:shd w:val="clear" w:color="auto" w:fill="B7E5FF"/>
          </w:tcPr>
          <w:p>
            <w:pPr>
              <w:ind w:left="120"/>
              <w:spacing w:after="0"/>
              <w:rPr>
                <w:sz w:val="20"/>
                <w:szCs w:val="20"/>
                <w:color w:val="auto"/>
              </w:rPr>
            </w:pPr>
            <w:r>
              <w:rPr>
                <w:rFonts w:ascii="Arial" w:cs="Arial" w:eastAsia="Arial" w:hAnsi="Arial"/>
                <w:sz w:val="12"/>
                <w:szCs w:val="12"/>
                <w:color w:val="auto"/>
              </w:rPr>
              <w:t>Amounts reported in other comprehensive</w:t>
            </w:r>
          </w:p>
        </w:tc>
        <w:tc>
          <w:tcPr>
            <w:tcW w:w="140" w:type="dxa"/>
            <w:vAlign w:val="bottom"/>
            <w:shd w:val="clear" w:color="auto" w:fill="B7E5FF"/>
          </w:tcPr>
          <w:p>
            <w:pPr>
              <w:spacing w:after="0"/>
              <w:rPr>
                <w:sz w:val="13"/>
                <w:szCs w:val="13"/>
                <w:color w:val="auto"/>
              </w:rPr>
            </w:pPr>
          </w:p>
        </w:tc>
        <w:tc>
          <w:tcPr>
            <w:tcW w:w="780" w:type="dxa"/>
            <w:vAlign w:val="bottom"/>
            <w:shd w:val="clear" w:color="auto" w:fill="B7E5FF"/>
          </w:tcPr>
          <w:p>
            <w:pPr>
              <w:spacing w:after="0"/>
              <w:rPr>
                <w:sz w:val="13"/>
                <w:szCs w:val="13"/>
                <w:color w:val="auto"/>
              </w:rPr>
            </w:pPr>
          </w:p>
        </w:tc>
        <w:tc>
          <w:tcPr>
            <w:tcW w:w="120" w:type="dxa"/>
            <w:vAlign w:val="bottom"/>
            <w:shd w:val="clear" w:color="auto" w:fill="B7E5FF"/>
          </w:tcPr>
          <w:p>
            <w:pPr>
              <w:spacing w:after="0"/>
              <w:rPr>
                <w:sz w:val="13"/>
                <w:szCs w:val="13"/>
                <w:color w:val="auto"/>
              </w:rPr>
            </w:pPr>
          </w:p>
        </w:tc>
        <w:tc>
          <w:tcPr>
            <w:tcW w:w="160" w:type="dxa"/>
            <w:vAlign w:val="bottom"/>
            <w:shd w:val="clear" w:color="auto" w:fill="B7E5FF"/>
          </w:tcPr>
          <w:p>
            <w:pPr>
              <w:spacing w:after="0"/>
              <w:rPr>
                <w:sz w:val="13"/>
                <w:szCs w:val="13"/>
                <w:color w:val="auto"/>
              </w:rPr>
            </w:pPr>
          </w:p>
        </w:tc>
        <w:tc>
          <w:tcPr>
            <w:tcW w:w="880" w:type="dxa"/>
            <w:vAlign w:val="bottom"/>
            <w:shd w:val="clear" w:color="auto" w:fill="B7E5FF"/>
          </w:tcPr>
          <w:p>
            <w:pPr>
              <w:spacing w:after="0"/>
              <w:rPr>
                <w:sz w:val="13"/>
                <w:szCs w:val="13"/>
                <w:color w:val="auto"/>
              </w:rPr>
            </w:pPr>
          </w:p>
        </w:tc>
        <w:tc>
          <w:tcPr>
            <w:tcW w:w="120" w:type="dxa"/>
            <w:vAlign w:val="bottom"/>
            <w:shd w:val="clear" w:color="auto" w:fill="B7E5FF"/>
          </w:tcPr>
          <w:p>
            <w:pPr>
              <w:spacing w:after="0"/>
              <w:rPr>
                <w:sz w:val="13"/>
                <w:szCs w:val="13"/>
                <w:color w:val="auto"/>
              </w:rPr>
            </w:pPr>
          </w:p>
        </w:tc>
        <w:tc>
          <w:tcPr>
            <w:tcW w:w="140" w:type="dxa"/>
            <w:vAlign w:val="bottom"/>
            <w:shd w:val="clear" w:color="auto" w:fill="B7E5FF"/>
          </w:tcPr>
          <w:p>
            <w:pPr>
              <w:spacing w:after="0"/>
              <w:rPr>
                <w:sz w:val="13"/>
                <w:szCs w:val="13"/>
                <w:color w:val="auto"/>
              </w:rPr>
            </w:pPr>
          </w:p>
        </w:tc>
        <w:tc>
          <w:tcPr>
            <w:tcW w:w="780" w:type="dxa"/>
            <w:vAlign w:val="bottom"/>
            <w:shd w:val="clear" w:color="auto" w:fill="B7E5FF"/>
          </w:tcPr>
          <w:p>
            <w:pPr>
              <w:spacing w:after="0"/>
              <w:rPr>
                <w:sz w:val="13"/>
                <w:szCs w:val="13"/>
                <w:color w:val="auto"/>
              </w:rPr>
            </w:pPr>
          </w:p>
        </w:tc>
        <w:tc>
          <w:tcPr>
            <w:tcW w:w="100" w:type="dxa"/>
            <w:vAlign w:val="bottom"/>
            <w:shd w:val="clear" w:color="auto" w:fill="B7E5FF"/>
          </w:tcPr>
          <w:p>
            <w:pPr>
              <w:spacing w:after="0"/>
              <w:rPr>
                <w:sz w:val="13"/>
                <w:szCs w:val="13"/>
                <w:color w:val="auto"/>
              </w:rPr>
            </w:pPr>
          </w:p>
        </w:tc>
        <w:tc>
          <w:tcPr>
            <w:tcW w:w="220" w:type="dxa"/>
            <w:vAlign w:val="bottom"/>
            <w:shd w:val="clear" w:color="auto" w:fill="B7E5FF"/>
          </w:tcPr>
          <w:p>
            <w:pPr>
              <w:spacing w:after="0"/>
              <w:rPr>
                <w:sz w:val="13"/>
                <w:szCs w:val="13"/>
                <w:color w:val="auto"/>
              </w:rPr>
            </w:pPr>
          </w:p>
        </w:tc>
        <w:tc>
          <w:tcPr>
            <w:tcW w:w="1280" w:type="dxa"/>
            <w:vAlign w:val="bottom"/>
            <w:shd w:val="clear" w:color="auto" w:fill="B7E5FF"/>
          </w:tcPr>
          <w:p>
            <w:pPr>
              <w:spacing w:after="0"/>
              <w:rPr>
                <w:sz w:val="13"/>
                <w:szCs w:val="13"/>
                <w:color w:val="auto"/>
              </w:rPr>
            </w:pPr>
          </w:p>
        </w:tc>
        <w:tc>
          <w:tcPr>
            <w:tcW w:w="100" w:type="dxa"/>
            <w:vAlign w:val="bottom"/>
            <w:shd w:val="clear" w:color="auto" w:fill="B7E5FF"/>
          </w:tcPr>
          <w:p>
            <w:pPr>
              <w:spacing w:after="0"/>
              <w:rPr>
                <w:sz w:val="13"/>
                <w:szCs w:val="13"/>
                <w:color w:val="auto"/>
              </w:rPr>
            </w:pPr>
          </w:p>
        </w:tc>
        <w:tc>
          <w:tcPr>
            <w:tcW w:w="220" w:type="dxa"/>
            <w:vAlign w:val="bottom"/>
            <w:shd w:val="clear" w:color="auto" w:fill="B7E5FF"/>
          </w:tcPr>
          <w:p>
            <w:pPr>
              <w:spacing w:after="0"/>
              <w:rPr>
                <w:sz w:val="13"/>
                <w:szCs w:val="13"/>
                <w:color w:val="auto"/>
              </w:rPr>
            </w:pPr>
          </w:p>
        </w:tc>
        <w:tc>
          <w:tcPr>
            <w:tcW w:w="1260" w:type="dxa"/>
            <w:vAlign w:val="bottom"/>
            <w:shd w:val="clear" w:color="auto" w:fill="B7E5FF"/>
          </w:tcPr>
          <w:p>
            <w:pPr>
              <w:spacing w:after="0"/>
              <w:rPr>
                <w:sz w:val="13"/>
                <w:szCs w:val="13"/>
                <w:color w:val="auto"/>
              </w:rPr>
            </w:pPr>
          </w:p>
        </w:tc>
        <w:tc>
          <w:tcPr>
            <w:tcW w:w="120" w:type="dxa"/>
            <w:vAlign w:val="bottom"/>
            <w:shd w:val="clear" w:color="auto" w:fill="B7E5FF"/>
          </w:tcPr>
          <w:p>
            <w:pPr>
              <w:spacing w:after="0"/>
              <w:rPr>
                <w:sz w:val="13"/>
                <w:szCs w:val="13"/>
                <w:color w:val="auto"/>
              </w:rPr>
            </w:pPr>
          </w:p>
        </w:tc>
        <w:tc>
          <w:tcPr>
            <w:tcW w:w="160" w:type="dxa"/>
            <w:vAlign w:val="bottom"/>
            <w:shd w:val="clear" w:color="auto" w:fill="B7E5FF"/>
          </w:tcPr>
          <w:p>
            <w:pPr>
              <w:spacing w:after="0"/>
              <w:rPr>
                <w:sz w:val="13"/>
                <w:szCs w:val="13"/>
                <w:color w:val="auto"/>
              </w:rPr>
            </w:pPr>
          </w:p>
        </w:tc>
        <w:tc>
          <w:tcPr>
            <w:tcW w:w="640" w:type="dxa"/>
            <w:vAlign w:val="bottom"/>
            <w:shd w:val="clear" w:color="auto" w:fill="B7E5FF"/>
          </w:tcPr>
          <w:p>
            <w:pPr>
              <w:spacing w:after="0"/>
              <w:rPr>
                <w:sz w:val="13"/>
                <w:szCs w:val="13"/>
                <w:color w:val="auto"/>
              </w:rPr>
            </w:pPr>
          </w:p>
        </w:tc>
      </w:tr>
      <w:tr>
        <w:trPr>
          <w:trHeight w:val="153"/>
        </w:trPr>
        <w:tc>
          <w:tcPr>
            <w:tcW w:w="4260" w:type="dxa"/>
            <w:vAlign w:val="bottom"/>
          </w:tcPr>
          <w:p>
            <w:pPr>
              <w:ind w:left="240"/>
              <w:spacing w:after="0"/>
              <w:rPr>
                <w:sz w:val="20"/>
                <w:szCs w:val="20"/>
                <w:color w:val="auto"/>
              </w:rPr>
            </w:pPr>
            <w:r>
              <w:rPr>
                <w:rFonts w:ascii="Arial" w:cs="Arial" w:eastAsia="Arial" w:hAnsi="Arial"/>
                <w:sz w:val="12"/>
                <w:szCs w:val="12"/>
                <w:color w:val="auto"/>
              </w:rPr>
              <w:t>income</w:t>
            </w:r>
          </w:p>
        </w:tc>
        <w:tc>
          <w:tcPr>
            <w:tcW w:w="14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1,834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1,857</w:t>
            </w:r>
          </w:p>
        </w:tc>
      </w:tr>
      <w:tr>
        <w:trPr>
          <w:trHeight w:val="153"/>
        </w:trPr>
        <w:tc>
          <w:tcPr>
            <w:tcW w:w="4260" w:type="dxa"/>
            <w:vAlign w:val="bottom"/>
            <w:shd w:val="clear" w:color="auto" w:fill="B7E5FF"/>
          </w:tcPr>
          <w:p>
            <w:pPr>
              <w:ind w:left="120"/>
              <w:spacing w:after="0"/>
              <w:rPr>
                <w:sz w:val="20"/>
                <w:szCs w:val="20"/>
                <w:color w:val="auto"/>
              </w:rPr>
            </w:pPr>
            <w:r>
              <w:rPr>
                <w:rFonts w:ascii="Arial" w:cs="Arial" w:eastAsia="Arial" w:hAnsi="Arial"/>
                <w:sz w:val="12"/>
                <w:szCs w:val="12"/>
                <w:color w:val="auto"/>
              </w:rPr>
              <w:t>Dividends ($0.755 per share)</w:t>
            </w:r>
          </w:p>
        </w:tc>
        <w:tc>
          <w:tcPr>
            <w:tcW w:w="140" w:type="dxa"/>
            <w:vAlign w:val="bottom"/>
            <w:shd w:val="clear" w:color="auto" w:fill="B7E5FF"/>
          </w:tcPr>
          <w:p>
            <w:pPr>
              <w:spacing w:after="0"/>
              <w:rPr>
                <w:sz w:val="13"/>
                <w:szCs w:val="13"/>
                <w:color w:val="auto"/>
              </w:rPr>
            </w:pPr>
          </w:p>
        </w:tc>
        <w:tc>
          <w:tcPr>
            <w:tcW w:w="90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B7E5FF"/>
          </w:tcPr>
          <w:p>
            <w:pPr>
              <w:spacing w:after="0"/>
              <w:rPr>
                <w:sz w:val="13"/>
                <w:szCs w:val="13"/>
                <w:color w:val="auto"/>
              </w:rPr>
            </w:pPr>
          </w:p>
        </w:tc>
        <w:tc>
          <w:tcPr>
            <w:tcW w:w="100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B7E5FF"/>
          </w:tcPr>
          <w:p>
            <w:pPr>
              <w:spacing w:after="0"/>
              <w:rPr>
                <w:sz w:val="13"/>
                <w:szCs w:val="13"/>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(10,068)</w:t>
            </w:r>
          </w:p>
        </w:tc>
        <w:tc>
          <w:tcPr>
            <w:tcW w:w="100" w:type="dxa"/>
            <w:vAlign w:val="bottom"/>
            <w:shd w:val="clear" w:color="auto" w:fill="B7E5FF"/>
          </w:tcPr>
          <w:p>
            <w:pPr>
              <w:spacing w:after="0"/>
              <w:rPr>
                <w:sz w:val="13"/>
                <w:szCs w:val="13"/>
                <w:color w:val="auto"/>
              </w:rPr>
            </w:pPr>
          </w:p>
        </w:tc>
        <w:tc>
          <w:tcPr>
            <w:tcW w:w="220" w:type="dxa"/>
            <w:vAlign w:val="bottom"/>
            <w:shd w:val="clear" w:color="auto" w:fill="B7E5FF"/>
          </w:tcPr>
          <w:p>
            <w:pPr>
              <w:spacing w:after="0"/>
              <w:rPr>
                <w:sz w:val="13"/>
                <w:szCs w:val="13"/>
                <w:color w:val="auto"/>
              </w:rPr>
            </w:pPr>
          </w:p>
        </w:tc>
        <w:tc>
          <w:tcPr>
            <w:tcW w:w="138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B7E5FF"/>
          </w:tcPr>
          <w:p>
            <w:pPr>
              <w:spacing w:after="0"/>
              <w:rPr>
                <w:sz w:val="13"/>
                <w:szCs w:val="13"/>
                <w:color w:val="auto"/>
              </w:rPr>
            </w:pPr>
          </w:p>
        </w:tc>
        <w:tc>
          <w:tcPr>
            <w:tcW w:w="138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B7E5FF"/>
          </w:tcPr>
          <w:p>
            <w:pPr>
              <w:spacing w:after="0"/>
              <w:rPr>
                <w:sz w:val="13"/>
                <w:szCs w:val="13"/>
                <w:color w:val="auto"/>
              </w:rPr>
            </w:pPr>
          </w:p>
        </w:tc>
        <w:tc>
          <w:tcPr>
            <w:tcW w:w="6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(10,068)</w:t>
            </w:r>
          </w:p>
        </w:tc>
      </w:tr>
      <w:tr>
        <w:trPr>
          <w:trHeight w:val="153"/>
        </w:trPr>
        <w:tc>
          <w:tcPr>
            <w:tcW w:w="4260" w:type="dxa"/>
            <w:vAlign w:val="bottom"/>
          </w:tcPr>
          <w:p>
            <w:pPr>
              <w:ind w:left="120"/>
              <w:spacing w:after="0"/>
              <w:rPr>
                <w:sz w:val="20"/>
                <w:szCs w:val="20"/>
                <w:color w:val="auto"/>
              </w:rPr>
            </w:pPr>
            <w:r>
              <w:rPr>
                <w:rFonts w:ascii="Arial" w:cs="Arial" w:eastAsia="Arial" w:hAnsi="Arial"/>
                <w:sz w:val="12"/>
                <w:szCs w:val="12"/>
                <w:color w:val="auto"/>
              </w:rPr>
              <w:t>Share issuance and equity-based</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3"/>
        </w:trPr>
        <w:tc>
          <w:tcPr>
            <w:tcW w:w="4260" w:type="dxa"/>
            <w:vAlign w:val="bottom"/>
            <w:shd w:val="clear" w:color="auto" w:fill="B7E5FF"/>
          </w:tcPr>
          <w:p>
            <w:pPr>
              <w:ind w:left="240"/>
              <w:spacing w:after="0"/>
              <w:rPr>
                <w:sz w:val="20"/>
                <w:szCs w:val="20"/>
                <w:color w:val="auto"/>
              </w:rPr>
            </w:pPr>
            <w:r>
              <w:rPr>
                <w:rFonts w:ascii="Arial" w:cs="Arial" w:eastAsia="Arial" w:hAnsi="Arial"/>
                <w:sz w:val="12"/>
                <w:szCs w:val="12"/>
                <w:color w:val="auto"/>
              </w:rPr>
              <w:t>compensation plans</w:t>
            </w:r>
          </w:p>
        </w:tc>
        <w:tc>
          <w:tcPr>
            <w:tcW w:w="140" w:type="dxa"/>
            <w:vAlign w:val="bottom"/>
            <w:shd w:val="clear" w:color="auto" w:fill="B7E5FF"/>
          </w:tcPr>
          <w:p>
            <w:pPr>
              <w:spacing w:after="0"/>
              <w:rPr>
                <w:sz w:val="13"/>
                <w:szCs w:val="13"/>
                <w:color w:val="auto"/>
              </w:rPr>
            </w:pPr>
          </w:p>
        </w:tc>
        <w:tc>
          <w:tcPr>
            <w:tcW w:w="90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B7E5FF"/>
          </w:tcPr>
          <w:p>
            <w:pPr>
              <w:spacing w:after="0"/>
              <w:rPr>
                <w:sz w:val="13"/>
                <w:szCs w:val="13"/>
                <w:color w:val="auto"/>
              </w:rPr>
            </w:pPr>
          </w:p>
        </w:tc>
        <w:tc>
          <w:tcPr>
            <w:tcW w:w="8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298</w:t>
            </w:r>
          </w:p>
        </w:tc>
        <w:tc>
          <w:tcPr>
            <w:tcW w:w="120" w:type="dxa"/>
            <w:vAlign w:val="bottom"/>
            <w:shd w:val="clear" w:color="auto" w:fill="B7E5FF"/>
          </w:tcPr>
          <w:p>
            <w:pPr>
              <w:spacing w:after="0"/>
              <w:rPr>
                <w:sz w:val="13"/>
                <w:szCs w:val="13"/>
                <w:color w:val="auto"/>
              </w:rPr>
            </w:pPr>
          </w:p>
        </w:tc>
        <w:tc>
          <w:tcPr>
            <w:tcW w:w="140" w:type="dxa"/>
            <w:vAlign w:val="bottom"/>
            <w:shd w:val="clear" w:color="auto" w:fill="B7E5FF"/>
          </w:tcPr>
          <w:p>
            <w:pPr>
              <w:spacing w:after="0"/>
              <w:rPr>
                <w:sz w:val="13"/>
                <w:szCs w:val="13"/>
                <w:color w:val="auto"/>
              </w:rPr>
            </w:pPr>
          </w:p>
        </w:tc>
        <w:tc>
          <w:tcPr>
            <w:tcW w:w="880" w:type="dxa"/>
            <w:vAlign w:val="bottom"/>
            <w:gridSpan w:val="2"/>
            <w:shd w:val="clear" w:color="auto" w:fill="B7E5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B7E5FF"/>
          </w:tcPr>
          <w:p>
            <w:pPr>
              <w:spacing w:after="0"/>
              <w:rPr>
                <w:sz w:val="13"/>
                <w:szCs w:val="13"/>
                <w:color w:val="auto"/>
              </w:rPr>
            </w:pPr>
          </w:p>
        </w:tc>
        <w:tc>
          <w:tcPr>
            <w:tcW w:w="138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B7E5FF"/>
          </w:tcPr>
          <w:p>
            <w:pPr>
              <w:spacing w:after="0"/>
              <w:rPr>
                <w:sz w:val="13"/>
                <w:szCs w:val="13"/>
                <w:color w:val="auto"/>
              </w:rPr>
            </w:pPr>
          </w:p>
        </w:tc>
        <w:tc>
          <w:tcPr>
            <w:tcW w:w="138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B7E5FF"/>
          </w:tcPr>
          <w:p>
            <w:pPr>
              <w:spacing w:after="0"/>
              <w:rPr>
                <w:sz w:val="13"/>
                <w:szCs w:val="13"/>
                <w:color w:val="auto"/>
              </w:rPr>
            </w:pPr>
          </w:p>
        </w:tc>
        <w:tc>
          <w:tcPr>
            <w:tcW w:w="6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298</w:t>
            </w:r>
          </w:p>
        </w:tc>
      </w:tr>
      <w:tr>
        <w:trPr>
          <w:trHeight w:val="140"/>
        </w:trPr>
        <w:tc>
          <w:tcPr>
            <w:tcW w:w="4260" w:type="dxa"/>
            <w:vAlign w:val="bottom"/>
            <w:tcBorders>
              <w:bottom w:val="single" w:sz="8" w:color="B7E5FF"/>
            </w:tcBorders>
          </w:tcPr>
          <w:p>
            <w:pPr>
              <w:spacing w:after="0" w:line="133" w:lineRule="exact"/>
              <w:rPr>
                <w:sz w:val="20"/>
                <w:szCs w:val="20"/>
                <w:color w:val="auto"/>
              </w:rPr>
            </w:pPr>
            <w:r>
              <w:rPr>
                <w:rFonts w:ascii="Arial" w:cs="Arial" w:eastAsia="Arial" w:hAnsi="Arial"/>
                <w:sz w:val="12"/>
                <w:szCs w:val="12"/>
                <w:b w:val="1"/>
                <w:bCs w:val="1"/>
                <w:color w:val="auto"/>
              </w:rPr>
              <w:t>Balance at June 30, 2019</w:t>
            </w: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13,338</w:t>
            </w:r>
          </w:p>
        </w:tc>
        <w:tc>
          <w:tcPr>
            <w:tcW w:w="120" w:type="dxa"/>
            <w:vAlign w:val="bottom"/>
            <w:tcBorders>
              <w:bottom w:val="single" w:sz="8" w:color="B7E5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97,602</w:t>
            </w:r>
          </w:p>
        </w:tc>
        <w:tc>
          <w:tcPr>
            <w:tcW w:w="120" w:type="dxa"/>
            <w:vAlign w:val="bottom"/>
            <w:tcBorders>
              <w:bottom w:val="single" w:sz="8" w:color="B7E5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424,448</w:t>
            </w:r>
          </w:p>
        </w:tc>
        <w:tc>
          <w:tcPr>
            <w:tcW w:w="100" w:type="dxa"/>
            <w:vAlign w:val="bottom"/>
            <w:tcBorders>
              <w:bottom w:val="single" w:sz="8" w:color="B7E5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(78,881)</w:t>
            </w:r>
          </w:p>
        </w:tc>
        <w:tc>
          <w:tcPr>
            <w:tcW w:w="100" w:type="dxa"/>
            <w:vAlign w:val="bottom"/>
            <w:tcBorders>
              <w:bottom w:val="single" w:sz="8" w:color="B7E5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1,454</w:t>
            </w:r>
          </w:p>
        </w:tc>
        <w:tc>
          <w:tcPr>
            <w:tcW w:w="120" w:type="dxa"/>
            <w:vAlign w:val="bottom"/>
            <w:tcBorders>
              <w:bottom w:val="single" w:sz="8" w:color="B7E5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457,961</w:t>
            </w:r>
          </w:p>
        </w:tc>
      </w:tr>
      <w:tr>
        <w:trPr>
          <w:trHeight w:val="144"/>
        </w:trPr>
        <w:tc>
          <w:tcPr>
            <w:tcW w:w="4260" w:type="dxa"/>
            <w:vAlign w:val="bottom"/>
            <w:shd w:val="clear" w:color="auto" w:fill="B7E5FF"/>
          </w:tcPr>
          <w:p>
            <w:pPr>
              <w:spacing w:after="0"/>
              <w:rPr>
                <w:sz w:val="12"/>
                <w:szCs w:val="12"/>
                <w:color w:val="auto"/>
              </w:rPr>
            </w:pPr>
          </w:p>
        </w:tc>
        <w:tc>
          <w:tcPr>
            <w:tcW w:w="140" w:type="dxa"/>
            <w:vAlign w:val="bottom"/>
            <w:shd w:val="clear" w:color="auto" w:fill="B7E5FF"/>
          </w:tcPr>
          <w:p>
            <w:pPr>
              <w:spacing w:after="0"/>
              <w:rPr>
                <w:sz w:val="12"/>
                <w:szCs w:val="12"/>
                <w:color w:val="auto"/>
              </w:rPr>
            </w:pPr>
          </w:p>
        </w:tc>
        <w:tc>
          <w:tcPr>
            <w:tcW w:w="78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160" w:type="dxa"/>
            <w:vAlign w:val="bottom"/>
            <w:shd w:val="clear" w:color="auto" w:fill="B7E5FF"/>
          </w:tcPr>
          <w:p>
            <w:pPr>
              <w:spacing w:after="0"/>
              <w:rPr>
                <w:sz w:val="12"/>
                <w:szCs w:val="12"/>
                <w:color w:val="auto"/>
              </w:rPr>
            </w:pPr>
          </w:p>
        </w:tc>
        <w:tc>
          <w:tcPr>
            <w:tcW w:w="88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140" w:type="dxa"/>
            <w:vAlign w:val="bottom"/>
            <w:shd w:val="clear" w:color="auto" w:fill="B7E5FF"/>
          </w:tcPr>
          <w:p>
            <w:pPr>
              <w:spacing w:after="0"/>
              <w:rPr>
                <w:sz w:val="12"/>
                <w:szCs w:val="12"/>
                <w:color w:val="auto"/>
              </w:rPr>
            </w:pPr>
          </w:p>
        </w:tc>
        <w:tc>
          <w:tcPr>
            <w:tcW w:w="78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220" w:type="dxa"/>
            <w:vAlign w:val="bottom"/>
            <w:shd w:val="clear" w:color="auto" w:fill="B7E5FF"/>
          </w:tcPr>
          <w:p>
            <w:pPr>
              <w:spacing w:after="0"/>
              <w:rPr>
                <w:sz w:val="12"/>
                <w:szCs w:val="12"/>
                <w:color w:val="auto"/>
              </w:rPr>
            </w:pPr>
          </w:p>
        </w:tc>
        <w:tc>
          <w:tcPr>
            <w:tcW w:w="128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220" w:type="dxa"/>
            <w:vAlign w:val="bottom"/>
            <w:shd w:val="clear" w:color="auto" w:fill="B7E5FF"/>
          </w:tcPr>
          <w:p>
            <w:pPr>
              <w:spacing w:after="0"/>
              <w:rPr>
                <w:sz w:val="12"/>
                <w:szCs w:val="12"/>
                <w:color w:val="auto"/>
              </w:rPr>
            </w:pPr>
          </w:p>
        </w:tc>
        <w:tc>
          <w:tcPr>
            <w:tcW w:w="126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160" w:type="dxa"/>
            <w:vAlign w:val="bottom"/>
            <w:shd w:val="clear" w:color="auto" w:fill="B7E5FF"/>
          </w:tcPr>
          <w:p>
            <w:pPr>
              <w:spacing w:after="0"/>
              <w:rPr>
                <w:sz w:val="12"/>
                <w:szCs w:val="12"/>
                <w:color w:val="auto"/>
              </w:rPr>
            </w:pPr>
          </w:p>
        </w:tc>
        <w:tc>
          <w:tcPr>
            <w:tcW w:w="640" w:type="dxa"/>
            <w:vAlign w:val="bottom"/>
            <w:shd w:val="clear" w:color="auto" w:fill="B7E5FF"/>
          </w:tcPr>
          <w:p>
            <w:pPr>
              <w:spacing w:after="0"/>
              <w:rPr>
                <w:sz w:val="12"/>
                <w:szCs w:val="12"/>
                <w:color w:val="auto"/>
              </w:rPr>
            </w:pPr>
          </w:p>
        </w:tc>
      </w:tr>
      <w:tr>
        <w:trPr>
          <w:trHeight w:val="153"/>
        </w:trPr>
        <w:tc>
          <w:tcPr>
            <w:tcW w:w="4260" w:type="dxa"/>
            <w:vAlign w:val="bottom"/>
          </w:tcPr>
          <w:p>
            <w:pPr>
              <w:spacing w:after="0"/>
              <w:rPr>
                <w:sz w:val="20"/>
                <w:szCs w:val="20"/>
                <w:color w:val="auto"/>
              </w:rPr>
            </w:pPr>
            <w:r>
              <w:rPr>
                <w:rFonts w:ascii="Arial" w:cs="Arial" w:eastAsia="Arial" w:hAnsi="Arial"/>
                <w:sz w:val="12"/>
                <w:szCs w:val="12"/>
                <w:b w:val="1"/>
                <w:bCs w:val="1"/>
                <w:color w:val="auto"/>
              </w:rPr>
              <w:t>Balance at December 31, 2017</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13,308</w:t>
            </w:r>
          </w:p>
        </w:tc>
        <w:tc>
          <w:tcPr>
            <w:tcW w:w="120" w:type="dxa"/>
            <w:vAlign w:val="bottom"/>
          </w:tcPr>
          <w:p>
            <w:pPr>
              <w:spacing w:after="0"/>
              <w:rPr>
                <w:sz w:val="13"/>
                <w:szCs w:val="13"/>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93,528</w:t>
            </w:r>
          </w:p>
        </w:tc>
        <w:tc>
          <w:tcPr>
            <w:tcW w:w="120" w:type="dxa"/>
            <w:vAlign w:val="bottom"/>
          </w:tcPr>
          <w:p>
            <w:pPr>
              <w:spacing w:after="0"/>
              <w:rPr>
                <w:sz w:val="13"/>
                <w:szCs w:val="13"/>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365,936</w:t>
            </w:r>
          </w:p>
        </w:tc>
        <w:tc>
          <w:tcPr>
            <w:tcW w:w="10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(65,100)</w:t>
            </w:r>
          </w:p>
        </w:tc>
        <w:tc>
          <w:tcPr>
            <w:tcW w:w="100" w:type="dxa"/>
            <w:vAlign w:val="bottom"/>
          </w:tcPr>
          <w:p>
            <w:pPr>
              <w:spacing w:after="0"/>
              <w:rPr>
                <w:sz w:val="13"/>
                <w:szCs w:val="13"/>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1,946</w:t>
            </w:r>
          </w:p>
        </w:tc>
        <w:tc>
          <w:tcPr>
            <w:tcW w:w="120" w:type="dxa"/>
            <w:vAlign w:val="bottom"/>
          </w:tcPr>
          <w:p>
            <w:pPr>
              <w:spacing w:after="0"/>
              <w:rPr>
                <w:sz w:val="13"/>
                <w:szCs w:val="13"/>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409,618</w:t>
            </w:r>
          </w:p>
        </w:tc>
      </w:tr>
      <w:tr>
        <w:trPr>
          <w:trHeight w:val="153"/>
        </w:trPr>
        <w:tc>
          <w:tcPr>
            <w:tcW w:w="4260" w:type="dxa"/>
            <w:vAlign w:val="bottom"/>
            <w:shd w:val="clear" w:color="auto" w:fill="B7E5FF"/>
          </w:tcPr>
          <w:p>
            <w:pPr>
              <w:ind w:left="120"/>
              <w:spacing w:after="0"/>
              <w:rPr>
                <w:sz w:val="20"/>
                <w:szCs w:val="20"/>
                <w:color w:val="auto"/>
              </w:rPr>
            </w:pPr>
            <w:r>
              <w:rPr>
                <w:rFonts w:ascii="Arial" w:cs="Arial" w:eastAsia="Arial" w:hAnsi="Arial"/>
                <w:sz w:val="12"/>
                <w:szCs w:val="12"/>
                <w:color w:val="auto"/>
              </w:rPr>
              <w:t>Cumulative effect of an accounting change</w:t>
            </w:r>
          </w:p>
        </w:tc>
        <w:tc>
          <w:tcPr>
            <w:tcW w:w="140" w:type="dxa"/>
            <w:vAlign w:val="bottom"/>
            <w:shd w:val="clear" w:color="auto" w:fill="B7E5FF"/>
          </w:tcPr>
          <w:p>
            <w:pPr>
              <w:spacing w:after="0"/>
              <w:rPr>
                <w:sz w:val="13"/>
                <w:szCs w:val="13"/>
                <w:color w:val="auto"/>
              </w:rPr>
            </w:pPr>
          </w:p>
        </w:tc>
        <w:tc>
          <w:tcPr>
            <w:tcW w:w="900" w:type="dxa"/>
            <w:vAlign w:val="bottom"/>
            <w:gridSpan w:val="2"/>
            <w:shd w:val="clear" w:color="auto" w:fill="B7E5FF"/>
          </w:tcPr>
          <w:p>
            <w:pPr>
              <w:ind w:left="660"/>
              <w:spacing w:after="0"/>
              <w:rPr>
                <w:sz w:val="20"/>
                <w:szCs w:val="20"/>
                <w:color w:val="auto"/>
              </w:rPr>
            </w:pPr>
            <w:r>
              <w:rPr>
                <w:rFonts w:ascii="Arial" w:cs="Arial" w:eastAsia="Arial" w:hAnsi="Arial"/>
                <w:sz w:val="12"/>
                <w:szCs w:val="12"/>
                <w:color w:val="auto"/>
              </w:rPr>
              <w:t>—</w:t>
            </w:r>
          </w:p>
        </w:tc>
        <w:tc>
          <w:tcPr>
            <w:tcW w:w="160" w:type="dxa"/>
            <w:vAlign w:val="bottom"/>
            <w:shd w:val="clear" w:color="auto" w:fill="B7E5FF"/>
          </w:tcPr>
          <w:p>
            <w:pPr>
              <w:spacing w:after="0"/>
              <w:rPr>
                <w:sz w:val="13"/>
                <w:szCs w:val="13"/>
                <w:color w:val="auto"/>
              </w:rPr>
            </w:pPr>
          </w:p>
        </w:tc>
        <w:tc>
          <w:tcPr>
            <w:tcW w:w="100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B7E5FF"/>
          </w:tcPr>
          <w:p>
            <w:pPr>
              <w:spacing w:after="0"/>
              <w:rPr>
                <w:sz w:val="13"/>
                <w:szCs w:val="13"/>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(754)</w:t>
            </w:r>
          </w:p>
        </w:tc>
        <w:tc>
          <w:tcPr>
            <w:tcW w:w="100" w:type="dxa"/>
            <w:vAlign w:val="bottom"/>
            <w:shd w:val="clear" w:color="auto" w:fill="B7E5FF"/>
          </w:tcPr>
          <w:p>
            <w:pPr>
              <w:spacing w:after="0"/>
              <w:rPr>
                <w:sz w:val="13"/>
                <w:szCs w:val="13"/>
                <w:color w:val="auto"/>
              </w:rPr>
            </w:pPr>
          </w:p>
        </w:tc>
        <w:tc>
          <w:tcPr>
            <w:tcW w:w="220" w:type="dxa"/>
            <w:vAlign w:val="bottom"/>
            <w:shd w:val="clear" w:color="auto" w:fill="B7E5FF"/>
          </w:tcPr>
          <w:p>
            <w:pPr>
              <w:spacing w:after="0"/>
              <w:rPr>
                <w:sz w:val="13"/>
                <w:szCs w:val="13"/>
                <w:color w:val="auto"/>
              </w:rPr>
            </w:pPr>
          </w:p>
        </w:tc>
        <w:tc>
          <w:tcPr>
            <w:tcW w:w="138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B7E5FF"/>
          </w:tcPr>
          <w:p>
            <w:pPr>
              <w:spacing w:after="0"/>
              <w:rPr>
                <w:sz w:val="13"/>
                <w:szCs w:val="13"/>
                <w:color w:val="auto"/>
              </w:rPr>
            </w:pPr>
          </w:p>
        </w:tc>
        <w:tc>
          <w:tcPr>
            <w:tcW w:w="138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B7E5FF"/>
          </w:tcPr>
          <w:p>
            <w:pPr>
              <w:spacing w:after="0"/>
              <w:rPr>
                <w:sz w:val="13"/>
                <w:szCs w:val="13"/>
                <w:color w:val="auto"/>
              </w:rPr>
            </w:pPr>
          </w:p>
        </w:tc>
        <w:tc>
          <w:tcPr>
            <w:tcW w:w="6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(754)</w:t>
            </w:r>
          </w:p>
        </w:tc>
      </w:tr>
      <w:tr>
        <w:trPr>
          <w:trHeight w:val="133"/>
        </w:trPr>
        <w:tc>
          <w:tcPr>
            <w:tcW w:w="4260" w:type="dxa"/>
            <w:vAlign w:val="bottom"/>
          </w:tcPr>
          <w:p>
            <w:pPr>
              <w:spacing w:after="0" w:line="133" w:lineRule="exact"/>
              <w:rPr>
                <w:sz w:val="20"/>
                <w:szCs w:val="20"/>
                <w:color w:val="auto"/>
              </w:rPr>
            </w:pPr>
            <w:r>
              <w:rPr>
                <w:rFonts w:ascii="Arial" w:cs="Arial" w:eastAsia="Arial" w:hAnsi="Arial"/>
                <w:sz w:val="12"/>
                <w:szCs w:val="12"/>
                <w:b w:val="1"/>
                <w:bCs w:val="1"/>
                <w:color w:val="auto"/>
              </w:rPr>
              <w:t>Balance at January 1, 2018</w:t>
            </w: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13,308</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93,528</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365,182</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(65,100)</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1,946</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408,864</w:t>
            </w:r>
          </w:p>
        </w:tc>
      </w:tr>
      <w:tr>
        <w:trPr>
          <w:trHeight w:val="153"/>
        </w:trPr>
        <w:tc>
          <w:tcPr>
            <w:tcW w:w="4260" w:type="dxa"/>
            <w:vAlign w:val="bottom"/>
            <w:shd w:val="clear" w:color="auto" w:fill="B7E5FF"/>
          </w:tcPr>
          <w:p>
            <w:pPr>
              <w:ind w:left="120"/>
              <w:spacing w:after="0"/>
              <w:rPr>
                <w:sz w:val="20"/>
                <w:szCs w:val="20"/>
                <w:color w:val="auto"/>
              </w:rPr>
            </w:pPr>
            <w:r>
              <w:rPr>
                <w:rFonts w:ascii="Arial" w:cs="Arial" w:eastAsia="Arial" w:hAnsi="Arial"/>
                <w:sz w:val="12"/>
                <w:szCs w:val="12"/>
                <w:color w:val="auto"/>
              </w:rPr>
              <w:t>Net income</w:t>
            </w:r>
          </w:p>
        </w:tc>
        <w:tc>
          <w:tcPr>
            <w:tcW w:w="140" w:type="dxa"/>
            <w:vAlign w:val="bottom"/>
            <w:shd w:val="clear" w:color="auto" w:fill="B7E5FF"/>
          </w:tcPr>
          <w:p>
            <w:pPr>
              <w:spacing w:after="0"/>
              <w:rPr>
                <w:sz w:val="13"/>
                <w:szCs w:val="13"/>
                <w:color w:val="auto"/>
              </w:rPr>
            </w:pPr>
          </w:p>
        </w:tc>
        <w:tc>
          <w:tcPr>
            <w:tcW w:w="90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B7E5FF"/>
          </w:tcPr>
          <w:p>
            <w:pPr>
              <w:spacing w:after="0"/>
              <w:rPr>
                <w:sz w:val="13"/>
                <w:szCs w:val="13"/>
                <w:color w:val="auto"/>
              </w:rPr>
            </w:pPr>
          </w:p>
        </w:tc>
        <w:tc>
          <w:tcPr>
            <w:tcW w:w="100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B7E5FF"/>
          </w:tcPr>
          <w:p>
            <w:pPr>
              <w:spacing w:after="0"/>
              <w:rPr>
                <w:sz w:val="13"/>
                <w:szCs w:val="13"/>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31,978</w:t>
            </w:r>
          </w:p>
        </w:tc>
        <w:tc>
          <w:tcPr>
            <w:tcW w:w="100" w:type="dxa"/>
            <w:vAlign w:val="bottom"/>
            <w:shd w:val="clear" w:color="auto" w:fill="B7E5FF"/>
          </w:tcPr>
          <w:p>
            <w:pPr>
              <w:spacing w:after="0"/>
              <w:rPr>
                <w:sz w:val="13"/>
                <w:szCs w:val="13"/>
                <w:color w:val="auto"/>
              </w:rPr>
            </w:pPr>
          </w:p>
        </w:tc>
        <w:tc>
          <w:tcPr>
            <w:tcW w:w="220" w:type="dxa"/>
            <w:vAlign w:val="bottom"/>
            <w:shd w:val="clear" w:color="auto" w:fill="B7E5FF"/>
          </w:tcPr>
          <w:p>
            <w:pPr>
              <w:spacing w:after="0"/>
              <w:rPr>
                <w:sz w:val="13"/>
                <w:szCs w:val="13"/>
                <w:color w:val="auto"/>
              </w:rPr>
            </w:pPr>
          </w:p>
        </w:tc>
        <w:tc>
          <w:tcPr>
            <w:tcW w:w="138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B7E5FF"/>
          </w:tcPr>
          <w:p>
            <w:pPr>
              <w:spacing w:after="0"/>
              <w:rPr>
                <w:sz w:val="13"/>
                <w:szCs w:val="13"/>
                <w:color w:val="auto"/>
              </w:rPr>
            </w:pPr>
          </w:p>
        </w:tc>
        <w:tc>
          <w:tcPr>
            <w:tcW w:w="12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179</w:t>
            </w:r>
          </w:p>
        </w:tc>
        <w:tc>
          <w:tcPr>
            <w:tcW w:w="120" w:type="dxa"/>
            <w:vAlign w:val="bottom"/>
            <w:shd w:val="clear" w:color="auto" w:fill="B7E5FF"/>
          </w:tcPr>
          <w:p>
            <w:pPr>
              <w:spacing w:after="0"/>
              <w:rPr>
                <w:sz w:val="13"/>
                <w:szCs w:val="13"/>
                <w:color w:val="auto"/>
              </w:rPr>
            </w:pPr>
          </w:p>
        </w:tc>
        <w:tc>
          <w:tcPr>
            <w:tcW w:w="160" w:type="dxa"/>
            <w:vAlign w:val="bottom"/>
            <w:shd w:val="clear" w:color="auto" w:fill="B7E5FF"/>
          </w:tcPr>
          <w:p>
            <w:pPr>
              <w:spacing w:after="0"/>
              <w:rPr>
                <w:sz w:val="13"/>
                <w:szCs w:val="13"/>
                <w:color w:val="auto"/>
              </w:rPr>
            </w:pPr>
          </w:p>
        </w:tc>
        <w:tc>
          <w:tcPr>
            <w:tcW w:w="6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32,157</w:t>
            </w:r>
          </w:p>
        </w:tc>
      </w:tr>
      <w:tr>
        <w:trPr>
          <w:trHeight w:val="153"/>
        </w:trPr>
        <w:tc>
          <w:tcPr>
            <w:tcW w:w="4260" w:type="dxa"/>
            <w:vAlign w:val="bottom"/>
          </w:tcPr>
          <w:p>
            <w:pPr>
              <w:ind w:left="120"/>
              <w:spacing w:after="0"/>
              <w:rPr>
                <w:sz w:val="20"/>
                <w:szCs w:val="20"/>
                <w:color w:val="auto"/>
              </w:rPr>
            </w:pPr>
            <w:r>
              <w:rPr>
                <w:rFonts w:ascii="Arial" w:cs="Arial" w:eastAsia="Arial" w:hAnsi="Arial"/>
                <w:sz w:val="12"/>
                <w:szCs w:val="12"/>
                <w:color w:val="auto"/>
              </w:rPr>
              <w:t>Amounts reported in other comprehensive</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3"/>
        </w:trPr>
        <w:tc>
          <w:tcPr>
            <w:tcW w:w="4260" w:type="dxa"/>
            <w:vAlign w:val="bottom"/>
            <w:shd w:val="clear" w:color="auto" w:fill="B7E5FF"/>
          </w:tcPr>
          <w:p>
            <w:pPr>
              <w:ind w:left="240"/>
              <w:spacing w:after="0"/>
              <w:rPr>
                <w:sz w:val="20"/>
                <w:szCs w:val="20"/>
                <w:color w:val="auto"/>
              </w:rPr>
            </w:pPr>
            <w:r>
              <w:rPr>
                <w:rFonts w:ascii="Arial" w:cs="Arial" w:eastAsia="Arial" w:hAnsi="Arial"/>
                <w:sz w:val="12"/>
                <w:szCs w:val="12"/>
                <w:color w:val="auto"/>
              </w:rPr>
              <w:t>loss</w:t>
            </w:r>
          </w:p>
        </w:tc>
        <w:tc>
          <w:tcPr>
            <w:tcW w:w="140" w:type="dxa"/>
            <w:vAlign w:val="bottom"/>
            <w:shd w:val="clear" w:color="auto" w:fill="B7E5FF"/>
          </w:tcPr>
          <w:p>
            <w:pPr>
              <w:spacing w:after="0"/>
              <w:rPr>
                <w:sz w:val="13"/>
                <w:szCs w:val="13"/>
                <w:color w:val="auto"/>
              </w:rPr>
            </w:pPr>
          </w:p>
        </w:tc>
        <w:tc>
          <w:tcPr>
            <w:tcW w:w="90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B7E5FF"/>
          </w:tcPr>
          <w:p>
            <w:pPr>
              <w:spacing w:after="0"/>
              <w:rPr>
                <w:sz w:val="13"/>
                <w:szCs w:val="13"/>
                <w:color w:val="auto"/>
              </w:rPr>
            </w:pPr>
          </w:p>
        </w:tc>
        <w:tc>
          <w:tcPr>
            <w:tcW w:w="100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B7E5FF"/>
          </w:tcPr>
          <w:p>
            <w:pPr>
              <w:spacing w:after="0"/>
              <w:rPr>
                <w:sz w:val="13"/>
                <w:szCs w:val="13"/>
                <w:color w:val="auto"/>
              </w:rPr>
            </w:pPr>
          </w:p>
        </w:tc>
        <w:tc>
          <w:tcPr>
            <w:tcW w:w="880" w:type="dxa"/>
            <w:vAlign w:val="bottom"/>
            <w:gridSpan w:val="2"/>
            <w:shd w:val="clear" w:color="auto" w:fill="B7E5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B7E5FF"/>
          </w:tcPr>
          <w:p>
            <w:pPr>
              <w:spacing w:after="0"/>
              <w:rPr>
                <w:sz w:val="13"/>
                <w:szCs w:val="13"/>
                <w:color w:val="auto"/>
              </w:rPr>
            </w:pPr>
          </w:p>
        </w:tc>
        <w:tc>
          <w:tcPr>
            <w:tcW w:w="12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(9,251)</w:t>
            </w:r>
          </w:p>
        </w:tc>
        <w:tc>
          <w:tcPr>
            <w:tcW w:w="100" w:type="dxa"/>
            <w:vAlign w:val="bottom"/>
            <w:shd w:val="clear" w:color="auto" w:fill="B7E5FF"/>
          </w:tcPr>
          <w:p>
            <w:pPr>
              <w:spacing w:after="0"/>
              <w:rPr>
                <w:sz w:val="13"/>
                <w:szCs w:val="13"/>
                <w:color w:val="auto"/>
              </w:rPr>
            </w:pPr>
          </w:p>
        </w:tc>
        <w:tc>
          <w:tcPr>
            <w:tcW w:w="220" w:type="dxa"/>
            <w:vAlign w:val="bottom"/>
            <w:shd w:val="clear" w:color="auto" w:fill="B7E5FF"/>
          </w:tcPr>
          <w:p>
            <w:pPr>
              <w:spacing w:after="0"/>
              <w:rPr>
                <w:sz w:val="13"/>
                <w:szCs w:val="13"/>
                <w:color w:val="auto"/>
              </w:rPr>
            </w:pPr>
          </w:p>
        </w:tc>
        <w:tc>
          <w:tcPr>
            <w:tcW w:w="12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(76)</w:t>
            </w:r>
          </w:p>
        </w:tc>
        <w:tc>
          <w:tcPr>
            <w:tcW w:w="120" w:type="dxa"/>
            <w:vAlign w:val="bottom"/>
            <w:shd w:val="clear" w:color="auto" w:fill="B7E5FF"/>
          </w:tcPr>
          <w:p>
            <w:pPr>
              <w:spacing w:after="0"/>
              <w:rPr>
                <w:sz w:val="13"/>
                <w:szCs w:val="13"/>
                <w:color w:val="auto"/>
              </w:rPr>
            </w:pPr>
          </w:p>
        </w:tc>
        <w:tc>
          <w:tcPr>
            <w:tcW w:w="160" w:type="dxa"/>
            <w:vAlign w:val="bottom"/>
            <w:shd w:val="clear" w:color="auto" w:fill="B7E5FF"/>
          </w:tcPr>
          <w:p>
            <w:pPr>
              <w:spacing w:after="0"/>
              <w:rPr>
                <w:sz w:val="13"/>
                <w:szCs w:val="13"/>
                <w:color w:val="auto"/>
              </w:rPr>
            </w:pPr>
          </w:p>
        </w:tc>
        <w:tc>
          <w:tcPr>
            <w:tcW w:w="6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(9,327)</w:t>
            </w:r>
          </w:p>
        </w:tc>
      </w:tr>
      <w:tr>
        <w:trPr>
          <w:trHeight w:val="153"/>
        </w:trPr>
        <w:tc>
          <w:tcPr>
            <w:tcW w:w="4260" w:type="dxa"/>
            <w:vAlign w:val="bottom"/>
          </w:tcPr>
          <w:p>
            <w:pPr>
              <w:ind w:left="120"/>
              <w:spacing w:after="0"/>
              <w:rPr>
                <w:sz w:val="20"/>
                <w:szCs w:val="20"/>
                <w:color w:val="auto"/>
              </w:rPr>
            </w:pPr>
            <w:r>
              <w:rPr>
                <w:rFonts w:ascii="Arial" w:cs="Arial" w:eastAsia="Arial" w:hAnsi="Arial"/>
                <w:sz w:val="12"/>
                <w:szCs w:val="12"/>
                <w:color w:val="auto"/>
              </w:rPr>
              <w:t>Dividends ($0.725 per share)</w:t>
            </w:r>
          </w:p>
        </w:tc>
        <w:tc>
          <w:tcPr>
            <w:tcW w:w="14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(9,662)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(9,662)</w:t>
            </w:r>
          </w:p>
        </w:tc>
      </w:tr>
      <w:tr>
        <w:trPr>
          <w:trHeight w:val="153"/>
        </w:trPr>
        <w:tc>
          <w:tcPr>
            <w:tcW w:w="4260" w:type="dxa"/>
            <w:vAlign w:val="bottom"/>
            <w:shd w:val="clear" w:color="auto" w:fill="B7E5FF"/>
          </w:tcPr>
          <w:p>
            <w:pPr>
              <w:ind w:left="120"/>
              <w:spacing w:after="0"/>
              <w:rPr>
                <w:sz w:val="20"/>
                <w:szCs w:val="20"/>
                <w:color w:val="auto"/>
              </w:rPr>
            </w:pPr>
            <w:r>
              <w:rPr>
                <w:rFonts w:ascii="Arial" w:cs="Arial" w:eastAsia="Arial" w:hAnsi="Arial"/>
                <w:sz w:val="12"/>
                <w:szCs w:val="12"/>
                <w:color w:val="auto"/>
              </w:rPr>
              <w:t>Distributions to noncontrolling affiliate</w:t>
            </w:r>
          </w:p>
        </w:tc>
        <w:tc>
          <w:tcPr>
            <w:tcW w:w="140" w:type="dxa"/>
            <w:vAlign w:val="bottom"/>
            <w:shd w:val="clear" w:color="auto" w:fill="B7E5FF"/>
          </w:tcPr>
          <w:p>
            <w:pPr>
              <w:spacing w:after="0"/>
              <w:rPr>
                <w:sz w:val="13"/>
                <w:szCs w:val="13"/>
                <w:color w:val="auto"/>
              </w:rPr>
            </w:pPr>
          </w:p>
        </w:tc>
        <w:tc>
          <w:tcPr>
            <w:tcW w:w="90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B7E5FF"/>
          </w:tcPr>
          <w:p>
            <w:pPr>
              <w:spacing w:after="0"/>
              <w:rPr>
                <w:sz w:val="13"/>
                <w:szCs w:val="13"/>
                <w:color w:val="auto"/>
              </w:rPr>
            </w:pPr>
          </w:p>
        </w:tc>
        <w:tc>
          <w:tcPr>
            <w:tcW w:w="100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B7E5FF"/>
          </w:tcPr>
          <w:p>
            <w:pPr>
              <w:spacing w:after="0"/>
              <w:rPr>
                <w:sz w:val="13"/>
                <w:szCs w:val="13"/>
                <w:color w:val="auto"/>
              </w:rPr>
            </w:pPr>
          </w:p>
        </w:tc>
        <w:tc>
          <w:tcPr>
            <w:tcW w:w="880" w:type="dxa"/>
            <w:vAlign w:val="bottom"/>
            <w:gridSpan w:val="2"/>
            <w:shd w:val="clear" w:color="auto" w:fill="B7E5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B7E5FF"/>
          </w:tcPr>
          <w:p>
            <w:pPr>
              <w:spacing w:after="0"/>
              <w:rPr>
                <w:sz w:val="13"/>
                <w:szCs w:val="13"/>
                <w:color w:val="auto"/>
              </w:rPr>
            </w:pPr>
          </w:p>
        </w:tc>
        <w:tc>
          <w:tcPr>
            <w:tcW w:w="138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B7E5FF"/>
          </w:tcPr>
          <w:p>
            <w:pPr>
              <w:spacing w:after="0"/>
              <w:rPr>
                <w:sz w:val="13"/>
                <w:szCs w:val="13"/>
                <w:color w:val="auto"/>
              </w:rPr>
            </w:pPr>
          </w:p>
        </w:tc>
        <w:tc>
          <w:tcPr>
            <w:tcW w:w="12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(834)</w:t>
            </w:r>
          </w:p>
        </w:tc>
        <w:tc>
          <w:tcPr>
            <w:tcW w:w="120" w:type="dxa"/>
            <w:vAlign w:val="bottom"/>
            <w:shd w:val="clear" w:color="auto" w:fill="B7E5FF"/>
          </w:tcPr>
          <w:p>
            <w:pPr>
              <w:spacing w:after="0"/>
              <w:rPr>
                <w:sz w:val="13"/>
                <w:szCs w:val="13"/>
                <w:color w:val="auto"/>
              </w:rPr>
            </w:pPr>
          </w:p>
        </w:tc>
        <w:tc>
          <w:tcPr>
            <w:tcW w:w="160" w:type="dxa"/>
            <w:vAlign w:val="bottom"/>
            <w:shd w:val="clear" w:color="auto" w:fill="B7E5FF"/>
          </w:tcPr>
          <w:p>
            <w:pPr>
              <w:spacing w:after="0"/>
              <w:rPr>
                <w:sz w:val="13"/>
                <w:szCs w:val="13"/>
                <w:color w:val="auto"/>
              </w:rPr>
            </w:pPr>
          </w:p>
        </w:tc>
        <w:tc>
          <w:tcPr>
            <w:tcW w:w="6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(834)</w:t>
            </w:r>
          </w:p>
        </w:tc>
      </w:tr>
      <w:tr>
        <w:trPr>
          <w:trHeight w:val="153"/>
        </w:trPr>
        <w:tc>
          <w:tcPr>
            <w:tcW w:w="4260" w:type="dxa"/>
            <w:vAlign w:val="bottom"/>
          </w:tcPr>
          <w:p>
            <w:pPr>
              <w:ind w:left="120"/>
              <w:spacing w:after="0"/>
              <w:rPr>
                <w:sz w:val="20"/>
                <w:szCs w:val="20"/>
                <w:color w:val="auto"/>
              </w:rPr>
            </w:pPr>
            <w:r>
              <w:rPr>
                <w:rFonts w:ascii="Arial" w:cs="Arial" w:eastAsia="Arial" w:hAnsi="Arial"/>
                <w:sz w:val="12"/>
                <w:szCs w:val="12"/>
                <w:color w:val="auto"/>
              </w:rPr>
              <w:t>Share issuance and equity-based</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3"/>
        </w:trPr>
        <w:tc>
          <w:tcPr>
            <w:tcW w:w="4260" w:type="dxa"/>
            <w:vAlign w:val="bottom"/>
            <w:shd w:val="clear" w:color="auto" w:fill="B7E5FF"/>
          </w:tcPr>
          <w:p>
            <w:pPr>
              <w:ind w:left="240"/>
              <w:spacing w:after="0"/>
              <w:rPr>
                <w:sz w:val="20"/>
                <w:szCs w:val="20"/>
                <w:color w:val="auto"/>
              </w:rPr>
            </w:pPr>
            <w:r>
              <w:rPr>
                <w:rFonts w:ascii="Arial" w:cs="Arial" w:eastAsia="Arial" w:hAnsi="Arial"/>
                <w:sz w:val="12"/>
                <w:szCs w:val="12"/>
                <w:color w:val="auto"/>
              </w:rPr>
              <w:t>compensation plans</w:t>
            </w:r>
          </w:p>
        </w:tc>
        <w:tc>
          <w:tcPr>
            <w:tcW w:w="140" w:type="dxa"/>
            <w:vAlign w:val="bottom"/>
            <w:shd w:val="clear" w:color="auto" w:fill="B7E5FF"/>
          </w:tcPr>
          <w:p>
            <w:pPr>
              <w:spacing w:after="0"/>
              <w:rPr>
                <w:sz w:val="13"/>
                <w:szCs w:val="13"/>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23</w:t>
            </w:r>
          </w:p>
        </w:tc>
        <w:tc>
          <w:tcPr>
            <w:tcW w:w="120" w:type="dxa"/>
            <w:vAlign w:val="bottom"/>
            <w:shd w:val="clear" w:color="auto" w:fill="B7E5FF"/>
          </w:tcPr>
          <w:p>
            <w:pPr>
              <w:spacing w:after="0"/>
              <w:rPr>
                <w:sz w:val="13"/>
                <w:szCs w:val="13"/>
                <w:color w:val="auto"/>
              </w:rPr>
            </w:pPr>
          </w:p>
        </w:tc>
        <w:tc>
          <w:tcPr>
            <w:tcW w:w="160" w:type="dxa"/>
            <w:vAlign w:val="bottom"/>
            <w:shd w:val="clear" w:color="auto" w:fill="B7E5FF"/>
          </w:tcPr>
          <w:p>
            <w:pPr>
              <w:spacing w:after="0"/>
              <w:rPr>
                <w:sz w:val="13"/>
                <w:szCs w:val="13"/>
                <w:color w:val="auto"/>
              </w:rPr>
            </w:pPr>
          </w:p>
        </w:tc>
        <w:tc>
          <w:tcPr>
            <w:tcW w:w="8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1,456</w:t>
            </w:r>
          </w:p>
        </w:tc>
        <w:tc>
          <w:tcPr>
            <w:tcW w:w="120" w:type="dxa"/>
            <w:vAlign w:val="bottom"/>
            <w:shd w:val="clear" w:color="auto" w:fill="B7E5FF"/>
          </w:tcPr>
          <w:p>
            <w:pPr>
              <w:spacing w:after="0"/>
              <w:rPr>
                <w:sz w:val="13"/>
                <w:szCs w:val="13"/>
                <w:color w:val="auto"/>
              </w:rPr>
            </w:pPr>
          </w:p>
        </w:tc>
        <w:tc>
          <w:tcPr>
            <w:tcW w:w="140" w:type="dxa"/>
            <w:vAlign w:val="bottom"/>
            <w:shd w:val="clear" w:color="auto" w:fill="B7E5FF"/>
          </w:tcPr>
          <w:p>
            <w:pPr>
              <w:spacing w:after="0"/>
              <w:rPr>
                <w:sz w:val="13"/>
                <w:szCs w:val="13"/>
                <w:color w:val="auto"/>
              </w:rPr>
            </w:pPr>
          </w:p>
        </w:tc>
        <w:tc>
          <w:tcPr>
            <w:tcW w:w="880" w:type="dxa"/>
            <w:vAlign w:val="bottom"/>
            <w:gridSpan w:val="2"/>
            <w:shd w:val="clear" w:color="auto" w:fill="B7E5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B7E5FF"/>
          </w:tcPr>
          <w:p>
            <w:pPr>
              <w:spacing w:after="0"/>
              <w:rPr>
                <w:sz w:val="13"/>
                <w:szCs w:val="13"/>
                <w:color w:val="auto"/>
              </w:rPr>
            </w:pPr>
          </w:p>
        </w:tc>
        <w:tc>
          <w:tcPr>
            <w:tcW w:w="138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B7E5FF"/>
          </w:tcPr>
          <w:p>
            <w:pPr>
              <w:spacing w:after="0"/>
              <w:rPr>
                <w:sz w:val="13"/>
                <w:szCs w:val="13"/>
                <w:color w:val="auto"/>
              </w:rPr>
            </w:pPr>
          </w:p>
        </w:tc>
        <w:tc>
          <w:tcPr>
            <w:tcW w:w="138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B7E5FF"/>
          </w:tcPr>
          <w:p>
            <w:pPr>
              <w:spacing w:after="0"/>
              <w:rPr>
                <w:sz w:val="13"/>
                <w:szCs w:val="13"/>
                <w:color w:val="auto"/>
              </w:rPr>
            </w:pPr>
          </w:p>
        </w:tc>
        <w:tc>
          <w:tcPr>
            <w:tcW w:w="64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1,479</w:t>
            </w:r>
          </w:p>
        </w:tc>
      </w:tr>
      <w:tr>
        <w:trPr>
          <w:trHeight w:val="140"/>
        </w:trPr>
        <w:tc>
          <w:tcPr>
            <w:tcW w:w="4260" w:type="dxa"/>
            <w:vAlign w:val="bottom"/>
          </w:tcPr>
          <w:p>
            <w:pPr>
              <w:spacing w:after="0" w:line="133" w:lineRule="exact"/>
              <w:rPr>
                <w:sz w:val="20"/>
                <w:szCs w:val="20"/>
                <w:color w:val="auto"/>
              </w:rPr>
            </w:pPr>
            <w:r>
              <w:rPr>
                <w:rFonts w:ascii="Arial" w:cs="Arial" w:eastAsia="Arial" w:hAnsi="Arial"/>
                <w:sz w:val="12"/>
                <w:szCs w:val="12"/>
                <w:b w:val="1"/>
                <w:bCs w:val="1"/>
                <w:color w:val="auto"/>
              </w:rPr>
              <w:t>Balance at June 30, 2018</w:t>
            </w: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13,331</w:t>
            </w: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94,984</w:t>
            </w: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387,498</w:t>
            </w: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(74,351)</w:t>
            </w: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1,215</w:t>
            </w: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422,677</w:t>
            </w:r>
          </w:p>
        </w:tc>
      </w:tr>
      <w:tr>
        <w:trPr>
          <w:trHeight w:val="153"/>
        </w:trPr>
        <w:tc>
          <w:tcPr>
            <w:tcW w:w="4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480"/>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63"/>
        </w:trPr>
        <w:tc>
          <w:tcPr>
            <w:tcW w:w="42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2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2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-23495</wp:posOffset>
            </wp:positionV>
            <wp:extent cx="31115"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21" w:name="page22"/>
    <w:bookmarkEnd w:id="21"/>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360" w:type="dxa"/>
            <w:vAlign w:val="bottom"/>
            <w:gridSpan w:val="4"/>
          </w:tcPr>
          <w:p>
            <w:pPr>
              <w:ind w:left="200"/>
              <w:spacing w:after="0"/>
              <w:rPr>
                <w:sz w:val="20"/>
                <w:szCs w:val="20"/>
                <w:color w:val="auto"/>
              </w:rPr>
            </w:pPr>
            <w:r>
              <w:rPr>
                <w:rFonts w:ascii="Arial" w:cs="Arial" w:eastAsia="Arial" w:hAnsi="Arial"/>
                <w:sz w:val="12"/>
                <w:szCs w:val="12"/>
                <w:color w:val="auto"/>
                <w:w w:val="93"/>
              </w:rPr>
              <w:t>The following tables show the reclassifications from and resulting balances of AOCI for the three and six months ended June 30, 2019 and 2018:</w:t>
            </w: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2"/>
                <w:szCs w:val="12"/>
                <w:b w:val="1"/>
                <w:bCs w:val="1"/>
                <w:color w:val="auto"/>
                <w:w w:val="92"/>
              </w:rPr>
              <w:t>Unrealized</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1"/>
              </w:rPr>
              <w:t>Currency</w:t>
            </w:r>
          </w:p>
        </w:tc>
        <w:tc>
          <w:tcPr>
            <w:tcW w:w="240" w:type="dxa"/>
            <w:vAlign w:val="bottom"/>
          </w:tcPr>
          <w:p>
            <w:pPr>
              <w:spacing w:after="0"/>
              <w:rPr>
                <w:sz w:val="13"/>
                <w:szCs w:val="13"/>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0"/>
              </w:rPr>
              <w:t>Defined</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9"/>
              </w:rPr>
              <w:t>Gain (Loss) in</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2"/>
              </w:rPr>
              <w:t>Translation</w:t>
            </w:r>
          </w:p>
        </w:tc>
        <w:tc>
          <w:tcPr>
            <w:tcW w:w="240" w:type="dxa"/>
            <w:vAlign w:val="bottom"/>
          </w:tcPr>
          <w:p>
            <w:pPr>
              <w:spacing w:after="0"/>
              <w:rPr>
                <w:sz w:val="13"/>
                <w:szCs w:val="13"/>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8"/>
              </w:rPr>
              <w:t>Benefit</w:t>
            </w:r>
          </w:p>
        </w:tc>
        <w:tc>
          <w:tcPr>
            <w:tcW w:w="180" w:type="dxa"/>
            <w:vAlign w:val="bottom"/>
          </w:tcPr>
          <w:p>
            <w:pPr>
              <w:spacing w:after="0"/>
              <w:rPr>
                <w:sz w:val="13"/>
                <w:szCs w:val="13"/>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1"/>
              </w:rPr>
              <w:t>Available-for-</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860" w:type="dxa"/>
            <w:vAlign w:val="bottom"/>
            <w:tcBorders>
              <w:bottom w:val="single" w:sz="8" w:color="B7E5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2"/>
                <w:szCs w:val="12"/>
                <w:b w:val="1"/>
                <w:bCs w:val="1"/>
                <w:color w:val="auto"/>
                <w:w w:val="87"/>
              </w:rPr>
              <w:t>Adjustments</w:t>
            </w:r>
          </w:p>
        </w:tc>
        <w:tc>
          <w:tcPr>
            <w:tcW w:w="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2"/>
                <w:szCs w:val="12"/>
                <w:b w:val="1"/>
                <w:bCs w:val="1"/>
                <w:color w:val="auto"/>
                <w:w w:val="87"/>
              </w:rPr>
              <w:t>Pension Plans</w:t>
            </w: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2"/>
                <w:szCs w:val="12"/>
                <w:b w:val="1"/>
                <w:bCs w:val="1"/>
                <w:color w:val="auto"/>
                <w:w w:val="86"/>
              </w:rPr>
              <w:t>Sale Securities</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33"/>
        </w:trPr>
        <w:tc>
          <w:tcPr>
            <w:tcW w:w="5860" w:type="dxa"/>
            <w:vAlign w:val="bottom"/>
            <w:shd w:val="clear" w:color="auto" w:fill="B7E5FF"/>
          </w:tcPr>
          <w:p>
            <w:pPr>
              <w:spacing w:after="0" w:line="133" w:lineRule="exact"/>
              <w:rPr>
                <w:sz w:val="20"/>
                <w:szCs w:val="20"/>
                <w:color w:val="auto"/>
              </w:rPr>
            </w:pPr>
            <w:r>
              <w:rPr>
                <w:rFonts w:ascii="Arial" w:cs="Arial" w:eastAsia="Arial" w:hAnsi="Arial"/>
                <w:sz w:val="12"/>
                <w:szCs w:val="12"/>
                <w:b w:val="1"/>
                <w:bCs w:val="1"/>
                <w:color w:val="auto"/>
              </w:rPr>
              <w:t>Balance at March 31, 2019</w:t>
            </w:r>
          </w:p>
        </w:tc>
        <w:tc>
          <w:tcPr>
            <w:tcW w:w="220" w:type="dxa"/>
            <w:vAlign w:val="bottom"/>
            <w:shd w:val="clear" w:color="auto" w:fill="B7E5FF"/>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18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(49,753)</w:t>
            </w:r>
          </w:p>
        </w:tc>
        <w:tc>
          <w:tcPr>
            <w:tcW w:w="100" w:type="dxa"/>
            <w:vAlign w:val="bottom"/>
            <w:shd w:val="clear" w:color="auto" w:fill="B7E5FF"/>
          </w:tcPr>
          <w:p>
            <w:pPr>
              <w:spacing w:after="0"/>
              <w:rPr>
                <w:sz w:val="11"/>
                <w:szCs w:val="11"/>
                <w:color w:val="auto"/>
              </w:rPr>
            </w:pPr>
          </w:p>
        </w:tc>
        <w:tc>
          <w:tcPr>
            <w:tcW w:w="240" w:type="dxa"/>
            <w:vAlign w:val="bottom"/>
            <w:shd w:val="clear" w:color="auto" w:fill="B7E5FF"/>
          </w:tcPr>
          <w:p>
            <w:pPr>
              <w:jc w:val="right"/>
              <w:ind w:right="100"/>
              <w:spacing w:after="0" w:line="133" w:lineRule="exact"/>
              <w:rPr>
                <w:sz w:val="20"/>
                <w:szCs w:val="20"/>
                <w:color w:val="auto"/>
              </w:rPr>
            </w:pPr>
            <w:r>
              <w:rPr>
                <w:rFonts w:ascii="Arial" w:cs="Arial" w:eastAsia="Arial" w:hAnsi="Arial"/>
                <w:sz w:val="12"/>
                <w:szCs w:val="12"/>
                <w:color w:val="auto"/>
                <w:w w:val="89"/>
              </w:rPr>
              <w:t>$</w:t>
            </w:r>
          </w:p>
        </w:tc>
        <w:tc>
          <w:tcPr>
            <w:tcW w:w="126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(29,845)</w:t>
            </w:r>
          </w:p>
        </w:tc>
        <w:tc>
          <w:tcPr>
            <w:tcW w:w="120" w:type="dxa"/>
            <w:vAlign w:val="bottom"/>
            <w:shd w:val="clear" w:color="auto" w:fill="B7E5FF"/>
          </w:tcPr>
          <w:p>
            <w:pPr>
              <w:spacing w:after="0"/>
              <w:rPr>
                <w:sz w:val="11"/>
                <w:szCs w:val="11"/>
                <w:color w:val="auto"/>
              </w:rPr>
            </w:pPr>
          </w:p>
        </w:tc>
        <w:tc>
          <w:tcPr>
            <w:tcW w:w="180" w:type="dxa"/>
            <w:vAlign w:val="bottom"/>
            <w:shd w:val="clear" w:color="auto" w:fill="B7E5FF"/>
          </w:tcPr>
          <w:p>
            <w:pPr>
              <w:jc w:val="right"/>
              <w:ind w:right="70"/>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431</w:t>
            </w:r>
          </w:p>
        </w:tc>
        <w:tc>
          <w:tcPr>
            <w:tcW w:w="100" w:type="dxa"/>
            <w:vAlign w:val="bottom"/>
            <w:shd w:val="clear" w:color="auto" w:fill="B7E5FF"/>
          </w:tcPr>
          <w:p>
            <w:pPr>
              <w:spacing w:after="0"/>
              <w:rPr>
                <w:sz w:val="11"/>
                <w:szCs w:val="11"/>
                <w:color w:val="auto"/>
              </w:rPr>
            </w:pPr>
          </w:p>
        </w:tc>
        <w:tc>
          <w:tcPr>
            <w:tcW w:w="240" w:type="dxa"/>
            <w:vAlign w:val="bottom"/>
            <w:shd w:val="clear" w:color="auto" w:fill="B7E5FF"/>
          </w:tcPr>
          <w:p>
            <w:pPr>
              <w:jc w:val="right"/>
              <w:ind w:right="100"/>
              <w:spacing w:after="0" w:line="133" w:lineRule="exact"/>
              <w:rPr>
                <w:sz w:val="20"/>
                <w:szCs w:val="20"/>
                <w:color w:val="auto"/>
              </w:rPr>
            </w:pPr>
            <w:r>
              <w:rPr>
                <w:rFonts w:ascii="Arial" w:cs="Arial" w:eastAsia="Arial" w:hAnsi="Arial"/>
                <w:sz w:val="12"/>
                <w:szCs w:val="12"/>
                <w:color w:val="auto"/>
                <w:w w:val="89"/>
              </w:rPr>
              <w:t>$</w:t>
            </w:r>
          </w:p>
        </w:tc>
        <w:tc>
          <w:tcPr>
            <w:tcW w:w="80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(79,167)</w:t>
            </w:r>
          </w:p>
        </w:tc>
        <w:tc>
          <w:tcPr>
            <w:tcW w:w="0" w:type="dxa"/>
            <w:vAlign w:val="bottom"/>
          </w:tcPr>
          <w:p>
            <w:pPr>
              <w:spacing w:after="0"/>
              <w:rPr>
                <w:sz w:val="1"/>
                <w:szCs w:val="1"/>
                <w:color w:val="auto"/>
              </w:rPr>
            </w:pPr>
          </w:p>
        </w:tc>
      </w:tr>
      <w:tr>
        <w:trPr>
          <w:trHeight w:val="153"/>
        </w:trPr>
        <w:tc>
          <w:tcPr>
            <w:tcW w:w="5860" w:type="dxa"/>
            <w:vAlign w:val="bottom"/>
          </w:tcPr>
          <w:p>
            <w:pPr>
              <w:ind w:left="120"/>
              <w:spacing w:after="0"/>
              <w:rPr>
                <w:sz w:val="20"/>
                <w:szCs w:val="20"/>
                <w:color w:val="auto"/>
              </w:rPr>
            </w:pPr>
            <w:r>
              <w:rPr>
                <w:rFonts w:ascii="Arial" w:cs="Arial" w:eastAsia="Arial" w:hAnsi="Arial"/>
                <w:sz w:val="12"/>
                <w:szCs w:val="12"/>
                <w:color w:val="auto"/>
              </w:rPr>
              <w:t>Other comprehensive (loss) income before</w:t>
            </w: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60" w:type="dxa"/>
            <w:vAlign w:val="bottom"/>
            <w:shd w:val="clear" w:color="auto" w:fill="B7E5FF"/>
          </w:tcPr>
          <w:p>
            <w:pPr>
              <w:ind w:left="240"/>
              <w:spacing w:after="0"/>
              <w:rPr>
                <w:sz w:val="20"/>
                <w:szCs w:val="20"/>
                <w:color w:val="auto"/>
              </w:rPr>
            </w:pPr>
            <w:r>
              <w:rPr>
                <w:rFonts w:ascii="Arial" w:cs="Arial" w:eastAsia="Arial" w:hAnsi="Arial"/>
                <w:sz w:val="12"/>
                <w:szCs w:val="12"/>
                <w:color w:val="auto"/>
              </w:rPr>
              <w:t>reclassifications</w:t>
            </w:r>
          </w:p>
        </w:tc>
        <w:tc>
          <w:tcPr>
            <w:tcW w:w="220" w:type="dxa"/>
            <w:vAlign w:val="bottom"/>
            <w:shd w:val="clear" w:color="auto" w:fill="B7E5FF"/>
          </w:tcPr>
          <w:p>
            <w:pPr>
              <w:spacing w:after="0"/>
              <w:rPr>
                <w:sz w:val="13"/>
                <w:szCs w:val="13"/>
                <w:color w:val="auto"/>
              </w:rPr>
            </w:pPr>
          </w:p>
        </w:tc>
        <w:tc>
          <w:tcPr>
            <w:tcW w:w="11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(543)</w:t>
            </w:r>
          </w:p>
        </w:tc>
        <w:tc>
          <w:tcPr>
            <w:tcW w:w="100" w:type="dxa"/>
            <w:vAlign w:val="bottom"/>
            <w:shd w:val="clear" w:color="auto" w:fill="B7E5FF"/>
          </w:tcPr>
          <w:p>
            <w:pPr>
              <w:spacing w:after="0"/>
              <w:rPr>
                <w:sz w:val="13"/>
                <w:szCs w:val="13"/>
                <w:color w:val="auto"/>
              </w:rPr>
            </w:pPr>
          </w:p>
        </w:tc>
        <w:tc>
          <w:tcPr>
            <w:tcW w:w="240" w:type="dxa"/>
            <w:vAlign w:val="bottom"/>
            <w:shd w:val="clear" w:color="auto" w:fill="B7E5FF"/>
          </w:tcPr>
          <w:p>
            <w:pPr>
              <w:spacing w:after="0"/>
              <w:rPr>
                <w:sz w:val="13"/>
                <w:szCs w:val="13"/>
                <w:color w:val="auto"/>
              </w:rPr>
            </w:pPr>
          </w:p>
        </w:tc>
        <w:tc>
          <w:tcPr>
            <w:tcW w:w="12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(79)</w:t>
            </w:r>
          </w:p>
        </w:tc>
        <w:tc>
          <w:tcPr>
            <w:tcW w:w="120" w:type="dxa"/>
            <w:vAlign w:val="bottom"/>
            <w:shd w:val="clear" w:color="auto" w:fill="B7E5FF"/>
          </w:tcPr>
          <w:p>
            <w:pPr>
              <w:spacing w:after="0"/>
              <w:rPr>
                <w:sz w:val="13"/>
                <w:szCs w:val="13"/>
                <w:color w:val="auto"/>
              </w:rPr>
            </w:pPr>
          </w:p>
        </w:tc>
        <w:tc>
          <w:tcPr>
            <w:tcW w:w="180" w:type="dxa"/>
            <w:vAlign w:val="bottom"/>
            <w:shd w:val="clear" w:color="auto" w:fill="B7E5FF"/>
          </w:tcPr>
          <w:p>
            <w:pPr>
              <w:spacing w:after="0"/>
              <w:rPr>
                <w:sz w:val="13"/>
                <w:szCs w:val="13"/>
                <w:color w:val="auto"/>
              </w:rPr>
            </w:pPr>
          </w:p>
        </w:tc>
        <w:tc>
          <w:tcPr>
            <w:tcW w:w="11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432</w:t>
            </w:r>
          </w:p>
        </w:tc>
        <w:tc>
          <w:tcPr>
            <w:tcW w:w="100" w:type="dxa"/>
            <w:vAlign w:val="bottom"/>
            <w:shd w:val="clear" w:color="auto" w:fill="B7E5FF"/>
          </w:tcPr>
          <w:p>
            <w:pPr>
              <w:spacing w:after="0"/>
              <w:rPr>
                <w:sz w:val="13"/>
                <w:szCs w:val="13"/>
                <w:color w:val="auto"/>
              </w:rPr>
            </w:pPr>
          </w:p>
        </w:tc>
        <w:tc>
          <w:tcPr>
            <w:tcW w:w="240" w:type="dxa"/>
            <w:vAlign w:val="bottom"/>
            <w:shd w:val="clear" w:color="auto" w:fill="B7E5FF"/>
          </w:tcPr>
          <w:p>
            <w:pPr>
              <w:spacing w:after="0"/>
              <w:rPr>
                <w:sz w:val="13"/>
                <w:szCs w:val="13"/>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(190)</w:t>
            </w:r>
          </w:p>
        </w:tc>
        <w:tc>
          <w:tcPr>
            <w:tcW w:w="0" w:type="dxa"/>
            <w:vAlign w:val="bottom"/>
          </w:tcPr>
          <w:p>
            <w:pPr>
              <w:spacing w:after="0"/>
              <w:rPr>
                <w:sz w:val="1"/>
                <w:szCs w:val="1"/>
                <w:color w:val="auto"/>
              </w:rPr>
            </w:pPr>
          </w:p>
        </w:tc>
      </w:tr>
      <w:tr>
        <w:trPr>
          <w:trHeight w:val="153"/>
        </w:trPr>
        <w:tc>
          <w:tcPr>
            <w:tcW w:w="5860" w:type="dxa"/>
            <w:vAlign w:val="bottom"/>
          </w:tcPr>
          <w:p>
            <w:pPr>
              <w:ind w:left="120"/>
              <w:spacing w:after="0"/>
              <w:rPr>
                <w:sz w:val="20"/>
                <w:szCs w:val="20"/>
                <w:color w:val="auto"/>
              </w:rPr>
            </w:pPr>
            <w:r>
              <w:rPr>
                <w:rFonts w:ascii="Arial" w:cs="Arial" w:eastAsia="Arial" w:hAnsi="Arial"/>
                <w:sz w:val="12"/>
                <w:szCs w:val="12"/>
                <w:color w:val="auto"/>
              </w:rPr>
              <w:t>Amounts reclassified from AOCI</w:t>
            </w:r>
          </w:p>
        </w:tc>
        <w:tc>
          <w:tcPr>
            <w:tcW w:w="22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732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689</w:t>
            </w:r>
          </w:p>
        </w:tc>
        <w:tc>
          <w:tcPr>
            <w:tcW w:w="0" w:type="dxa"/>
            <w:vAlign w:val="bottom"/>
          </w:tcPr>
          <w:p>
            <w:pPr>
              <w:spacing w:after="0"/>
              <w:rPr>
                <w:sz w:val="1"/>
                <w:szCs w:val="1"/>
                <w:color w:val="auto"/>
              </w:rPr>
            </w:pPr>
          </w:p>
        </w:tc>
      </w:tr>
      <w:tr>
        <w:trPr>
          <w:trHeight w:val="133"/>
        </w:trPr>
        <w:tc>
          <w:tcPr>
            <w:tcW w:w="5860" w:type="dxa"/>
            <w:vAlign w:val="bottom"/>
            <w:tcBorders>
              <w:top w:val="single" w:sz="8" w:color="B7E5FF"/>
            </w:tcBorders>
            <w:shd w:val="clear" w:color="auto" w:fill="B7E5FF"/>
          </w:tcPr>
          <w:p>
            <w:pPr>
              <w:ind w:left="120"/>
              <w:spacing w:after="0" w:line="133" w:lineRule="exact"/>
              <w:rPr>
                <w:sz w:val="20"/>
                <w:szCs w:val="20"/>
                <w:color w:val="auto"/>
              </w:rPr>
            </w:pPr>
            <w:r>
              <w:rPr>
                <w:rFonts w:ascii="Arial" w:cs="Arial" w:eastAsia="Arial" w:hAnsi="Arial"/>
                <w:sz w:val="12"/>
                <w:szCs w:val="12"/>
                <w:color w:val="auto"/>
              </w:rPr>
              <w:t>Current period other comprehensive (loss) income</w:t>
            </w:r>
          </w:p>
        </w:tc>
        <w:tc>
          <w:tcPr>
            <w:tcW w:w="220" w:type="dxa"/>
            <w:vAlign w:val="bottom"/>
            <w:tcBorders>
              <w:top w:val="single" w:sz="8" w:color="auto"/>
            </w:tcBorders>
            <w:shd w:val="clear" w:color="auto" w:fill="B7E5FF"/>
          </w:tcPr>
          <w:p>
            <w:pPr>
              <w:spacing w:after="0"/>
              <w:rPr>
                <w:sz w:val="11"/>
                <w:szCs w:val="11"/>
                <w:color w:val="auto"/>
              </w:rPr>
            </w:pPr>
          </w:p>
        </w:tc>
        <w:tc>
          <w:tcPr>
            <w:tcW w:w="118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(543)</w:t>
            </w:r>
          </w:p>
        </w:tc>
        <w:tc>
          <w:tcPr>
            <w:tcW w:w="100" w:type="dxa"/>
            <w:vAlign w:val="bottom"/>
            <w:tcBorders>
              <w:top w:val="single" w:sz="8" w:color="B7E5FF"/>
            </w:tcBorders>
            <w:shd w:val="clear" w:color="auto" w:fill="B7E5FF"/>
          </w:tcPr>
          <w:p>
            <w:pPr>
              <w:spacing w:after="0"/>
              <w:rPr>
                <w:sz w:val="11"/>
                <w:szCs w:val="11"/>
                <w:color w:val="auto"/>
              </w:rPr>
            </w:pPr>
          </w:p>
        </w:tc>
        <w:tc>
          <w:tcPr>
            <w:tcW w:w="240" w:type="dxa"/>
            <w:vAlign w:val="bottom"/>
            <w:tcBorders>
              <w:top w:val="single" w:sz="8" w:color="auto"/>
            </w:tcBorders>
            <w:shd w:val="clear" w:color="auto" w:fill="B7E5FF"/>
          </w:tcPr>
          <w:p>
            <w:pPr>
              <w:spacing w:after="0"/>
              <w:rPr>
                <w:sz w:val="11"/>
                <w:szCs w:val="11"/>
                <w:color w:val="auto"/>
              </w:rPr>
            </w:pPr>
          </w:p>
        </w:tc>
        <w:tc>
          <w:tcPr>
            <w:tcW w:w="126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653</w:t>
            </w:r>
          </w:p>
        </w:tc>
        <w:tc>
          <w:tcPr>
            <w:tcW w:w="120" w:type="dxa"/>
            <w:vAlign w:val="bottom"/>
            <w:tcBorders>
              <w:top w:val="single" w:sz="8" w:color="B7E5FF"/>
            </w:tcBorders>
            <w:shd w:val="clear" w:color="auto" w:fill="B7E5FF"/>
          </w:tcPr>
          <w:p>
            <w:pPr>
              <w:spacing w:after="0"/>
              <w:rPr>
                <w:sz w:val="11"/>
                <w:szCs w:val="11"/>
                <w:color w:val="auto"/>
              </w:rPr>
            </w:pPr>
          </w:p>
        </w:tc>
        <w:tc>
          <w:tcPr>
            <w:tcW w:w="180" w:type="dxa"/>
            <w:vAlign w:val="bottom"/>
            <w:tcBorders>
              <w:top w:val="single" w:sz="8" w:color="auto"/>
            </w:tcBorders>
            <w:shd w:val="clear" w:color="auto" w:fill="B7E5FF"/>
          </w:tcPr>
          <w:p>
            <w:pPr>
              <w:spacing w:after="0"/>
              <w:rPr>
                <w:sz w:val="11"/>
                <w:szCs w:val="11"/>
                <w:color w:val="auto"/>
              </w:rPr>
            </w:pPr>
          </w:p>
        </w:tc>
        <w:tc>
          <w:tcPr>
            <w:tcW w:w="118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389</w:t>
            </w:r>
          </w:p>
        </w:tc>
        <w:tc>
          <w:tcPr>
            <w:tcW w:w="100" w:type="dxa"/>
            <w:vAlign w:val="bottom"/>
            <w:tcBorders>
              <w:top w:val="single" w:sz="8" w:color="B7E5FF"/>
            </w:tcBorders>
            <w:shd w:val="clear" w:color="auto" w:fill="B7E5FF"/>
          </w:tcPr>
          <w:p>
            <w:pPr>
              <w:spacing w:after="0"/>
              <w:rPr>
                <w:sz w:val="11"/>
                <w:szCs w:val="11"/>
                <w:color w:val="auto"/>
              </w:rPr>
            </w:pPr>
          </w:p>
        </w:tc>
        <w:tc>
          <w:tcPr>
            <w:tcW w:w="240" w:type="dxa"/>
            <w:vAlign w:val="bottom"/>
            <w:tcBorders>
              <w:top w:val="single" w:sz="8" w:color="auto"/>
            </w:tcBorders>
            <w:shd w:val="clear" w:color="auto" w:fill="B7E5FF"/>
          </w:tcPr>
          <w:p>
            <w:pPr>
              <w:spacing w:after="0"/>
              <w:rPr>
                <w:sz w:val="11"/>
                <w:szCs w:val="11"/>
                <w:color w:val="auto"/>
              </w:rPr>
            </w:pPr>
          </w:p>
        </w:tc>
        <w:tc>
          <w:tcPr>
            <w:tcW w:w="80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499</w:t>
            </w:r>
          </w:p>
        </w:tc>
        <w:tc>
          <w:tcPr>
            <w:tcW w:w="0" w:type="dxa"/>
            <w:vAlign w:val="bottom"/>
          </w:tcPr>
          <w:p>
            <w:pPr>
              <w:spacing w:after="0"/>
              <w:rPr>
                <w:sz w:val="1"/>
                <w:szCs w:val="1"/>
                <w:color w:val="auto"/>
              </w:rPr>
            </w:pPr>
          </w:p>
        </w:tc>
      </w:tr>
      <w:tr>
        <w:trPr>
          <w:trHeight w:val="153"/>
        </w:trPr>
        <w:tc>
          <w:tcPr>
            <w:tcW w:w="5860" w:type="dxa"/>
            <w:vAlign w:val="bottom"/>
          </w:tcPr>
          <w:p>
            <w:pPr>
              <w:ind w:left="120"/>
              <w:spacing w:after="0"/>
              <w:rPr>
                <w:sz w:val="20"/>
                <w:szCs w:val="20"/>
                <w:color w:val="auto"/>
              </w:rPr>
            </w:pPr>
            <w:r>
              <w:rPr>
                <w:rFonts w:ascii="Arial" w:cs="Arial" w:eastAsia="Arial" w:hAnsi="Arial"/>
                <w:sz w:val="12"/>
                <w:szCs w:val="12"/>
                <w:color w:val="auto"/>
              </w:rPr>
              <w:t>Related tax amounts</w:t>
            </w:r>
          </w:p>
        </w:tc>
        <w:tc>
          <w:tcPr>
            <w:tcW w:w="22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(131)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(82)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(213)</w:t>
            </w:r>
          </w:p>
        </w:tc>
        <w:tc>
          <w:tcPr>
            <w:tcW w:w="0" w:type="dxa"/>
            <w:vAlign w:val="bottom"/>
          </w:tcPr>
          <w:p>
            <w:pPr>
              <w:spacing w:after="0"/>
              <w:rPr>
                <w:sz w:val="1"/>
                <w:szCs w:val="1"/>
                <w:color w:val="auto"/>
              </w:rPr>
            </w:pPr>
          </w:p>
        </w:tc>
      </w:tr>
      <w:tr>
        <w:trPr>
          <w:trHeight w:val="133"/>
        </w:trPr>
        <w:tc>
          <w:tcPr>
            <w:tcW w:w="5860" w:type="dxa"/>
            <w:vAlign w:val="bottom"/>
            <w:tcBorders>
              <w:top w:val="single" w:sz="8" w:color="B7E5FF"/>
            </w:tcBorders>
            <w:shd w:val="clear" w:color="auto" w:fill="B7E5FF"/>
          </w:tcPr>
          <w:p>
            <w:pPr>
              <w:ind w:left="120"/>
              <w:spacing w:after="0" w:line="133" w:lineRule="exact"/>
              <w:rPr>
                <w:sz w:val="20"/>
                <w:szCs w:val="20"/>
                <w:color w:val="auto"/>
              </w:rPr>
            </w:pPr>
            <w:r>
              <w:rPr>
                <w:rFonts w:ascii="Arial" w:cs="Arial" w:eastAsia="Arial" w:hAnsi="Arial"/>
                <w:sz w:val="12"/>
                <w:szCs w:val="12"/>
                <w:color w:val="auto"/>
              </w:rPr>
              <w:t>Net current period other comprehensive (loss) income</w:t>
            </w:r>
          </w:p>
        </w:tc>
        <w:tc>
          <w:tcPr>
            <w:tcW w:w="220" w:type="dxa"/>
            <w:vAlign w:val="bottom"/>
            <w:tcBorders>
              <w:top w:val="single" w:sz="8" w:color="auto"/>
              <w:bottom w:val="single" w:sz="8" w:color="auto"/>
            </w:tcBorders>
            <w:shd w:val="clear" w:color="auto" w:fill="B7E5FF"/>
          </w:tcPr>
          <w:p>
            <w:pPr>
              <w:spacing w:after="0"/>
              <w:rPr>
                <w:sz w:val="11"/>
                <w:szCs w:val="11"/>
                <w:color w:val="auto"/>
              </w:rPr>
            </w:pPr>
          </w:p>
        </w:tc>
        <w:tc>
          <w:tcPr>
            <w:tcW w:w="118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(543)</w:t>
            </w:r>
          </w:p>
        </w:tc>
        <w:tc>
          <w:tcPr>
            <w:tcW w:w="100" w:type="dxa"/>
            <w:vAlign w:val="bottom"/>
            <w:tcBorders>
              <w:top w:val="single" w:sz="8" w:color="B7E5FF"/>
            </w:tcBorders>
            <w:shd w:val="clear" w:color="auto" w:fill="B7E5FF"/>
          </w:tcPr>
          <w:p>
            <w:pPr>
              <w:spacing w:after="0"/>
              <w:rPr>
                <w:sz w:val="11"/>
                <w:szCs w:val="11"/>
                <w:color w:val="auto"/>
              </w:rPr>
            </w:pPr>
          </w:p>
        </w:tc>
        <w:tc>
          <w:tcPr>
            <w:tcW w:w="240" w:type="dxa"/>
            <w:vAlign w:val="bottom"/>
            <w:tcBorders>
              <w:top w:val="single" w:sz="8" w:color="auto"/>
              <w:bottom w:val="single" w:sz="8" w:color="auto"/>
            </w:tcBorders>
            <w:shd w:val="clear" w:color="auto" w:fill="B7E5FF"/>
          </w:tcPr>
          <w:p>
            <w:pPr>
              <w:spacing w:after="0"/>
              <w:rPr>
                <w:sz w:val="11"/>
                <w:szCs w:val="11"/>
                <w:color w:val="auto"/>
              </w:rPr>
            </w:pPr>
          </w:p>
        </w:tc>
        <w:tc>
          <w:tcPr>
            <w:tcW w:w="126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522</w:t>
            </w:r>
          </w:p>
        </w:tc>
        <w:tc>
          <w:tcPr>
            <w:tcW w:w="120" w:type="dxa"/>
            <w:vAlign w:val="bottom"/>
            <w:tcBorders>
              <w:top w:val="single" w:sz="8" w:color="B7E5FF"/>
            </w:tcBorders>
            <w:shd w:val="clear" w:color="auto" w:fill="B7E5FF"/>
          </w:tcPr>
          <w:p>
            <w:pPr>
              <w:spacing w:after="0"/>
              <w:rPr>
                <w:sz w:val="11"/>
                <w:szCs w:val="11"/>
                <w:color w:val="auto"/>
              </w:rPr>
            </w:pPr>
          </w:p>
        </w:tc>
        <w:tc>
          <w:tcPr>
            <w:tcW w:w="180" w:type="dxa"/>
            <w:vAlign w:val="bottom"/>
            <w:tcBorders>
              <w:top w:val="single" w:sz="8" w:color="auto"/>
              <w:bottom w:val="single" w:sz="8" w:color="auto"/>
            </w:tcBorders>
            <w:shd w:val="clear" w:color="auto" w:fill="B7E5FF"/>
          </w:tcPr>
          <w:p>
            <w:pPr>
              <w:spacing w:after="0"/>
              <w:rPr>
                <w:sz w:val="11"/>
                <w:szCs w:val="11"/>
                <w:color w:val="auto"/>
              </w:rPr>
            </w:pPr>
          </w:p>
        </w:tc>
        <w:tc>
          <w:tcPr>
            <w:tcW w:w="118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307</w:t>
            </w:r>
          </w:p>
        </w:tc>
        <w:tc>
          <w:tcPr>
            <w:tcW w:w="100" w:type="dxa"/>
            <w:vAlign w:val="bottom"/>
            <w:tcBorders>
              <w:top w:val="single" w:sz="8" w:color="B7E5FF"/>
            </w:tcBorders>
            <w:shd w:val="clear" w:color="auto" w:fill="B7E5FF"/>
          </w:tcPr>
          <w:p>
            <w:pPr>
              <w:spacing w:after="0"/>
              <w:rPr>
                <w:sz w:val="11"/>
                <w:szCs w:val="11"/>
                <w:color w:val="auto"/>
              </w:rPr>
            </w:pPr>
          </w:p>
        </w:tc>
        <w:tc>
          <w:tcPr>
            <w:tcW w:w="240" w:type="dxa"/>
            <w:vAlign w:val="bottom"/>
            <w:tcBorders>
              <w:top w:val="single" w:sz="8" w:color="auto"/>
              <w:bottom w:val="single" w:sz="8" w:color="auto"/>
            </w:tcBorders>
            <w:shd w:val="clear" w:color="auto" w:fill="B7E5FF"/>
          </w:tcPr>
          <w:p>
            <w:pPr>
              <w:spacing w:after="0"/>
              <w:rPr>
                <w:sz w:val="11"/>
                <w:szCs w:val="11"/>
                <w:color w:val="auto"/>
              </w:rPr>
            </w:pPr>
          </w:p>
        </w:tc>
        <w:tc>
          <w:tcPr>
            <w:tcW w:w="80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286</w:t>
            </w:r>
          </w:p>
        </w:tc>
        <w:tc>
          <w:tcPr>
            <w:tcW w:w="0" w:type="dxa"/>
            <w:vAlign w:val="bottom"/>
          </w:tcPr>
          <w:p>
            <w:pPr>
              <w:spacing w:after="0"/>
              <w:rPr>
                <w:sz w:val="1"/>
                <w:szCs w:val="1"/>
                <w:color w:val="auto"/>
              </w:rPr>
            </w:pPr>
          </w:p>
        </w:tc>
      </w:tr>
      <w:tr>
        <w:trPr>
          <w:trHeight w:val="140"/>
        </w:trPr>
        <w:tc>
          <w:tcPr>
            <w:tcW w:w="5860" w:type="dxa"/>
            <w:vAlign w:val="bottom"/>
            <w:tcBorders>
              <w:bottom w:val="single" w:sz="8" w:color="B7E5FF"/>
            </w:tcBorders>
          </w:tcPr>
          <w:p>
            <w:pPr>
              <w:spacing w:after="0" w:line="133" w:lineRule="exact"/>
              <w:rPr>
                <w:sz w:val="20"/>
                <w:szCs w:val="20"/>
                <w:color w:val="auto"/>
              </w:rPr>
            </w:pPr>
            <w:r>
              <w:rPr>
                <w:rFonts w:ascii="Arial" w:cs="Arial" w:eastAsia="Arial" w:hAnsi="Arial"/>
                <w:sz w:val="12"/>
                <w:szCs w:val="12"/>
                <w:b w:val="1"/>
                <w:bCs w:val="1"/>
                <w:color w:val="auto"/>
              </w:rPr>
              <w:t>Balance at June 30, 2019</w:t>
            </w:r>
          </w:p>
        </w:tc>
        <w:tc>
          <w:tcPr>
            <w:tcW w:w="220" w:type="dxa"/>
            <w:vAlign w:val="bottom"/>
            <w:tcBorders>
              <w:bottom w:val="single" w:sz="8" w:color="auto"/>
            </w:tcBorders>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(50,296)</w:t>
            </w:r>
          </w:p>
        </w:tc>
        <w:tc>
          <w:tcPr>
            <w:tcW w:w="100" w:type="dxa"/>
            <w:vAlign w:val="bottom"/>
            <w:tcBorders>
              <w:bottom w:val="single" w:sz="8" w:color="B7E5FF"/>
            </w:tcBorders>
          </w:tcPr>
          <w:p>
            <w:pPr>
              <w:spacing w:after="0"/>
              <w:rPr>
                <w:sz w:val="12"/>
                <w:szCs w:val="12"/>
                <w:color w:val="auto"/>
              </w:rPr>
            </w:pPr>
          </w:p>
        </w:tc>
        <w:tc>
          <w:tcPr>
            <w:tcW w:w="240" w:type="dxa"/>
            <w:vAlign w:val="bottom"/>
            <w:tcBorders>
              <w:bottom w:val="single" w:sz="8" w:color="auto"/>
            </w:tcBorders>
          </w:tcPr>
          <w:p>
            <w:pPr>
              <w:jc w:val="right"/>
              <w:ind w:right="100"/>
              <w:spacing w:after="0" w:line="133" w:lineRule="exact"/>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(29,323)</w:t>
            </w:r>
          </w:p>
        </w:tc>
        <w:tc>
          <w:tcPr>
            <w:tcW w:w="120" w:type="dxa"/>
            <w:vAlign w:val="bottom"/>
            <w:tcBorders>
              <w:bottom w:val="single" w:sz="8" w:color="B7E5FF"/>
            </w:tcBorders>
          </w:tcPr>
          <w:p>
            <w:pPr>
              <w:spacing w:after="0"/>
              <w:rPr>
                <w:sz w:val="12"/>
                <w:szCs w:val="12"/>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738</w:t>
            </w:r>
          </w:p>
        </w:tc>
        <w:tc>
          <w:tcPr>
            <w:tcW w:w="100" w:type="dxa"/>
            <w:vAlign w:val="bottom"/>
            <w:tcBorders>
              <w:bottom w:val="single" w:sz="8" w:color="B7E5FF"/>
            </w:tcBorders>
          </w:tcPr>
          <w:p>
            <w:pPr>
              <w:spacing w:after="0"/>
              <w:rPr>
                <w:sz w:val="12"/>
                <w:szCs w:val="12"/>
                <w:color w:val="auto"/>
              </w:rPr>
            </w:pPr>
          </w:p>
        </w:tc>
        <w:tc>
          <w:tcPr>
            <w:tcW w:w="240" w:type="dxa"/>
            <w:vAlign w:val="bottom"/>
            <w:tcBorders>
              <w:bottom w:val="single" w:sz="8" w:color="auto"/>
            </w:tcBorders>
          </w:tcPr>
          <w:p>
            <w:pPr>
              <w:jc w:val="right"/>
              <w:ind w:right="100"/>
              <w:spacing w:after="0" w:line="133" w:lineRule="exact"/>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(78,881)</w:t>
            </w:r>
          </w:p>
        </w:tc>
        <w:tc>
          <w:tcPr>
            <w:tcW w:w="0" w:type="dxa"/>
            <w:vAlign w:val="bottom"/>
          </w:tcPr>
          <w:p>
            <w:pPr>
              <w:spacing w:after="0"/>
              <w:rPr>
                <w:sz w:val="1"/>
                <w:szCs w:val="1"/>
                <w:color w:val="auto"/>
              </w:rPr>
            </w:pPr>
          </w:p>
        </w:tc>
      </w:tr>
      <w:tr>
        <w:trPr>
          <w:trHeight w:val="144"/>
        </w:trPr>
        <w:tc>
          <w:tcPr>
            <w:tcW w:w="5860" w:type="dxa"/>
            <w:vAlign w:val="bottom"/>
            <w:shd w:val="clear" w:color="auto" w:fill="B7E5FF"/>
          </w:tcPr>
          <w:p>
            <w:pPr>
              <w:spacing w:after="0"/>
              <w:rPr>
                <w:sz w:val="12"/>
                <w:szCs w:val="12"/>
                <w:color w:val="auto"/>
              </w:rPr>
            </w:pPr>
          </w:p>
        </w:tc>
        <w:tc>
          <w:tcPr>
            <w:tcW w:w="220" w:type="dxa"/>
            <w:vAlign w:val="bottom"/>
            <w:shd w:val="clear" w:color="auto" w:fill="B7E5FF"/>
          </w:tcPr>
          <w:p>
            <w:pPr>
              <w:spacing w:after="0"/>
              <w:rPr>
                <w:sz w:val="12"/>
                <w:szCs w:val="12"/>
                <w:color w:val="auto"/>
              </w:rPr>
            </w:pPr>
          </w:p>
        </w:tc>
        <w:tc>
          <w:tcPr>
            <w:tcW w:w="118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240" w:type="dxa"/>
            <w:vAlign w:val="bottom"/>
            <w:shd w:val="clear" w:color="auto" w:fill="B7E5FF"/>
          </w:tcPr>
          <w:p>
            <w:pPr>
              <w:spacing w:after="0"/>
              <w:rPr>
                <w:sz w:val="12"/>
                <w:szCs w:val="12"/>
                <w:color w:val="auto"/>
              </w:rPr>
            </w:pPr>
          </w:p>
        </w:tc>
        <w:tc>
          <w:tcPr>
            <w:tcW w:w="126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180" w:type="dxa"/>
            <w:vAlign w:val="bottom"/>
            <w:shd w:val="clear" w:color="auto" w:fill="B7E5FF"/>
          </w:tcPr>
          <w:p>
            <w:pPr>
              <w:spacing w:after="0"/>
              <w:rPr>
                <w:sz w:val="12"/>
                <w:szCs w:val="12"/>
                <w:color w:val="auto"/>
              </w:rPr>
            </w:pPr>
          </w:p>
        </w:tc>
        <w:tc>
          <w:tcPr>
            <w:tcW w:w="118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240" w:type="dxa"/>
            <w:vAlign w:val="bottom"/>
            <w:shd w:val="clear" w:color="auto" w:fill="B7E5FF"/>
          </w:tcPr>
          <w:p>
            <w:pPr>
              <w:spacing w:after="0"/>
              <w:rPr>
                <w:sz w:val="12"/>
                <w:szCs w:val="12"/>
                <w:color w:val="auto"/>
              </w:rPr>
            </w:pPr>
          </w:p>
        </w:tc>
        <w:tc>
          <w:tcPr>
            <w:tcW w:w="800" w:type="dxa"/>
            <w:vAlign w:val="bottom"/>
            <w:shd w:val="clear" w:color="auto" w:fill="B7E5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860" w:type="dxa"/>
            <w:vAlign w:val="bottom"/>
          </w:tcPr>
          <w:p>
            <w:pPr>
              <w:spacing w:after="0"/>
              <w:rPr>
                <w:sz w:val="20"/>
                <w:szCs w:val="20"/>
                <w:color w:val="auto"/>
              </w:rPr>
            </w:pPr>
            <w:r>
              <w:rPr>
                <w:rFonts w:ascii="Arial" w:cs="Arial" w:eastAsia="Arial" w:hAnsi="Arial"/>
                <w:sz w:val="12"/>
                <w:szCs w:val="12"/>
                <w:b w:val="1"/>
                <w:bCs w:val="1"/>
                <w:color w:val="auto"/>
              </w:rPr>
              <w:t>Balance at March 31, 2018</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(25,129)</w:t>
            </w:r>
          </w:p>
        </w:tc>
        <w:tc>
          <w:tcPr>
            <w:tcW w:w="10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(34,009)</w:t>
            </w:r>
          </w:p>
        </w:tc>
        <w:tc>
          <w:tcPr>
            <w:tcW w:w="120" w:type="dxa"/>
            <w:vAlign w:val="bottom"/>
          </w:tcPr>
          <w:p>
            <w:pPr>
              <w:spacing w:after="0"/>
              <w:rPr>
                <w:sz w:val="13"/>
                <w:szCs w:val="13"/>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400</w:t>
            </w:r>
          </w:p>
        </w:tc>
        <w:tc>
          <w:tcPr>
            <w:tcW w:w="10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(58,738)</w:t>
            </w:r>
          </w:p>
        </w:tc>
        <w:tc>
          <w:tcPr>
            <w:tcW w:w="0" w:type="dxa"/>
            <w:vAlign w:val="bottom"/>
          </w:tcPr>
          <w:p>
            <w:pPr>
              <w:spacing w:after="0"/>
              <w:rPr>
                <w:sz w:val="1"/>
                <w:szCs w:val="1"/>
                <w:color w:val="auto"/>
              </w:rPr>
            </w:pPr>
          </w:p>
        </w:tc>
      </w:tr>
      <w:tr>
        <w:trPr>
          <w:trHeight w:val="153"/>
        </w:trPr>
        <w:tc>
          <w:tcPr>
            <w:tcW w:w="5860" w:type="dxa"/>
            <w:vAlign w:val="bottom"/>
            <w:shd w:val="clear" w:color="auto" w:fill="B7E5FF"/>
          </w:tcPr>
          <w:p>
            <w:pPr>
              <w:ind w:left="120"/>
              <w:spacing w:after="0"/>
              <w:rPr>
                <w:sz w:val="20"/>
                <w:szCs w:val="20"/>
                <w:color w:val="auto"/>
              </w:rPr>
            </w:pPr>
            <w:r>
              <w:rPr>
                <w:rFonts w:ascii="Arial" w:cs="Arial" w:eastAsia="Arial" w:hAnsi="Arial"/>
                <w:sz w:val="12"/>
                <w:szCs w:val="12"/>
                <w:color w:val="auto"/>
              </w:rPr>
              <w:t>Other comprehensive (loss) income before</w:t>
            </w:r>
          </w:p>
        </w:tc>
        <w:tc>
          <w:tcPr>
            <w:tcW w:w="220" w:type="dxa"/>
            <w:vAlign w:val="bottom"/>
            <w:shd w:val="clear" w:color="auto" w:fill="B7E5FF"/>
          </w:tcPr>
          <w:p>
            <w:pPr>
              <w:spacing w:after="0"/>
              <w:rPr>
                <w:sz w:val="13"/>
                <w:szCs w:val="13"/>
                <w:color w:val="auto"/>
              </w:rPr>
            </w:pPr>
          </w:p>
        </w:tc>
        <w:tc>
          <w:tcPr>
            <w:tcW w:w="1180" w:type="dxa"/>
            <w:vAlign w:val="bottom"/>
            <w:shd w:val="clear" w:color="auto" w:fill="B7E5FF"/>
          </w:tcPr>
          <w:p>
            <w:pPr>
              <w:spacing w:after="0"/>
              <w:rPr>
                <w:sz w:val="13"/>
                <w:szCs w:val="13"/>
                <w:color w:val="auto"/>
              </w:rPr>
            </w:pPr>
          </w:p>
        </w:tc>
        <w:tc>
          <w:tcPr>
            <w:tcW w:w="100" w:type="dxa"/>
            <w:vAlign w:val="bottom"/>
            <w:shd w:val="clear" w:color="auto" w:fill="B7E5FF"/>
          </w:tcPr>
          <w:p>
            <w:pPr>
              <w:spacing w:after="0"/>
              <w:rPr>
                <w:sz w:val="13"/>
                <w:szCs w:val="13"/>
                <w:color w:val="auto"/>
              </w:rPr>
            </w:pPr>
          </w:p>
        </w:tc>
        <w:tc>
          <w:tcPr>
            <w:tcW w:w="240" w:type="dxa"/>
            <w:vAlign w:val="bottom"/>
            <w:shd w:val="clear" w:color="auto" w:fill="B7E5FF"/>
          </w:tcPr>
          <w:p>
            <w:pPr>
              <w:spacing w:after="0"/>
              <w:rPr>
                <w:sz w:val="13"/>
                <w:szCs w:val="13"/>
                <w:color w:val="auto"/>
              </w:rPr>
            </w:pPr>
          </w:p>
        </w:tc>
        <w:tc>
          <w:tcPr>
            <w:tcW w:w="1260" w:type="dxa"/>
            <w:vAlign w:val="bottom"/>
            <w:shd w:val="clear" w:color="auto" w:fill="B7E5FF"/>
          </w:tcPr>
          <w:p>
            <w:pPr>
              <w:spacing w:after="0"/>
              <w:rPr>
                <w:sz w:val="13"/>
                <w:szCs w:val="13"/>
                <w:color w:val="auto"/>
              </w:rPr>
            </w:pPr>
          </w:p>
        </w:tc>
        <w:tc>
          <w:tcPr>
            <w:tcW w:w="120" w:type="dxa"/>
            <w:vAlign w:val="bottom"/>
            <w:shd w:val="clear" w:color="auto" w:fill="B7E5FF"/>
          </w:tcPr>
          <w:p>
            <w:pPr>
              <w:spacing w:after="0"/>
              <w:rPr>
                <w:sz w:val="13"/>
                <w:szCs w:val="13"/>
                <w:color w:val="auto"/>
              </w:rPr>
            </w:pPr>
          </w:p>
        </w:tc>
        <w:tc>
          <w:tcPr>
            <w:tcW w:w="180" w:type="dxa"/>
            <w:vAlign w:val="bottom"/>
            <w:shd w:val="clear" w:color="auto" w:fill="B7E5FF"/>
          </w:tcPr>
          <w:p>
            <w:pPr>
              <w:spacing w:after="0"/>
              <w:rPr>
                <w:sz w:val="13"/>
                <w:szCs w:val="13"/>
                <w:color w:val="auto"/>
              </w:rPr>
            </w:pPr>
          </w:p>
        </w:tc>
        <w:tc>
          <w:tcPr>
            <w:tcW w:w="1180" w:type="dxa"/>
            <w:vAlign w:val="bottom"/>
            <w:shd w:val="clear" w:color="auto" w:fill="B7E5FF"/>
          </w:tcPr>
          <w:p>
            <w:pPr>
              <w:spacing w:after="0"/>
              <w:rPr>
                <w:sz w:val="13"/>
                <w:szCs w:val="13"/>
                <w:color w:val="auto"/>
              </w:rPr>
            </w:pPr>
          </w:p>
        </w:tc>
        <w:tc>
          <w:tcPr>
            <w:tcW w:w="100" w:type="dxa"/>
            <w:vAlign w:val="bottom"/>
            <w:shd w:val="clear" w:color="auto" w:fill="B7E5FF"/>
          </w:tcPr>
          <w:p>
            <w:pPr>
              <w:spacing w:after="0"/>
              <w:rPr>
                <w:sz w:val="13"/>
                <w:szCs w:val="13"/>
                <w:color w:val="auto"/>
              </w:rPr>
            </w:pPr>
          </w:p>
        </w:tc>
        <w:tc>
          <w:tcPr>
            <w:tcW w:w="240" w:type="dxa"/>
            <w:vAlign w:val="bottom"/>
            <w:shd w:val="clear" w:color="auto" w:fill="B7E5FF"/>
          </w:tcPr>
          <w:p>
            <w:pPr>
              <w:spacing w:after="0"/>
              <w:rPr>
                <w:sz w:val="13"/>
                <w:szCs w:val="13"/>
                <w:color w:val="auto"/>
              </w:rPr>
            </w:pPr>
          </w:p>
        </w:tc>
        <w:tc>
          <w:tcPr>
            <w:tcW w:w="800" w:type="dxa"/>
            <w:vAlign w:val="bottom"/>
            <w:shd w:val="clear" w:color="auto" w:fill="B7E5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60" w:type="dxa"/>
            <w:vAlign w:val="bottom"/>
          </w:tcPr>
          <w:p>
            <w:pPr>
              <w:ind w:left="240"/>
              <w:spacing w:after="0"/>
              <w:rPr>
                <w:sz w:val="20"/>
                <w:szCs w:val="20"/>
                <w:color w:val="auto"/>
              </w:rPr>
            </w:pPr>
            <w:r>
              <w:rPr>
                <w:rFonts w:ascii="Arial" w:cs="Arial" w:eastAsia="Arial" w:hAnsi="Arial"/>
                <w:sz w:val="12"/>
                <w:szCs w:val="12"/>
                <w:color w:val="auto"/>
              </w:rPr>
              <w:t>reclassifications</w:t>
            </w: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(16,940)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1,161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(895)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(16,674)</w:t>
            </w:r>
          </w:p>
        </w:tc>
        <w:tc>
          <w:tcPr>
            <w:tcW w:w="0" w:type="dxa"/>
            <w:vAlign w:val="bottom"/>
          </w:tcPr>
          <w:p>
            <w:pPr>
              <w:spacing w:after="0"/>
              <w:rPr>
                <w:sz w:val="1"/>
                <w:szCs w:val="1"/>
                <w:color w:val="auto"/>
              </w:rPr>
            </w:pPr>
          </w:p>
        </w:tc>
      </w:tr>
      <w:tr>
        <w:trPr>
          <w:trHeight w:val="153"/>
        </w:trPr>
        <w:tc>
          <w:tcPr>
            <w:tcW w:w="5860" w:type="dxa"/>
            <w:vAlign w:val="bottom"/>
            <w:shd w:val="clear" w:color="auto" w:fill="B7E5FF"/>
          </w:tcPr>
          <w:p>
            <w:pPr>
              <w:ind w:left="120"/>
              <w:spacing w:after="0"/>
              <w:rPr>
                <w:sz w:val="20"/>
                <w:szCs w:val="20"/>
                <w:color w:val="auto"/>
              </w:rPr>
            </w:pPr>
            <w:r>
              <w:rPr>
                <w:rFonts w:ascii="Arial" w:cs="Arial" w:eastAsia="Arial" w:hAnsi="Arial"/>
                <w:sz w:val="12"/>
                <w:szCs w:val="12"/>
                <w:color w:val="auto"/>
              </w:rPr>
              <w:t>Amounts reclassified from AOCI</w:t>
            </w:r>
          </w:p>
        </w:tc>
        <w:tc>
          <w:tcPr>
            <w:tcW w:w="220" w:type="dxa"/>
            <w:vAlign w:val="bottom"/>
            <w:shd w:val="clear" w:color="auto" w:fill="B7E5FF"/>
          </w:tcPr>
          <w:p>
            <w:pPr>
              <w:spacing w:after="0"/>
              <w:rPr>
                <w:sz w:val="13"/>
                <w:szCs w:val="13"/>
                <w:color w:val="auto"/>
              </w:rPr>
            </w:pPr>
          </w:p>
        </w:tc>
        <w:tc>
          <w:tcPr>
            <w:tcW w:w="128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shd w:val="clear" w:color="auto" w:fill="B7E5FF"/>
          </w:tcPr>
          <w:p>
            <w:pPr>
              <w:spacing w:after="0"/>
              <w:rPr>
                <w:sz w:val="13"/>
                <w:szCs w:val="13"/>
                <w:color w:val="auto"/>
              </w:rPr>
            </w:pPr>
          </w:p>
        </w:tc>
        <w:tc>
          <w:tcPr>
            <w:tcW w:w="12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779</w:t>
            </w:r>
          </w:p>
        </w:tc>
        <w:tc>
          <w:tcPr>
            <w:tcW w:w="120" w:type="dxa"/>
            <w:vAlign w:val="bottom"/>
            <w:shd w:val="clear" w:color="auto" w:fill="B7E5FF"/>
          </w:tcPr>
          <w:p>
            <w:pPr>
              <w:spacing w:after="0"/>
              <w:rPr>
                <w:sz w:val="13"/>
                <w:szCs w:val="13"/>
                <w:color w:val="auto"/>
              </w:rPr>
            </w:pPr>
          </w:p>
        </w:tc>
        <w:tc>
          <w:tcPr>
            <w:tcW w:w="180" w:type="dxa"/>
            <w:vAlign w:val="bottom"/>
            <w:shd w:val="clear" w:color="auto" w:fill="B7E5FF"/>
          </w:tcPr>
          <w:p>
            <w:pPr>
              <w:spacing w:after="0"/>
              <w:rPr>
                <w:sz w:val="13"/>
                <w:szCs w:val="13"/>
                <w:color w:val="auto"/>
              </w:rPr>
            </w:pPr>
          </w:p>
        </w:tc>
        <w:tc>
          <w:tcPr>
            <w:tcW w:w="11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681</w:t>
            </w:r>
          </w:p>
        </w:tc>
        <w:tc>
          <w:tcPr>
            <w:tcW w:w="100" w:type="dxa"/>
            <w:vAlign w:val="bottom"/>
            <w:shd w:val="clear" w:color="auto" w:fill="B7E5FF"/>
          </w:tcPr>
          <w:p>
            <w:pPr>
              <w:spacing w:after="0"/>
              <w:rPr>
                <w:sz w:val="13"/>
                <w:szCs w:val="13"/>
                <w:color w:val="auto"/>
              </w:rPr>
            </w:pPr>
          </w:p>
        </w:tc>
        <w:tc>
          <w:tcPr>
            <w:tcW w:w="240" w:type="dxa"/>
            <w:vAlign w:val="bottom"/>
            <w:shd w:val="clear" w:color="auto" w:fill="B7E5FF"/>
          </w:tcPr>
          <w:p>
            <w:pPr>
              <w:spacing w:after="0"/>
              <w:rPr>
                <w:sz w:val="13"/>
                <w:szCs w:val="13"/>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1,460</w:t>
            </w:r>
          </w:p>
        </w:tc>
        <w:tc>
          <w:tcPr>
            <w:tcW w:w="0" w:type="dxa"/>
            <w:vAlign w:val="bottom"/>
          </w:tcPr>
          <w:p>
            <w:pPr>
              <w:spacing w:after="0"/>
              <w:rPr>
                <w:sz w:val="1"/>
                <w:szCs w:val="1"/>
                <w:color w:val="auto"/>
              </w:rPr>
            </w:pPr>
          </w:p>
        </w:tc>
      </w:tr>
      <w:tr>
        <w:trPr>
          <w:trHeight w:val="133"/>
        </w:trPr>
        <w:tc>
          <w:tcPr>
            <w:tcW w:w="5860" w:type="dxa"/>
            <w:vAlign w:val="bottom"/>
          </w:tcPr>
          <w:p>
            <w:pPr>
              <w:ind w:left="120"/>
              <w:spacing w:after="0" w:line="133" w:lineRule="exact"/>
              <w:rPr>
                <w:sz w:val="20"/>
                <w:szCs w:val="20"/>
                <w:color w:val="auto"/>
              </w:rPr>
            </w:pPr>
            <w:r>
              <w:rPr>
                <w:rFonts w:ascii="Arial" w:cs="Arial" w:eastAsia="Arial" w:hAnsi="Arial"/>
                <w:sz w:val="12"/>
                <w:szCs w:val="12"/>
                <w:color w:val="auto"/>
              </w:rPr>
              <w:t>Current period other comprehensive (loss) income</w:t>
            </w: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(16,940)</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1,940</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(214)</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(15,214)</w:t>
            </w:r>
          </w:p>
        </w:tc>
        <w:tc>
          <w:tcPr>
            <w:tcW w:w="0" w:type="dxa"/>
            <w:vAlign w:val="bottom"/>
          </w:tcPr>
          <w:p>
            <w:pPr>
              <w:spacing w:after="0"/>
              <w:rPr>
                <w:sz w:val="1"/>
                <w:szCs w:val="1"/>
                <w:color w:val="auto"/>
              </w:rPr>
            </w:pPr>
          </w:p>
        </w:tc>
      </w:tr>
      <w:tr>
        <w:trPr>
          <w:trHeight w:val="153"/>
        </w:trPr>
        <w:tc>
          <w:tcPr>
            <w:tcW w:w="5860" w:type="dxa"/>
            <w:vAlign w:val="bottom"/>
            <w:shd w:val="clear" w:color="auto" w:fill="B7E5FF"/>
          </w:tcPr>
          <w:p>
            <w:pPr>
              <w:ind w:left="120"/>
              <w:spacing w:after="0"/>
              <w:rPr>
                <w:sz w:val="20"/>
                <w:szCs w:val="20"/>
                <w:color w:val="auto"/>
              </w:rPr>
            </w:pPr>
            <w:r>
              <w:rPr>
                <w:rFonts w:ascii="Arial" w:cs="Arial" w:eastAsia="Arial" w:hAnsi="Arial"/>
                <w:sz w:val="12"/>
                <w:szCs w:val="12"/>
                <w:color w:val="auto"/>
              </w:rPr>
              <w:t>Related tax amounts</w:t>
            </w:r>
          </w:p>
        </w:tc>
        <w:tc>
          <w:tcPr>
            <w:tcW w:w="220" w:type="dxa"/>
            <w:vAlign w:val="bottom"/>
            <w:shd w:val="clear" w:color="auto" w:fill="B7E5FF"/>
          </w:tcPr>
          <w:p>
            <w:pPr>
              <w:spacing w:after="0"/>
              <w:rPr>
                <w:sz w:val="13"/>
                <w:szCs w:val="13"/>
                <w:color w:val="auto"/>
              </w:rPr>
            </w:pPr>
          </w:p>
        </w:tc>
        <w:tc>
          <w:tcPr>
            <w:tcW w:w="128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shd w:val="clear" w:color="auto" w:fill="B7E5FF"/>
          </w:tcPr>
          <w:p>
            <w:pPr>
              <w:spacing w:after="0"/>
              <w:rPr>
                <w:sz w:val="13"/>
                <w:szCs w:val="13"/>
                <w:color w:val="auto"/>
              </w:rPr>
            </w:pPr>
          </w:p>
        </w:tc>
        <w:tc>
          <w:tcPr>
            <w:tcW w:w="12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(444)</w:t>
            </w:r>
          </w:p>
        </w:tc>
        <w:tc>
          <w:tcPr>
            <w:tcW w:w="120" w:type="dxa"/>
            <w:vAlign w:val="bottom"/>
            <w:shd w:val="clear" w:color="auto" w:fill="B7E5FF"/>
          </w:tcPr>
          <w:p>
            <w:pPr>
              <w:spacing w:after="0"/>
              <w:rPr>
                <w:sz w:val="13"/>
                <w:szCs w:val="13"/>
                <w:color w:val="auto"/>
              </w:rPr>
            </w:pPr>
          </w:p>
        </w:tc>
        <w:tc>
          <w:tcPr>
            <w:tcW w:w="180" w:type="dxa"/>
            <w:vAlign w:val="bottom"/>
            <w:shd w:val="clear" w:color="auto" w:fill="B7E5FF"/>
          </w:tcPr>
          <w:p>
            <w:pPr>
              <w:spacing w:after="0"/>
              <w:rPr>
                <w:sz w:val="13"/>
                <w:szCs w:val="13"/>
                <w:color w:val="auto"/>
              </w:rPr>
            </w:pPr>
          </w:p>
        </w:tc>
        <w:tc>
          <w:tcPr>
            <w:tcW w:w="11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45</w:t>
            </w:r>
          </w:p>
        </w:tc>
        <w:tc>
          <w:tcPr>
            <w:tcW w:w="100" w:type="dxa"/>
            <w:vAlign w:val="bottom"/>
            <w:shd w:val="clear" w:color="auto" w:fill="B7E5FF"/>
          </w:tcPr>
          <w:p>
            <w:pPr>
              <w:spacing w:after="0"/>
              <w:rPr>
                <w:sz w:val="13"/>
                <w:szCs w:val="13"/>
                <w:color w:val="auto"/>
              </w:rPr>
            </w:pPr>
          </w:p>
        </w:tc>
        <w:tc>
          <w:tcPr>
            <w:tcW w:w="240" w:type="dxa"/>
            <w:vAlign w:val="bottom"/>
            <w:shd w:val="clear" w:color="auto" w:fill="B7E5FF"/>
          </w:tcPr>
          <w:p>
            <w:pPr>
              <w:spacing w:after="0"/>
              <w:rPr>
                <w:sz w:val="13"/>
                <w:szCs w:val="13"/>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(399)</w:t>
            </w:r>
          </w:p>
        </w:tc>
        <w:tc>
          <w:tcPr>
            <w:tcW w:w="0" w:type="dxa"/>
            <w:vAlign w:val="bottom"/>
          </w:tcPr>
          <w:p>
            <w:pPr>
              <w:spacing w:after="0"/>
              <w:rPr>
                <w:sz w:val="1"/>
                <w:szCs w:val="1"/>
                <w:color w:val="auto"/>
              </w:rPr>
            </w:pPr>
          </w:p>
        </w:tc>
      </w:tr>
      <w:tr>
        <w:trPr>
          <w:trHeight w:val="133"/>
        </w:trPr>
        <w:tc>
          <w:tcPr>
            <w:tcW w:w="5860" w:type="dxa"/>
            <w:vAlign w:val="bottom"/>
            <w:tcBorders>
              <w:bottom w:val="single" w:sz="8" w:color="B7E5FF"/>
            </w:tcBorders>
          </w:tcPr>
          <w:p>
            <w:pPr>
              <w:ind w:left="120"/>
              <w:spacing w:after="0" w:line="133" w:lineRule="exact"/>
              <w:rPr>
                <w:sz w:val="20"/>
                <w:szCs w:val="20"/>
                <w:color w:val="auto"/>
              </w:rPr>
            </w:pPr>
            <w:r>
              <w:rPr>
                <w:rFonts w:ascii="Arial" w:cs="Arial" w:eastAsia="Arial" w:hAnsi="Arial"/>
                <w:sz w:val="12"/>
                <w:szCs w:val="12"/>
                <w:color w:val="auto"/>
              </w:rPr>
              <w:t>Net current period other comprehensive (loss) income</w:t>
            </w:r>
          </w:p>
        </w:tc>
        <w:tc>
          <w:tcPr>
            <w:tcW w:w="22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(16,940)</w:t>
            </w:r>
          </w:p>
        </w:tc>
        <w:tc>
          <w:tcPr>
            <w:tcW w:w="100" w:type="dxa"/>
            <w:vAlign w:val="bottom"/>
            <w:tcBorders>
              <w:bottom w:val="single" w:sz="8" w:color="B7E5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12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1,496</w:t>
            </w:r>
          </w:p>
        </w:tc>
        <w:tc>
          <w:tcPr>
            <w:tcW w:w="120" w:type="dxa"/>
            <w:vAlign w:val="bottom"/>
            <w:tcBorders>
              <w:bottom w:val="single" w:sz="8" w:color="B7E5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(169)</w:t>
            </w:r>
          </w:p>
        </w:tc>
        <w:tc>
          <w:tcPr>
            <w:tcW w:w="100" w:type="dxa"/>
            <w:vAlign w:val="bottom"/>
            <w:tcBorders>
              <w:bottom w:val="single" w:sz="8" w:color="B7E5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(15,613)</w:t>
            </w:r>
          </w:p>
        </w:tc>
        <w:tc>
          <w:tcPr>
            <w:tcW w:w="0" w:type="dxa"/>
            <w:vAlign w:val="bottom"/>
          </w:tcPr>
          <w:p>
            <w:pPr>
              <w:spacing w:after="0"/>
              <w:rPr>
                <w:sz w:val="1"/>
                <w:szCs w:val="1"/>
                <w:color w:val="auto"/>
              </w:rPr>
            </w:pPr>
          </w:p>
        </w:tc>
      </w:tr>
      <w:tr>
        <w:trPr>
          <w:trHeight w:val="140"/>
        </w:trPr>
        <w:tc>
          <w:tcPr>
            <w:tcW w:w="5860" w:type="dxa"/>
            <w:vAlign w:val="bottom"/>
            <w:tcBorders>
              <w:bottom w:val="single" w:sz="8" w:color="B7E5FF"/>
            </w:tcBorders>
            <w:shd w:val="clear" w:color="auto" w:fill="B7E5FF"/>
          </w:tcPr>
          <w:p>
            <w:pPr>
              <w:spacing w:after="0" w:line="133" w:lineRule="exact"/>
              <w:rPr>
                <w:sz w:val="20"/>
                <w:szCs w:val="20"/>
                <w:color w:val="auto"/>
              </w:rPr>
            </w:pPr>
            <w:r>
              <w:rPr>
                <w:rFonts w:ascii="Arial" w:cs="Arial" w:eastAsia="Arial" w:hAnsi="Arial"/>
                <w:sz w:val="12"/>
                <w:szCs w:val="12"/>
                <w:b w:val="1"/>
                <w:bCs w:val="1"/>
                <w:color w:val="auto"/>
              </w:rPr>
              <w:t>Balance at June 30, 2018</w:t>
            </w:r>
          </w:p>
        </w:tc>
        <w:tc>
          <w:tcPr>
            <w:tcW w:w="220" w:type="dxa"/>
            <w:vAlign w:val="bottom"/>
            <w:tcBorders>
              <w:bottom w:val="single" w:sz="8" w:color="auto"/>
            </w:tcBorders>
            <w:shd w:val="clear" w:color="auto" w:fill="B7E5FF"/>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(42,069)</w:t>
            </w:r>
          </w:p>
        </w:tc>
        <w:tc>
          <w:tcPr>
            <w:tcW w:w="100" w:type="dxa"/>
            <w:vAlign w:val="bottom"/>
            <w:tcBorders>
              <w:bottom w:val="single" w:sz="8" w:color="B7E5FF"/>
            </w:tcBorders>
            <w:shd w:val="clear" w:color="auto" w:fill="B7E5FF"/>
          </w:tcPr>
          <w:p>
            <w:pPr>
              <w:spacing w:after="0"/>
              <w:rPr>
                <w:sz w:val="12"/>
                <w:szCs w:val="12"/>
                <w:color w:val="auto"/>
              </w:rPr>
            </w:pPr>
          </w:p>
        </w:tc>
        <w:tc>
          <w:tcPr>
            <w:tcW w:w="240" w:type="dxa"/>
            <w:vAlign w:val="bottom"/>
            <w:tcBorders>
              <w:bottom w:val="single" w:sz="8" w:color="auto"/>
            </w:tcBorders>
            <w:shd w:val="clear" w:color="auto" w:fill="B7E5FF"/>
          </w:tcPr>
          <w:p>
            <w:pPr>
              <w:jc w:val="right"/>
              <w:ind w:right="100"/>
              <w:spacing w:after="0" w:line="133" w:lineRule="exact"/>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(32,513)</w:t>
            </w:r>
          </w:p>
        </w:tc>
        <w:tc>
          <w:tcPr>
            <w:tcW w:w="120" w:type="dxa"/>
            <w:vAlign w:val="bottom"/>
            <w:tcBorders>
              <w:bottom w:val="single" w:sz="8" w:color="B7E5FF"/>
            </w:tcBorders>
            <w:shd w:val="clear" w:color="auto" w:fill="B7E5FF"/>
          </w:tcPr>
          <w:p>
            <w:pPr>
              <w:spacing w:after="0"/>
              <w:rPr>
                <w:sz w:val="12"/>
                <w:szCs w:val="12"/>
                <w:color w:val="auto"/>
              </w:rPr>
            </w:pPr>
          </w:p>
        </w:tc>
        <w:tc>
          <w:tcPr>
            <w:tcW w:w="18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231</w:t>
            </w:r>
          </w:p>
        </w:tc>
        <w:tc>
          <w:tcPr>
            <w:tcW w:w="100" w:type="dxa"/>
            <w:vAlign w:val="bottom"/>
            <w:tcBorders>
              <w:bottom w:val="single" w:sz="8" w:color="B7E5FF"/>
            </w:tcBorders>
            <w:shd w:val="clear" w:color="auto" w:fill="B7E5FF"/>
          </w:tcPr>
          <w:p>
            <w:pPr>
              <w:spacing w:after="0"/>
              <w:rPr>
                <w:sz w:val="12"/>
                <w:szCs w:val="12"/>
                <w:color w:val="auto"/>
              </w:rPr>
            </w:pPr>
          </w:p>
        </w:tc>
        <w:tc>
          <w:tcPr>
            <w:tcW w:w="240" w:type="dxa"/>
            <w:vAlign w:val="bottom"/>
            <w:tcBorders>
              <w:bottom w:val="single" w:sz="8" w:color="auto"/>
            </w:tcBorders>
            <w:shd w:val="clear" w:color="auto" w:fill="B7E5FF"/>
          </w:tcPr>
          <w:p>
            <w:pPr>
              <w:jc w:val="right"/>
              <w:ind w:right="100"/>
              <w:spacing w:after="0" w:line="133" w:lineRule="exact"/>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(74,351)</w:t>
            </w:r>
          </w:p>
        </w:tc>
        <w:tc>
          <w:tcPr>
            <w:tcW w:w="0" w:type="dxa"/>
            <w:vAlign w:val="bottom"/>
          </w:tcPr>
          <w:p>
            <w:pPr>
              <w:spacing w:after="0"/>
              <w:rPr>
                <w:sz w:val="1"/>
                <w:szCs w:val="1"/>
                <w:color w:val="auto"/>
              </w:rPr>
            </w:pPr>
          </w:p>
        </w:tc>
      </w:tr>
      <w:tr>
        <w:trPr>
          <w:trHeight w:val="194"/>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2"/>
              </w:rPr>
              <w:t>Unrealized</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1"/>
              </w:rPr>
              <w:t>Currency</w:t>
            </w:r>
          </w:p>
        </w:tc>
        <w:tc>
          <w:tcPr>
            <w:tcW w:w="240" w:type="dxa"/>
            <w:vAlign w:val="bottom"/>
          </w:tcPr>
          <w:p>
            <w:pPr>
              <w:spacing w:after="0"/>
              <w:rPr>
                <w:sz w:val="13"/>
                <w:szCs w:val="13"/>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0"/>
              </w:rPr>
              <w:t>Defined</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9"/>
              </w:rPr>
              <w:t>(Loss) Gain in</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2"/>
              </w:rPr>
              <w:t>Translation</w:t>
            </w:r>
          </w:p>
        </w:tc>
        <w:tc>
          <w:tcPr>
            <w:tcW w:w="240" w:type="dxa"/>
            <w:vAlign w:val="bottom"/>
          </w:tcPr>
          <w:p>
            <w:pPr>
              <w:spacing w:after="0"/>
              <w:rPr>
                <w:sz w:val="13"/>
                <w:szCs w:val="13"/>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8"/>
              </w:rPr>
              <w:t>Benefit</w:t>
            </w:r>
          </w:p>
        </w:tc>
        <w:tc>
          <w:tcPr>
            <w:tcW w:w="180" w:type="dxa"/>
            <w:vAlign w:val="bottom"/>
          </w:tcPr>
          <w:p>
            <w:pPr>
              <w:spacing w:after="0"/>
              <w:rPr>
                <w:sz w:val="13"/>
                <w:szCs w:val="13"/>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1"/>
              </w:rPr>
              <w:t>Available-for-</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7"/>
              </w:rPr>
              <w:t>Adjustments</w:t>
            </w:r>
          </w:p>
        </w:tc>
        <w:tc>
          <w:tcPr>
            <w:tcW w:w="240" w:type="dxa"/>
            <w:vAlign w:val="bottom"/>
          </w:tcPr>
          <w:p>
            <w:pPr>
              <w:spacing w:after="0"/>
              <w:rPr>
                <w:sz w:val="13"/>
                <w:szCs w:val="13"/>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7"/>
              </w:rPr>
              <w:t>Pension Plans</w:t>
            </w:r>
          </w:p>
        </w:tc>
        <w:tc>
          <w:tcPr>
            <w:tcW w:w="180" w:type="dxa"/>
            <w:vAlign w:val="bottom"/>
          </w:tcPr>
          <w:p>
            <w:pPr>
              <w:spacing w:after="0"/>
              <w:rPr>
                <w:sz w:val="13"/>
                <w:szCs w:val="13"/>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6"/>
              </w:rPr>
              <w:t>Sale Securities</w:t>
            </w:r>
          </w:p>
        </w:tc>
        <w:tc>
          <w:tcPr>
            <w:tcW w:w="240" w:type="dxa"/>
            <w:vAlign w:val="bottom"/>
          </w:tcPr>
          <w:p>
            <w:pPr>
              <w:spacing w:after="0"/>
              <w:rPr>
                <w:sz w:val="13"/>
                <w:szCs w:val="13"/>
                <w:color w:val="auto"/>
              </w:rPr>
            </w:pPr>
          </w:p>
        </w:tc>
        <w:tc>
          <w:tcPr>
            <w:tcW w:w="800" w:type="dxa"/>
            <w:vAlign w:val="bottom"/>
          </w:tcPr>
          <w:p>
            <w:pPr>
              <w:jc w:val="right"/>
              <w:ind w:right="32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33"/>
        </w:trPr>
        <w:tc>
          <w:tcPr>
            <w:tcW w:w="5860" w:type="dxa"/>
            <w:vAlign w:val="bottom"/>
            <w:tcBorders>
              <w:top w:val="single" w:sz="8" w:color="B7E5FF"/>
            </w:tcBorders>
            <w:shd w:val="clear" w:color="auto" w:fill="B7E5FF"/>
          </w:tcPr>
          <w:p>
            <w:pPr>
              <w:spacing w:after="0" w:line="133" w:lineRule="exact"/>
              <w:rPr>
                <w:sz w:val="20"/>
                <w:szCs w:val="20"/>
                <w:color w:val="auto"/>
              </w:rPr>
            </w:pPr>
            <w:r>
              <w:rPr>
                <w:rFonts w:ascii="Arial" w:cs="Arial" w:eastAsia="Arial" w:hAnsi="Arial"/>
                <w:sz w:val="12"/>
                <w:szCs w:val="12"/>
                <w:b w:val="1"/>
                <w:bCs w:val="1"/>
                <w:color w:val="auto"/>
              </w:rPr>
              <w:t>Balance at December 31, 2018</w:t>
            </w:r>
          </w:p>
        </w:tc>
        <w:tc>
          <w:tcPr>
            <w:tcW w:w="220" w:type="dxa"/>
            <w:vAlign w:val="bottom"/>
            <w:tcBorders>
              <w:top w:val="single" w:sz="8" w:color="auto"/>
            </w:tcBorders>
            <w:shd w:val="clear" w:color="auto" w:fill="B7E5FF"/>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(49,322)</w:t>
            </w:r>
          </w:p>
        </w:tc>
        <w:tc>
          <w:tcPr>
            <w:tcW w:w="100" w:type="dxa"/>
            <w:vAlign w:val="bottom"/>
            <w:tcBorders>
              <w:top w:val="single" w:sz="8" w:color="B7E5FF"/>
            </w:tcBorders>
            <w:shd w:val="clear" w:color="auto" w:fill="B7E5FF"/>
          </w:tcPr>
          <w:p>
            <w:pPr>
              <w:spacing w:after="0"/>
              <w:rPr>
                <w:sz w:val="11"/>
                <w:szCs w:val="11"/>
                <w:color w:val="auto"/>
              </w:rPr>
            </w:pPr>
          </w:p>
        </w:tc>
        <w:tc>
          <w:tcPr>
            <w:tcW w:w="240" w:type="dxa"/>
            <w:vAlign w:val="bottom"/>
            <w:tcBorders>
              <w:top w:val="single" w:sz="8" w:color="auto"/>
            </w:tcBorders>
            <w:shd w:val="clear" w:color="auto" w:fill="B7E5FF"/>
          </w:tcPr>
          <w:p>
            <w:pPr>
              <w:jc w:val="right"/>
              <w:ind w:right="100"/>
              <w:spacing w:after="0" w:line="133" w:lineRule="exact"/>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(30,551)</w:t>
            </w:r>
          </w:p>
        </w:tc>
        <w:tc>
          <w:tcPr>
            <w:tcW w:w="120" w:type="dxa"/>
            <w:vAlign w:val="bottom"/>
            <w:tcBorders>
              <w:top w:val="single" w:sz="8" w:color="B7E5FF"/>
            </w:tcBorders>
            <w:shd w:val="clear" w:color="auto" w:fill="B7E5FF"/>
          </w:tcPr>
          <w:p>
            <w:pPr>
              <w:spacing w:after="0"/>
              <w:rPr>
                <w:sz w:val="11"/>
                <w:szCs w:val="11"/>
                <w:color w:val="auto"/>
              </w:rPr>
            </w:pPr>
          </w:p>
        </w:tc>
        <w:tc>
          <w:tcPr>
            <w:tcW w:w="180" w:type="dxa"/>
            <w:vAlign w:val="bottom"/>
            <w:tcBorders>
              <w:top w:val="single" w:sz="8" w:color="auto"/>
            </w:tcBorders>
            <w:shd w:val="clear" w:color="auto" w:fill="B7E5FF"/>
          </w:tcPr>
          <w:p>
            <w:pPr>
              <w:jc w:val="right"/>
              <w:ind w:right="7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(842)</w:t>
            </w:r>
          </w:p>
        </w:tc>
        <w:tc>
          <w:tcPr>
            <w:tcW w:w="100" w:type="dxa"/>
            <w:vAlign w:val="bottom"/>
            <w:tcBorders>
              <w:top w:val="single" w:sz="8" w:color="B7E5FF"/>
            </w:tcBorders>
            <w:shd w:val="clear" w:color="auto" w:fill="B7E5FF"/>
          </w:tcPr>
          <w:p>
            <w:pPr>
              <w:spacing w:after="0"/>
              <w:rPr>
                <w:sz w:val="11"/>
                <w:szCs w:val="11"/>
                <w:color w:val="auto"/>
              </w:rPr>
            </w:pPr>
          </w:p>
        </w:tc>
        <w:tc>
          <w:tcPr>
            <w:tcW w:w="240" w:type="dxa"/>
            <w:vAlign w:val="bottom"/>
            <w:tcBorders>
              <w:top w:val="single" w:sz="8" w:color="auto"/>
            </w:tcBorders>
            <w:shd w:val="clear" w:color="auto" w:fill="B7E5FF"/>
          </w:tcPr>
          <w:p>
            <w:pPr>
              <w:jc w:val="right"/>
              <w:ind w:right="100"/>
              <w:spacing w:after="0" w:line="133" w:lineRule="exact"/>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(80,715)</w:t>
            </w:r>
          </w:p>
        </w:tc>
        <w:tc>
          <w:tcPr>
            <w:tcW w:w="0" w:type="dxa"/>
            <w:vAlign w:val="bottom"/>
          </w:tcPr>
          <w:p>
            <w:pPr>
              <w:spacing w:after="0"/>
              <w:rPr>
                <w:sz w:val="1"/>
                <w:szCs w:val="1"/>
                <w:color w:val="auto"/>
              </w:rPr>
            </w:pPr>
          </w:p>
        </w:tc>
      </w:tr>
      <w:tr>
        <w:trPr>
          <w:trHeight w:val="153"/>
        </w:trPr>
        <w:tc>
          <w:tcPr>
            <w:tcW w:w="5860" w:type="dxa"/>
            <w:vAlign w:val="bottom"/>
          </w:tcPr>
          <w:p>
            <w:pPr>
              <w:ind w:left="120"/>
              <w:spacing w:after="0"/>
              <w:rPr>
                <w:sz w:val="20"/>
                <w:szCs w:val="20"/>
                <w:color w:val="auto"/>
              </w:rPr>
            </w:pPr>
            <w:r>
              <w:rPr>
                <w:rFonts w:ascii="Arial" w:cs="Arial" w:eastAsia="Arial" w:hAnsi="Arial"/>
                <w:sz w:val="12"/>
                <w:szCs w:val="12"/>
                <w:color w:val="auto"/>
              </w:rPr>
              <w:t>Other comprehensive (loss) income before</w:t>
            </w: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60" w:type="dxa"/>
            <w:vAlign w:val="bottom"/>
            <w:shd w:val="clear" w:color="auto" w:fill="B7E5FF"/>
          </w:tcPr>
          <w:p>
            <w:pPr>
              <w:ind w:left="240"/>
              <w:spacing w:after="0"/>
              <w:rPr>
                <w:sz w:val="20"/>
                <w:szCs w:val="20"/>
                <w:color w:val="auto"/>
              </w:rPr>
            </w:pPr>
            <w:r>
              <w:rPr>
                <w:rFonts w:ascii="Arial" w:cs="Arial" w:eastAsia="Arial" w:hAnsi="Arial"/>
                <w:sz w:val="12"/>
                <w:szCs w:val="12"/>
                <w:color w:val="auto"/>
              </w:rPr>
              <w:t>reclassifications</w:t>
            </w:r>
          </w:p>
        </w:tc>
        <w:tc>
          <w:tcPr>
            <w:tcW w:w="220" w:type="dxa"/>
            <w:vAlign w:val="bottom"/>
            <w:shd w:val="clear" w:color="auto" w:fill="B7E5FF"/>
          </w:tcPr>
          <w:p>
            <w:pPr>
              <w:spacing w:after="0"/>
              <w:rPr>
                <w:sz w:val="13"/>
                <w:szCs w:val="13"/>
                <w:color w:val="auto"/>
              </w:rPr>
            </w:pPr>
          </w:p>
        </w:tc>
        <w:tc>
          <w:tcPr>
            <w:tcW w:w="11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(974)</w:t>
            </w:r>
          </w:p>
        </w:tc>
        <w:tc>
          <w:tcPr>
            <w:tcW w:w="100" w:type="dxa"/>
            <w:vAlign w:val="bottom"/>
            <w:shd w:val="clear" w:color="auto" w:fill="B7E5FF"/>
          </w:tcPr>
          <w:p>
            <w:pPr>
              <w:spacing w:after="0"/>
              <w:rPr>
                <w:sz w:val="13"/>
                <w:szCs w:val="13"/>
                <w:color w:val="auto"/>
              </w:rPr>
            </w:pPr>
          </w:p>
        </w:tc>
        <w:tc>
          <w:tcPr>
            <w:tcW w:w="240" w:type="dxa"/>
            <w:vAlign w:val="bottom"/>
            <w:shd w:val="clear" w:color="auto" w:fill="B7E5FF"/>
          </w:tcPr>
          <w:p>
            <w:pPr>
              <w:spacing w:after="0"/>
              <w:rPr>
                <w:sz w:val="13"/>
                <w:szCs w:val="13"/>
                <w:color w:val="auto"/>
              </w:rPr>
            </w:pPr>
          </w:p>
        </w:tc>
        <w:tc>
          <w:tcPr>
            <w:tcW w:w="12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81</w:t>
            </w:r>
          </w:p>
        </w:tc>
        <w:tc>
          <w:tcPr>
            <w:tcW w:w="120" w:type="dxa"/>
            <w:vAlign w:val="bottom"/>
            <w:shd w:val="clear" w:color="auto" w:fill="B7E5FF"/>
          </w:tcPr>
          <w:p>
            <w:pPr>
              <w:spacing w:after="0"/>
              <w:rPr>
                <w:sz w:val="13"/>
                <w:szCs w:val="13"/>
                <w:color w:val="auto"/>
              </w:rPr>
            </w:pPr>
          </w:p>
        </w:tc>
        <w:tc>
          <w:tcPr>
            <w:tcW w:w="180" w:type="dxa"/>
            <w:vAlign w:val="bottom"/>
            <w:shd w:val="clear" w:color="auto" w:fill="B7E5FF"/>
          </w:tcPr>
          <w:p>
            <w:pPr>
              <w:spacing w:after="0"/>
              <w:rPr>
                <w:sz w:val="13"/>
                <w:szCs w:val="13"/>
                <w:color w:val="auto"/>
              </w:rPr>
            </w:pPr>
          </w:p>
        </w:tc>
        <w:tc>
          <w:tcPr>
            <w:tcW w:w="11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2,139</w:t>
            </w:r>
          </w:p>
        </w:tc>
        <w:tc>
          <w:tcPr>
            <w:tcW w:w="100" w:type="dxa"/>
            <w:vAlign w:val="bottom"/>
            <w:shd w:val="clear" w:color="auto" w:fill="B7E5FF"/>
          </w:tcPr>
          <w:p>
            <w:pPr>
              <w:spacing w:after="0"/>
              <w:rPr>
                <w:sz w:val="13"/>
                <w:szCs w:val="13"/>
                <w:color w:val="auto"/>
              </w:rPr>
            </w:pPr>
          </w:p>
        </w:tc>
        <w:tc>
          <w:tcPr>
            <w:tcW w:w="240" w:type="dxa"/>
            <w:vAlign w:val="bottom"/>
            <w:shd w:val="clear" w:color="auto" w:fill="B7E5FF"/>
          </w:tcPr>
          <w:p>
            <w:pPr>
              <w:spacing w:after="0"/>
              <w:rPr>
                <w:sz w:val="13"/>
                <w:szCs w:val="13"/>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1,246</w:t>
            </w:r>
          </w:p>
        </w:tc>
        <w:tc>
          <w:tcPr>
            <w:tcW w:w="0" w:type="dxa"/>
            <w:vAlign w:val="bottom"/>
          </w:tcPr>
          <w:p>
            <w:pPr>
              <w:spacing w:after="0"/>
              <w:rPr>
                <w:sz w:val="1"/>
                <w:szCs w:val="1"/>
                <w:color w:val="auto"/>
              </w:rPr>
            </w:pPr>
          </w:p>
        </w:tc>
      </w:tr>
      <w:tr>
        <w:trPr>
          <w:trHeight w:val="153"/>
        </w:trPr>
        <w:tc>
          <w:tcPr>
            <w:tcW w:w="5860" w:type="dxa"/>
            <w:vAlign w:val="bottom"/>
          </w:tcPr>
          <w:p>
            <w:pPr>
              <w:ind w:left="120"/>
              <w:spacing w:after="0"/>
              <w:rPr>
                <w:sz w:val="20"/>
                <w:szCs w:val="20"/>
                <w:color w:val="auto"/>
              </w:rPr>
            </w:pPr>
            <w:r>
              <w:rPr>
                <w:rFonts w:ascii="Arial" w:cs="Arial" w:eastAsia="Arial" w:hAnsi="Arial"/>
                <w:sz w:val="12"/>
                <w:szCs w:val="12"/>
                <w:color w:val="auto"/>
              </w:rPr>
              <w:t>Amounts reclassified from AOCI</w:t>
            </w:r>
          </w:p>
        </w:tc>
        <w:tc>
          <w:tcPr>
            <w:tcW w:w="22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1,465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(139)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1,326</w:t>
            </w:r>
          </w:p>
        </w:tc>
        <w:tc>
          <w:tcPr>
            <w:tcW w:w="0" w:type="dxa"/>
            <w:vAlign w:val="bottom"/>
          </w:tcPr>
          <w:p>
            <w:pPr>
              <w:spacing w:after="0"/>
              <w:rPr>
                <w:sz w:val="1"/>
                <w:szCs w:val="1"/>
                <w:color w:val="auto"/>
              </w:rPr>
            </w:pPr>
          </w:p>
        </w:tc>
      </w:tr>
      <w:tr>
        <w:trPr>
          <w:trHeight w:val="133"/>
        </w:trPr>
        <w:tc>
          <w:tcPr>
            <w:tcW w:w="5860" w:type="dxa"/>
            <w:vAlign w:val="bottom"/>
            <w:tcBorders>
              <w:top w:val="single" w:sz="8" w:color="B7E5FF"/>
            </w:tcBorders>
            <w:shd w:val="clear" w:color="auto" w:fill="B7E5FF"/>
          </w:tcPr>
          <w:p>
            <w:pPr>
              <w:ind w:left="120"/>
              <w:spacing w:after="0" w:line="133" w:lineRule="exact"/>
              <w:rPr>
                <w:sz w:val="20"/>
                <w:szCs w:val="20"/>
                <w:color w:val="auto"/>
              </w:rPr>
            </w:pPr>
            <w:r>
              <w:rPr>
                <w:rFonts w:ascii="Arial" w:cs="Arial" w:eastAsia="Arial" w:hAnsi="Arial"/>
                <w:sz w:val="12"/>
                <w:szCs w:val="12"/>
                <w:color w:val="auto"/>
              </w:rPr>
              <w:t>Current period other comprehensive (loss) income</w:t>
            </w:r>
          </w:p>
        </w:tc>
        <w:tc>
          <w:tcPr>
            <w:tcW w:w="220" w:type="dxa"/>
            <w:vAlign w:val="bottom"/>
            <w:tcBorders>
              <w:top w:val="single" w:sz="8" w:color="auto"/>
            </w:tcBorders>
            <w:shd w:val="clear" w:color="auto" w:fill="B7E5FF"/>
          </w:tcPr>
          <w:p>
            <w:pPr>
              <w:spacing w:after="0"/>
              <w:rPr>
                <w:sz w:val="11"/>
                <w:szCs w:val="11"/>
                <w:color w:val="auto"/>
              </w:rPr>
            </w:pPr>
          </w:p>
        </w:tc>
        <w:tc>
          <w:tcPr>
            <w:tcW w:w="118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(974)</w:t>
            </w:r>
          </w:p>
        </w:tc>
        <w:tc>
          <w:tcPr>
            <w:tcW w:w="100" w:type="dxa"/>
            <w:vAlign w:val="bottom"/>
            <w:tcBorders>
              <w:top w:val="single" w:sz="8" w:color="B7E5FF"/>
            </w:tcBorders>
            <w:shd w:val="clear" w:color="auto" w:fill="B7E5FF"/>
          </w:tcPr>
          <w:p>
            <w:pPr>
              <w:spacing w:after="0"/>
              <w:rPr>
                <w:sz w:val="11"/>
                <w:szCs w:val="11"/>
                <w:color w:val="auto"/>
              </w:rPr>
            </w:pPr>
          </w:p>
        </w:tc>
        <w:tc>
          <w:tcPr>
            <w:tcW w:w="240" w:type="dxa"/>
            <w:vAlign w:val="bottom"/>
            <w:tcBorders>
              <w:top w:val="single" w:sz="8" w:color="auto"/>
            </w:tcBorders>
            <w:shd w:val="clear" w:color="auto" w:fill="B7E5FF"/>
          </w:tcPr>
          <w:p>
            <w:pPr>
              <w:spacing w:after="0"/>
              <w:rPr>
                <w:sz w:val="11"/>
                <w:szCs w:val="11"/>
                <w:color w:val="auto"/>
              </w:rPr>
            </w:pPr>
          </w:p>
        </w:tc>
        <w:tc>
          <w:tcPr>
            <w:tcW w:w="126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1,546</w:t>
            </w:r>
          </w:p>
        </w:tc>
        <w:tc>
          <w:tcPr>
            <w:tcW w:w="120" w:type="dxa"/>
            <w:vAlign w:val="bottom"/>
            <w:tcBorders>
              <w:top w:val="single" w:sz="8" w:color="B7E5FF"/>
            </w:tcBorders>
            <w:shd w:val="clear" w:color="auto" w:fill="B7E5FF"/>
          </w:tcPr>
          <w:p>
            <w:pPr>
              <w:spacing w:after="0"/>
              <w:rPr>
                <w:sz w:val="11"/>
                <w:szCs w:val="11"/>
                <w:color w:val="auto"/>
              </w:rPr>
            </w:pPr>
          </w:p>
        </w:tc>
        <w:tc>
          <w:tcPr>
            <w:tcW w:w="180" w:type="dxa"/>
            <w:vAlign w:val="bottom"/>
            <w:tcBorders>
              <w:top w:val="single" w:sz="8" w:color="auto"/>
            </w:tcBorders>
            <w:shd w:val="clear" w:color="auto" w:fill="B7E5FF"/>
          </w:tcPr>
          <w:p>
            <w:pPr>
              <w:spacing w:after="0"/>
              <w:rPr>
                <w:sz w:val="11"/>
                <w:szCs w:val="11"/>
                <w:color w:val="auto"/>
              </w:rPr>
            </w:pPr>
          </w:p>
        </w:tc>
        <w:tc>
          <w:tcPr>
            <w:tcW w:w="118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2,000</w:t>
            </w:r>
          </w:p>
        </w:tc>
        <w:tc>
          <w:tcPr>
            <w:tcW w:w="100" w:type="dxa"/>
            <w:vAlign w:val="bottom"/>
            <w:tcBorders>
              <w:top w:val="single" w:sz="8" w:color="B7E5FF"/>
            </w:tcBorders>
            <w:shd w:val="clear" w:color="auto" w:fill="B7E5FF"/>
          </w:tcPr>
          <w:p>
            <w:pPr>
              <w:spacing w:after="0"/>
              <w:rPr>
                <w:sz w:val="11"/>
                <w:szCs w:val="11"/>
                <w:color w:val="auto"/>
              </w:rPr>
            </w:pPr>
          </w:p>
        </w:tc>
        <w:tc>
          <w:tcPr>
            <w:tcW w:w="240" w:type="dxa"/>
            <w:vAlign w:val="bottom"/>
            <w:tcBorders>
              <w:top w:val="single" w:sz="8" w:color="auto"/>
            </w:tcBorders>
            <w:shd w:val="clear" w:color="auto" w:fill="B7E5FF"/>
          </w:tcPr>
          <w:p>
            <w:pPr>
              <w:spacing w:after="0"/>
              <w:rPr>
                <w:sz w:val="11"/>
                <w:szCs w:val="11"/>
                <w:color w:val="auto"/>
              </w:rPr>
            </w:pPr>
          </w:p>
        </w:tc>
        <w:tc>
          <w:tcPr>
            <w:tcW w:w="800" w:type="dxa"/>
            <w:vAlign w:val="bottom"/>
            <w:tcBorders>
              <w:top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2,572</w:t>
            </w:r>
          </w:p>
        </w:tc>
        <w:tc>
          <w:tcPr>
            <w:tcW w:w="0" w:type="dxa"/>
            <w:vAlign w:val="bottom"/>
          </w:tcPr>
          <w:p>
            <w:pPr>
              <w:spacing w:after="0"/>
              <w:rPr>
                <w:sz w:val="1"/>
                <w:szCs w:val="1"/>
                <w:color w:val="auto"/>
              </w:rPr>
            </w:pPr>
          </w:p>
        </w:tc>
      </w:tr>
      <w:tr>
        <w:trPr>
          <w:trHeight w:val="153"/>
        </w:trPr>
        <w:tc>
          <w:tcPr>
            <w:tcW w:w="5860" w:type="dxa"/>
            <w:vAlign w:val="bottom"/>
          </w:tcPr>
          <w:p>
            <w:pPr>
              <w:ind w:left="120"/>
              <w:spacing w:after="0"/>
              <w:rPr>
                <w:sz w:val="20"/>
                <w:szCs w:val="20"/>
                <w:color w:val="auto"/>
              </w:rPr>
            </w:pPr>
            <w:r>
              <w:rPr>
                <w:rFonts w:ascii="Arial" w:cs="Arial" w:eastAsia="Arial" w:hAnsi="Arial"/>
                <w:sz w:val="12"/>
                <w:szCs w:val="12"/>
                <w:color w:val="auto"/>
              </w:rPr>
              <w:t>Related tax amounts</w:t>
            </w:r>
          </w:p>
        </w:tc>
        <w:tc>
          <w:tcPr>
            <w:tcW w:w="22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(318)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(420)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(738)</w:t>
            </w:r>
          </w:p>
        </w:tc>
        <w:tc>
          <w:tcPr>
            <w:tcW w:w="0" w:type="dxa"/>
            <w:vAlign w:val="bottom"/>
          </w:tcPr>
          <w:p>
            <w:pPr>
              <w:spacing w:after="0"/>
              <w:rPr>
                <w:sz w:val="1"/>
                <w:szCs w:val="1"/>
                <w:color w:val="auto"/>
              </w:rPr>
            </w:pPr>
          </w:p>
        </w:tc>
      </w:tr>
      <w:tr>
        <w:trPr>
          <w:trHeight w:val="133"/>
        </w:trPr>
        <w:tc>
          <w:tcPr>
            <w:tcW w:w="5860" w:type="dxa"/>
            <w:vAlign w:val="bottom"/>
            <w:tcBorders>
              <w:top w:val="single" w:sz="8" w:color="B7E5FF"/>
            </w:tcBorders>
            <w:shd w:val="clear" w:color="auto" w:fill="B7E5FF"/>
          </w:tcPr>
          <w:p>
            <w:pPr>
              <w:ind w:left="120"/>
              <w:spacing w:after="0" w:line="133" w:lineRule="exact"/>
              <w:rPr>
                <w:sz w:val="20"/>
                <w:szCs w:val="20"/>
                <w:color w:val="auto"/>
              </w:rPr>
            </w:pPr>
            <w:r>
              <w:rPr>
                <w:rFonts w:ascii="Arial" w:cs="Arial" w:eastAsia="Arial" w:hAnsi="Arial"/>
                <w:sz w:val="12"/>
                <w:szCs w:val="12"/>
                <w:color w:val="auto"/>
              </w:rPr>
              <w:t>Net current period other comprehensive (loss) income</w:t>
            </w:r>
          </w:p>
        </w:tc>
        <w:tc>
          <w:tcPr>
            <w:tcW w:w="220" w:type="dxa"/>
            <w:vAlign w:val="bottom"/>
            <w:tcBorders>
              <w:top w:val="single" w:sz="8" w:color="auto"/>
              <w:bottom w:val="single" w:sz="8" w:color="auto"/>
            </w:tcBorders>
            <w:shd w:val="clear" w:color="auto" w:fill="B7E5FF"/>
          </w:tcPr>
          <w:p>
            <w:pPr>
              <w:spacing w:after="0"/>
              <w:rPr>
                <w:sz w:val="11"/>
                <w:szCs w:val="11"/>
                <w:color w:val="auto"/>
              </w:rPr>
            </w:pPr>
          </w:p>
        </w:tc>
        <w:tc>
          <w:tcPr>
            <w:tcW w:w="118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(974)</w:t>
            </w:r>
          </w:p>
        </w:tc>
        <w:tc>
          <w:tcPr>
            <w:tcW w:w="100" w:type="dxa"/>
            <w:vAlign w:val="bottom"/>
            <w:tcBorders>
              <w:top w:val="single" w:sz="8" w:color="B7E5FF"/>
            </w:tcBorders>
            <w:shd w:val="clear" w:color="auto" w:fill="B7E5FF"/>
          </w:tcPr>
          <w:p>
            <w:pPr>
              <w:spacing w:after="0"/>
              <w:rPr>
                <w:sz w:val="11"/>
                <w:szCs w:val="11"/>
                <w:color w:val="auto"/>
              </w:rPr>
            </w:pPr>
          </w:p>
        </w:tc>
        <w:tc>
          <w:tcPr>
            <w:tcW w:w="240" w:type="dxa"/>
            <w:vAlign w:val="bottom"/>
            <w:tcBorders>
              <w:top w:val="single" w:sz="8" w:color="auto"/>
              <w:bottom w:val="single" w:sz="8" w:color="auto"/>
            </w:tcBorders>
            <w:shd w:val="clear" w:color="auto" w:fill="B7E5FF"/>
          </w:tcPr>
          <w:p>
            <w:pPr>
              <w:spacing w:after="0"/>
              <w:rPr>
                <w:sz w:val="11"/>
                <w:szCs w:val="11"/>
                <w:color w:val="auto"/>
              </w:rPr>
            </w:pPr>
          </w:p>
        </w:tc>
        <w:tc>
          <w:tcPr>
            <w:tcW w:w="126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1,228</w:t>
            </w:r>
          </w:p>
        </w:tc>
        <w:tc>
          <w:tcPr>
            <w:tcW w:w="120" w:type="dxa"/>
            <w:vAlign w:val="bottom"/>
            <w:tcBorders>
              <w:top w:val="single" w:sz="8" w:color="B7E5FF"/>
            </w:tcBorders>
            <w:shd w:val="clear" w:color="auto" w:fill="B7E5FF"/>
          </w:tcPr>
          <w:p>
            <w:pPr>
              <w:spacing w:after="0"/>
              <w:rPr>
                <w:sz w:val="11"/>
                <w:szCs w:val="11"/>
                <w:color w:val="auto"/>
              </w:rPr>
            </w:pPr>
          </w:p>
        </w:tc>
        <w:tc>
          <w:tcPr>
            <w:tcW w:w="180" w:type="dxa"/>
            <w:vAlign w:val="bottom"/>
            <w:tcBorders>
              <w:top w:val="single" w:sz="8" w:color="auto"/>
              <w:bottom w:val="single" w:sz="8" w:color="auto"/>
            </w:tcBorders>
            <w:shd w:val="clear" w:color="auto" w:fill="B7E5FF"/>
          </w:tcPr>
          <w:p>
            <w:pPr>
              <w:spacing w:after="0"/>
              <w:rPr>
                <w:sz w:val="11"/>
                <w:szCs w:val="11"/>
                <w:color w:val="auto"/>
              </w:rPr>
            </w:pPr>
          </w:p>
        </w:tc>
        <w:tc>
          <w:tcPr>
            <w:tcW w:w="118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1,580</w:t>
            </w:r>
          </w:p>
        </w:tc>
        <w:tc>
          <w:tcPr>
            <w:tcW w:w="100" w:type="dxa"/>
            <w:vAlign w:val="bottom"/>
            <w:tcBorders>
              <w:top w:val="single" w:sz="8" w:color="B7E5FF"/>
            </w:tcBorders>
            <w:shd w:val="clear" w:color="auto" w:fill="B7E5FF"/>
          </w:tcPr>
          <w:p>
            <w:pPr>
              <w:spacing w:after="0"/>
              <w:rPr>
                <w:sz w:val="11"/>
                <w:szCs w:val="11"/>
                <w:color w:val="auto"/>
              </w:rPr>
            </w:pPr>
          </w:p>
        </w:tc>
        <w:tc>
          <w:tcPr>
            <w:tcW w:w="240" w:type="dxa"/>
            <w:vAlign w:val="bottom"/>
            <w:tcBorders>
              <w:top w:val="single" w:sz="8" w:color="auto"/>
              <w:bottom w:val="single" w:sz="8" w:color="auto"/>
            </w:tcBorders>
            <w:shd w:val="clear" w:color="auto" w:fill="B7E5FF"/>
          </w:tcPr>
          <w:p>
            <w:pPr>
              <w:spacing w:after="0"/>
              <w:rPr>
                <w:sz w:val="11"/>
                <w:szCs w:val="11"/>
                <w:color w:val="auto"/>
              </w:rPr>
            </w:pPr>
          </w:p>
        </w:tc>
        <w:tc>
          <w:tcPr>
            <w:tcW w:w="80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1,834</w:t>
            </w:r>
          </w:p>
        </w:tc>
        <w:tc>
          <w:tcPr>
            <w:tcW w:w="0" w:type="dxa"/>
            <w:vAlign w:val="bottom"/>
          </w:tcPr>
          <w:p>
            <w:pPr>
              <w:spacing w:after="0"/>
              <w:rPr>
                <w:sz w:val="1"/>
                <w:szCs w:val="1"/>
                <w:color w:val="auto"/>
              </w:rPr>
            </w:pPr>
          </w:p>
        </w:tc>
      </w:tr>
      <w:tr>
        <w:trPr>
          <w:trHeight w:val="140"/>
        </w:trPr>
        <w:tc>
          <w:tcPr>
            <w:tcW w:w="5860" w:type="dxa"/>
            <w:vAlign w:val="bottom"/>
            <w:tcBorders>
              <w:bottom w:val="single" w:sz="8" w:color="B7E5FF"/>
            </w:tcBorders>
          </w:tcPr>
          <w:p>
            <w:pPr>
              <w:spacing w:after="0" w:line="133" w:lineRule="exact"/>
              <w:rPr>
                <w:sz w:val="20"/>
                <w:szCs w:val="20"/>
                <w:color w:val="auto"/>
              </w:rPr>
            </w:pPr>
            <w:r>
              <w:rPr>
                <w:rFonts w:ascii="Arial" w:cs="Arial" w:eastAsia="Arial" w:hAnsi="Arial"/>
                <w:sz w:val="12"/>
                <w:szCs w:val="12"/>
                <w:b w:val="1"/>
                <w:bCs w:val="1"/>
                <w:color w:val="auto"/>
              </w:rPr>
              <w:t>Balance at June 30, 2019</w:t>
            </w:r>
          </w:p>
        </w:tc>
        <w:tc>
          <w:tcPr>
            <w:tcW w:w="220" w:type="dxa"/>
            <w:vAlign w:val="bottom"/>
            <w:tcBorders>
              <w:bottom w:val="single" w:sz="8" w:color="auto"/>
            </w:tcBorders>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(50,296)</w:t>
            </w:r>
          </w:p>
        </w:tc>
        <w:tc>
          <w:tcPr>
            <w:tcW w:w="100" w:type="dxa"/>
            <w:vAlign w:val="bottom"/>
            <w:tcBorders>
              <w:bottom w:val="single" w:sz="8" w:color="B7E5FF"/>
            </w:tcBorders>
          </w:tcPr>
          <w:p>
            <w:pPr>
              <w:spacing w:after="0"/>
              <w:rPr>
                <w:sz w:val="12"/>
                <w:szCs w:val="12"/>
                <w:color w:val="auto"/>
              </w:rPr>
            </w:pPr>
          </w:p>
        </w:tc>
        <w:tc>
          <w:tcPr>
            <w:tcW w:w="240" w:type="dxa"/>
            <w:vAlign w:val="bottom"/>
            <w:tcBorders>
              <w:bottom w:val="single" w:sz="8" w:color="auto"/>
            </w:tcBorders>
          </w:tcPr>
          <w:p>
            <w:pPr>
              <w:jc w:val="right"/>
              <w:ind w:right="100"/>
              <w:spacing w:after="0" w:line="133" w:lineRule="exact"/>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(29,323)</w:t>
            </w:r>
          </w:p>
        </w:tc>
        <w:tc>
          <w:tcPr>
            <w:tcW w:w="120" w:type="dxa"/>
            <w:vAlign w:val="bottom"/>
            <w:tcBorders>
              <w:bottom w:val="single" w:sz="8" w:color="B7E5FF"/>
            </w:tcBorders>
          </w:tcPr>
          <w:p>
            <w:pPr>
              <w:spacing w:after="0"/>
              <w:rPr>
                <w:sz w:val="12"/>
                <w:szCs w:val="12"/>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738</w:t>
            </w:r>
          </w:p>
        </w:tc>
        <w:tc>
          <w:tcPr>
            <w:tcW w:w="100" w:type="dxa"/>
            <w:vAlign w:val="bottom"/>
            <w:tcBorders>
              <w:bottom w:val="single" w:sz="8" w:color="B7E5FF"/>
            </w:tcBorders>
          </w:tcPr>
          <w:p>
            <w:pPr>
              <w:spacing w:after="0"/>
              <w:rPr>
                <w:sz w:val="12"/>
                <w:szCs w:val="12"/>
                <w:color w:val="auto"/>
              </w:rPr>
            </w:pPr>
          </w:p>
        </w:tc>
        <w:tc>
          <w:tcPr>
            <w:tcW w:w="240" w:type="dxa"/>
            <w:vAlign w:val="bottom"/>
            <w:tcBorders>
              <w:bottom w:val="single" w:sz="8" w:color="auto"/>
            </w:tcBorders>
          </w:tcPr>
          <w:p>
            <w:pPr>
              <w:jc w:val="right"/>
              <w:ind w:right="100"/>
              <w:spacing w:after="0" w:line="133" w:lineRule="exact"/>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(78,881)</w:t>
            </w:r>
          </w:p>
        </w:tc>
        <w:tc>
          <w:tcPr>
            <w:tcW w:w="0" w:type="dxa"/>
            <w:vAlign w:val="bottom"/>
          </w:tcPr>
          <w:p>
            <w:pPr>
              <w:spacing w:after="0"/>
              <w:rPr>
                <w:sz w:val="1"/>
                <w:szCs w:val="1"/>
                <w:color w:val="auto"/>
              </w:rPr>
            </w:pPr>
          </w:p>
        </w:tc>
      </w:tr>
      <w:tr>
        <w:trPr>
          <w:trHeight w:val="144"/>
        </w:trPr>
        <w:tc>
          <w:tcPr>
            <w:tcW w:w="5860" w:type="dxa"/>
            <w:vAlign w:val="bottom"/>
            <w:shd w:val="clear" w:color="auto" w:fill="B7E5FF"/>
          </w:tcPr>
          <w:p>
            <w:pPr>
              <w:spacing w:after="0"/>
              <w:rPr>
                <w:sz w:val="12"/>
                <w:szCs w:val="12"/>
                <w:color w:val="auto"/>
              </w:rPr>
            </w:pPr>
          </w:p>
        </w:tc>
        <w:tc>
          <w:tcPr>
            <w:tcW w:w="220" w:type="dxa"/>
            <w:vAlign w:val="bottom"/>
            <w:shd w:val="clear" w:color="auto" w:fill="B7E5FF"/>
          </w:tcPr>
          <w:p>
            <w:pPr>
              <w:spacing w:after="0"/>
              <w:rPr>
                <w:sz w:val="12"/>
                <w:szCs w:val="12"/>
                <w:color w:val="auto"/>
              </w:rPr>
            </w:pPr>
          </w:p>
        </w:tc>
        <w:tc>
          <w:tcPr>
            <w:tcW w:w="118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240" w:type="dxa"/>
            <w:vAlign w:val="bottom"/>
            <w:shd w:val="clear" w:color="auto" w:fill="B7E5FF"/>
          </w:tcPr>
          <w:p>
            <w:pPr>
              <w:spacing w:after="0"/>
              <w:rPr>
                <w:sz w:val="12"/>
                <w:szCs w:val="12"/>
                <w:color w:val="auto"/>
              </w:rPr>
            </w:pPr>
          </w:p>
        </w:tc>
        <w:tc>
          <w:tcPr>
            <w:tcW w:w="126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180" w:type="dxa"/>
            <w:vAlign w:val="bottom"/>
            <w:shd w:val="clear" w:color="auto" w:fill="B7E5FF"/>
          </w:tcPr>
          <w:p>
            <w:pPr>
              <w:spacing w:after="0"/>
              <w:rPr>
                <w:sz w:val="12"/>
                <w:szCs w:val="12"/>
                <w:color w:val="auto"/>
              </w:rPr>
            </w:pPr>
          </w:p>
        </w:tc>
        <w:tc>
          <w:tcPr>
            <w:tcW w:w="118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240" w:type="dxa"/>
            <w:vAlign w:val="bottom"/>
            <w:shd w:val="clear" w:color="auto" w:fill="B7E5FF"/>
          </w:tcPr>
          <w:p>
            <w:pPr>
              <w:spacing w:after="0"/>
              <w:rPr>
                <w:sz w:val="12"/>
                <w:szCs w:val="12"/>
                <w:color w:val="auto"/>
              </w:rPr>
            </w:pPr>
          </w:p>
        </w:tc>
        <w:tc>
          <w:tcPr>
            <w:tcW w:w="800" w:type="dxa"/>
            <w:vAlign w:val="bottom"/>
            <w:shd w:val="clear" w:color="auto" w:fill="B7E5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860" w:type="dxa"/>
            <w:vAlign w:val="bottom"/>
          </w:tcPr>
          <w:p>
            <w:pPr>
              <w:spacing w:after="0"/>
              <w:rPr>
                <w:sz w:val="20"/>
                <w:szCs w:val="20"/>
                <w:color w:val="auto"/>
              </w:rPr>
            </w:pPr>
            <w:r>
              <w:rPr>
                <w:rFonts w:ascii="Arial" w:cs="Arial" w:eastAsia="Arial" w:hAnsi="Arial"/>
                <w:sz w:val="12"/>
                <w:szCs w:val="12"/>
                <w:b w:val="1"/>
                <w:bCs w:val="1"/>
                <w:color w:val="auto"/>
              </w:rPr>
              <w:t>Balance at December 31, 2017</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(31,893)</w:t>
            </w:r>
          </w:p>
        </w:tc>
        <w:tc>
          <w:tcPr>
            <w:tcW w:w="10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(34,093)</w:t>
            </w:r>
          </w:p>
        </w:tc>
        <w:tc>
          <w:tcPr>
            <w:tcW w:w="120" w:type="dxa"/>
            <w:vAlign w:val="bottom"/>
          </w:tcPr>
          <w:p>
            <w:pPr>
              <w:spacing w:after="0"/>
              <w:rPr>
                <w:sz w:val="13"/>
                <w:szCs w:val="13"/>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886</w:t>
            </w:r>
          </w:p>
        </w:tc>
        <w:tc>
          <w:tcPr>
            <w:tcW w:w="10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(65,100)</w:t>
            </w:r>
          </w:p>
        </w:tc>
        <w:tc>
          <w:tcPr>
            <w:tcW w:w="0" w:type="dxa"/>
            <w:vAlign w:val="bottom"/>
          </w:tcPr>
          <w:p>
            <w:pPr>
              <w:spacing w:after="0"/>
              <w:rPr>
                <w:sz w:val="1"/>
                <w:szCs w:val="1"/>
                <w:color w:val="auto"/>
              </w:rPr>
            </w:pPr>
          </w:p>
        </w:tc>
      </w:tr>
      <w:tr>
        <w:trPr>
          <w:trHeight w:val="153"/>
        </w:trPr>
        <w:tc>
          <w:tcPr>
            <w:tcW w:w="5860" w:type="dxa"/>
            <w:vAlign w:val="bottom"/>
            <w:shd w:val="clear" w:color="auto" w:fill="B7E5FF"/>
          </w:tcPr>
          <w:p>
            <w:pPr>
              <w:ind w:left="120"/>
              <w:spacing w:after="0"/>
              <w:rPr>
                <w:sz w:val="20"/>
                <w:szCs w:val="20"/>
                <w:color w:val="auto"/>
              </w:rPr>
            </w:pPr>
            <w:r>
              <w:rPr>
                <w:rFonts w:ascii="Arial" w:cs="Arial" w:eastAsia="Arial" w:hAnsi="Arial"/>
                <w:sz w:val="12"/>
                <w:szCs w:val="12"/>
                <w:color w:val="auto"/>
              </w:rPr>
              <w:t>Other comprehensive (loss) income before</w:t>
            </w:r>
          </w:p>
        </w:tc>
        <w:tc>
          <w:tcPr>
            <w:tcW w:w="220" w:type="dxa"/>
            <w:vAlign w:val="bottom"/>
            <w:shd w:val="clear" w:color="auto" w:fill="B7E5FF"/>
          </w:tcPr>
          <w:p>
            <w:pPr>
              <w:spacing w:after="0"/>
              <w:rPr>
                <w:sz w:val="13"/>
                <w:szCs w:val="13"/>
                <w:color w:val="auto"/>
              </w:rPr>
            </w:pPr>
          </w:p>
        </w:tc>
        <w:tc>
          <w:tcPr>
            <w:tcW w:w="1180" w:type="dxa"/>
            <w:vAlign w:val="bottom"/>
            <w:shd w:val="clear" w:color="auto" w:fill="B7E5FF"/>
          </w:tcPr>
          <w:p>
            <w:pPr>
              <w:spacing w:after="0"/>
              <w:rPr>
                <w:sz w:val="13"/>
                <w:szCs w:val="13"/>
                <w:color w:val="auto"/>
              </w:rPr>
            </w:pPr>
          </w:p>
        </w:tc>
        <w:tc>
          <w:tcPr>
            <w:tcW w:w="100" w:type="dxa"/>
            <w:vAlign w:val="bottom"/>
            <w:shd w:val="clear" w:color="auto" w:fill="B7E5FF"/>
          </w:tcPr>
          <w:p>
            <w:pPr>
              <w:spacing w:after="0"/>
              <w:rPr>
                <w:sz w:val="13"/>
                <w:szCs w:val="13"/>
                <w:color w:val="auto"/>
              </w:rPr>
            </w:pPr>
          </w:p>
        </w:tc>
        <w:tc>
          <w:tcPr>
            <w:tcW w:w="240" w:type="dxa"/>
            <w:vAlign w:val="bottom"/>
            <w:shd w:val="clear" w:color="auto" w:fill="B7E5FF"/>
          </w:tcPr>
          <w:p>
            <w:pPr>
              <w:spacing w:after="0"/>
              <w:rPr>
                <w:sz w:val="13"/>
                <w:szCs w:val="13"/>
                <w:color w:val="auto"/>
              </w:rPr>
            </w:pPr>
          </w:p>
        </w:tc>
        <w:tc>
          <w:tcPr>
            <w:tcW w:w="1260" w:type="dxa"/>
            <w:vAlign w:val="bottom"/>
            <w:shd w:val="clear" w:color="auto" w:fill="B7E5FF"/>
          </w:tcPr>
          <w:p>
            <w:pPr>
              <w:spacing w:after="0"/>
              <w:rPr>
                <w:sz w:val="13"/>
                <w:szCs w:val="13"/>
                <w:color w:val="auto"/>
              </w:rPr>
            </w:pPr>
          </w:p>
        </w:tc>
        <w:tc>
          <w:tcPr>
            <w:tcW w:w="120" w:type="dxa"/>
            <w:vAlign w:val="bottom"/>
            <w:shd w:val="clear" w:color="auto" w:fill="B7E5FF"/>
          </w:tcPr>
          <w:p>
            <w:pPr>
              <w:spacing w:after="0"/>
              <w:rPr>
                <w:sz w:val="13"/>
                <w:szCs w:val="13"/>
                <w:color w:val="auto"/>
              </w:rPr>
            </w:pPr>
          </w:p>
        </w:tc>
        <w:tc>
          <w:tcPr>
            <w:tcW w:w="180" w:type="dxa"/>
            <w:vAlign w:val="bottom"/>
            <w:shd w:val="clear" w:color="auto" w:fill="B7E5FF"/>
          </w:tcPr>
          <w:p>
            <w:pPr>
              <w:spacing w:after="0"/>
              <w:rPr>
                <w:sz w:val="13"/>
                <w:szCs w:val="13"/>
                <w:color w:val="auto"/>
              </w:rPr>
            </w:pPr>
          </w:p>
        </w:tc>
        <w:tc>
          <w:tcPr>
            <w:tcW w:w="1180" w:type="dxa"/>
            <w:vAlign w:val="bottom"/>
            <w:shd w:val="clear" w:color="auto" w:fill="B7E5FF"/>
          </w:tcPr>
          <w:p>
            <w:pPr>
              <w:spacing w:after="0"/>
              <w:rPr>
                <w:sz w:val="13"/>
                <w:szCs w:val="13"/>
                <w:color w:val="auto"/>
              </w:rPr>
            </w:pPr>
          </w:p>
        </w:tc>
        <w:tc>
          <w:tcPr>
            <w:tcW w:w="100" w:type="dxa"/>
            <w:vAlign w:val="bottom"/>
            <w:shd w:val="clear" w:color="auto" w:fill="B7E5FF"/>
          </w:tcPr>
          <w:p>
            <w:pPr>
              <w:spacing w:after="0"/>
              <w:rPr>
                <w:sz w:val="13"/>
                <w:szCs w:val="13"/>
                <w:color w:val="auto"/>
              </w:rPr>
            </w:pPr>
          </w:p>
        </w:tc>
        <w:tc>
          <w:tcPr>
            <w:tcW w:w="240" w:type="dxa"/>
            <w:vAlign w:val="bottom"/>
            <w:shd w:val="clear" w:color="auto" w:fill="B7E5FF"/>
          </w:tcPr>
          <w:p>
            <w:pPr>
              <w:spacing w:after="0"/>
              <w:rPr>
                <w:sz w:val="13"/>
                <w:szCs w:val="13"/>
                <w:color w:val="auto"/>
              </w:rPr>
            </w:pPr>
          </w:p>
        </w:tc>
        <w:tc>
          <w:tcPr>
            <w:tcW w:w="800" w:type="dxa"/>
            <w:vAlign w:val="bottom"/>
            <w:shd w:val="clear" w:color="auto" w:fill="B7E5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60" w:type="dxa"/>
            <w:vAlign w:val="bottom"/>
          </w:tcPr>
          <w:p>
            <w:pPr>
              <w:ind w:left="240"/>
              <w:spacing w:after="0"/>
              <w:rPr>
                <w:sz w:val="20"/>
                <w:szCs w:val="20"/>
                <w:color w:val="auto"/>
              </w:rPr>
            </w:pPr>
            <w:r>
              <w:rPr>
                <w:rFonts w:ascii="Arial" w:cs="Arial" w:eastAsia="Arial" w:hAnsi="Arial"/>
                <w:sz w:val="12"/>
                <w:szCs w:val="12"/>
                <w:color w:val="auto"/>
              </w:rPr>
              <w:t>reclassifications</w:t>
            </w: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(10,176)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464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(1,338)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(11,050)</w:t>
            </w:r>
          </w:p>
        </w:tc>
        <w:tc>
          <w:tcPr>
            <w:tcW w:w="0" w:type="dxa"/>
            <w:vAlign w:val="bottom"/>
          </w:tcPr>
          <w:p>
            <w:pPr>
              <w:spacing w:after="0"/>
              <w:rPr>
                <w:sz w:val="1"/>
                <w:szCs w:val="1"/>
                <w:color w:val="auto"/>
              </w:rPr>
            </w:pPr>
          </w:p>
        </w:tc>
      </w:tr>
      <w:tr>
        <w:trPr>
          <w:trHeight w:val="153"/>
        </w:trPr>
        <w:tc>
          <w:tcPr>
            <w:tcW w:w="5860" w:type="dxa"/>
            <w:vAlign w:val="bottom"/>
            <w:shd w:val="clear" w:color="auto" w:fill="B7E5FF"/>
          </w:tcPr>
          <w:p>
            <w:pPr>
              <w:ind w:left="120"/>
              <w:spacing w:after="0"/>
              <w:rPr>
                <w:sz w:val="20"/>
                <w:szCs w:val="20"/>
                <w:color w:val="auto"/>
              </w:rPr>
            </w:pPr>
            <w:r>
              <w:rPr>
                <w:rFonts w:ascii="Arial" w:cs="Arial" w:eastAsia="Arial" w:hAnsi="Arial"/>
                <w:sz w:val="12"/>
                <w:szCs w:val="12"/>
                <w:color w:val="auto"/>
              </w:rPr>
              <w:t>Amounts reclassified from AOCI</w:t>
            </w:r>
          </w:p>
        </w:tc>
        <w:tc>
          <w:tcPr>
            <w:tcW w:w="220" w:type="dxa"/>
            <w:vAlign w:val="bottom"/>
            <w:shd w:val="clear" w:color="auto" w:fill="B7E5FF"/>
          </w:tcPr>
          <w:p>
            <w:pPr>
              <w:spacing w:after="0"/>
              <w:rPr>
                <w:sz w:val="13"/>
                <w:szCs w:val="13"/>
                <w:color w:val="auto"/>
              </w:rPr>
            </w:pPr>
          </w:p>
        </w:tc>
        <w:tc>
          <w:tcPr>
            <w:tcW w:w="128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shd w:val="clear" w:color="auto" w:fill="B7E5FF"/>
          </w:tcPr>
          <w:p>
            <w:pPr>
              <w:spacing w:after="0"/>
              <w:rPr>
                <w:sz w:val="13"/>
                <w:szCs w:val="13"/>
                <w:color w:val="auto"/>
              </w:rPr>
            </w:pPr>
          </w:p>
        </w:tc>
        <w:tc>
          <w:tcPr>
            <w:tcW w:w="12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1,562</w:t>
            </w:r>
          </w:p>
        </w:tc>
        <w:tc>
          <w:tcPr>
            <w:tcW w:w="120" w:type="dxa"/>
            <w:vAlign w:val="bottom"/>
            <w:shd w:val="clear" w:color="auto" w:fill="B7E5FF"/>
          </w:tcPr>
          <w:p>
            <w:pPr>
              <w:spacing w:after="0"/>
              <w:rPr>
                <w:sz w:val="13"/>
                <w:szCs w:val="13"/>
                <w:color w:val="auto"/>
              </w:rPr>
            </w:pPr>
          </w:p>
        </w:tc>
        <w:tc>
          <w:tcPr>
            <w:tcW w:w="180" w:type="dxa"/>
            <w:vAlign w:val="bottom"/>
            <w:shd w:val="clear" w:color="auto" w:fill="B7E5FF"/>
          </w:tcPr>
          <w:p>
            <w:pPr>
              <w:spacing w:after="0"/>
              <w:rPr>
                <w:sz w:val="13"/>
                <w:szCs w:val="13"/>
                <w:color w:val="auto"/>
              </w:rPr>
            </w:pPr>
          </w:p>
        </w:tc>
        <w:tc>
          <w:tcPr>
            <w:tcW w:w="11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509</w:t>
            </w:r>
          </w:p>
        </w:tc>
        <w:tc>
          <w:tcPr>
            <w:tcW w:w="100" w:type="dxa"/>
            <w:vAlign w:val="bottom"/>
            <w:shd w:val="clear" w:color="auto" w:fill="B7E5FF"/>
          </w:tcPr>
          <w:p>
            <w:pPr>
              <w:spacing w:after="0"/>
              <w:rPr>
                <w:sz w:val="13"/>
                <w:szCs w:val="13"/>
                <w:color w:val="auto"/>
              </w:rPr>
            </w:pPr>
          </w:p>
        </w:tc>
        <w:tc>
          <w:tcPr>
            <w:tcW w:w="240" w:type="dxa"/>
            <w:vAlign w:val="bottom"/>
            <w:shd w:val="clear" w:color="auto" w:fill="B7E5FF"/>
          </w:tcPr>
          <w:p>
            <w:pPr>
              <w:spacing w:after="0"/>
              <w:rPr>
                <w:sz w:val="13"/>
                <w:szCs w:val="13"/>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2,071</w:t>
            </w:r>
          </w:p>
        </w:tc>
        <w:tc>
          <w:tcPr>
            <w:tcW w:w="0" w:type="dxa"/>
            <w:vAlign w:val="bottom"/>
          </w:tcPr>
          <w:p>
            <w:pPr>
              <w:spacing w:after="0"/>
              <w:rPr>
                <w:sz w:val="1"/>
                <w:szCs w:val="1"/>
                <w:color w:val="auto"/>
              </w:rPr>
            </w:pPr>
          </w:p>
        </w:tc>
      </w:tr>
      <w:tr>
        <w:trPr>
          <w:trHeight w:val="133"/>
        </w:trPr>
        <w:tc>
          <w:tcPr>
            <w:tcW w:w="5860" w:type="dxa"/>
            <w:vAlign w:val="bottom"/>
          </w:tcPr>
          <w:p>
            <w:pPr>
              <w:ind w:left="120"/>
              <w:spacing w:after="0" w:line="133" w:lineRule="exact"/>
              <w:rPr>
                <w:sz w:val="20"/>
                <w:szCs w:val="20"/>
                <w:color w:val="auto"/>
              </w:rPr>
            </w:pPr>
            <w:r>
              <w:rPr>
                <w:rFonts w:ascii="Arial" w:cs="Arial" w:eastAsia="Arial" w:hAnsi="Arial"/>
                <w:sz w:val="12"/>
                <w:szCs w:val="12"/>
                <w:color w:val="auto"/>
              </w:rPr>
              <w:t>Current period other comprehensive (loss) income</w:t>
            </w: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(10,176)</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2,026</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(829)</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(8,979)</w:t>
            </w:r>
          </w:p>
        </w:tc>
        <w:tc>
          <w:tcPr>
            <w:tcW w:w="0" w:type="dxa"/>
            <w:vAlign w:val="bottom"/>
          </w:tcPr>
          <w:p>
            <w:pPr>
              <w:spacing w:after="0"/>
              <w:rPr>
                <w:sz w:val="1"/>
                <w:szCs w:val="1"/>
                <w:color w:val="auto"/>
              </w:rPr>
            </w:pPr>
          </w:p>
        </w:tc>
      </w:tr>
      <w:tr>
        <w:trPr>
          <w:trHeight w:val="153"/>
        </w:trPr>
        <w:tc>
          <w:tcPr>
            <w:tcW w:w="5860" w:type="dxa"/>
            <w:vAlign w:val="bottom"/>
            <w:shd w:val="clear" w:color="auto" w:fill="B7E5FF"/>
          </w:tcPr>
          <w:p>
            <w:pPr>
              <w:ind w:left="120"/>
              <w:spacing w:after="0"/>
              <w:rPr>
                <w:sz w:val="20"/>
                <w:szCs w:val="20"/>
                <w:color w:val="auto"/>
              </w:rPr>
            </w:pPr>
            <w:r>
              <w:rPr>
                <w:rFonts w:ascii="Arial" w:cs="Arial" w:eastAsia="Arial" w:hAnsi="Arial"/>
                <w:sz w:val="12"/>
                <w:szCs w:val="12"/>
                <w:color w:val="auto"/>
              </w:rPr>
              <w:t>Related tax amounts</w:t>
            </w:r>
          </w:p>
        </w:tc>
        <w:tc>
          <w:tcPr>
            <w:tcW w:w="220" w:type="dxa"/>
            <w:vAlign w:val="bottom"/>
            <w:shd w:val="clear" w:color="auto" w:fill="B7E5FF"/>
          </w:tcPr>
          <w:p>
            <w:pPr>
              <w:spacing w:after="0"/>
              <w:rPr>
                <w:sz w:val="13"/>
                <w:szCs w:val="13"/>
                <w:color w:val="auto"/>
              </w:rPr>
            </w:pPr>
          </w:p>
        </w:tc>
        <w:tc>
          <w:tcPr>
            <w:tcW w:w="128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shd w:val="clear" w:color="auto" w:fill="B7E5FF"/>
          </w:tcPr>
          <w:p>
            <w:pPr>
              <w:spacing w:after="0"/>
              <w:rPr>
                <w:sz w:val="13"/>
                <w:szCs w:val="13"/>
                <w:color w:val="auto"/>
              </w:rPr>
            </w:pPr>
          </w:p>
        </w:tc>
        <w:tc>
          <w:tcPr>
            <w:tcW w:w="12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(446)</w:t>
            </w:r>
          </w:p>
        </w:tc>
        <w:tc>
          <w:tcPr>
            <w:tcW w:w="120" w:type="dxa"/>
            <w:vAlign w:val="bottom"/>
            <w:shd w:val="clear" w:color="auto" w:fill="B7E5FF"/>
          </w:tcPr>
          <w:p>
            <w:pPr>
              <w:spacing w:after="0"/>
              <w:rPr>
                <w:sz w:val="13"/>
                <w:szCs w:val="13"/>
                <w:color w:val="auto"/>
              </w:rPr>
            </w:pPr>
          </w:p>
        </w:tc>
        <w:tc>
          <w:tcPr>
            <w:tcW w:w="180" w:type="dxa"/>
            <w:vAlign w:val="bottom"/>
            <w:shd w:val="clear" w:color="auto" w:fill="B7E5FF"/>
          </w:tcPr>
          <w:p>
            <w:pPr>
              <w:spacing w:after="0"/>
              <w:rPr>
                <w:sz w:val="13"/>
                <w:szCs w:val="13"/>
                <w:color w:val="auto"/>
              </w:rPr>
            </w:pPr>
          </w:p>
        </w:tc>
        <w:tc>
          <w:tcPr>
            <w:tcW w:w="11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174</w:t>
            </w:r>
          </w:p>
        </w:tc>
        <w:tc>
          <w:tcPr>
            <w:tcW w:w="100" w:type="dxa"/>
            <w:vAlign w:val="bottom"/>
            <w:shd w:val="clear" w:color="auto" w:fill="B7E5FF"/>
          </w:tcPr>
          <w:p>
            <w:pPr>
              <w:spacing w:after="0"/>
              <w:rPr>
                <w:sz w:val="13"/>
                <w:szCs w:val="13"/>
                <w:color w:val="auto"/>
              </w:rPr>
            </w:pPr>
          </w:p>
        </w:tc>
        <w:tc>
          <w:tcPr>
            <w:tcW w:w="240" w:type="dxa"/>
            <w:vAlign w:val="bottom"/>
            <w:shd w:val="clear" w:color="auto" w:fill="B7E5FF"/>
          </w:tcPr>
          <w:p>
            <w:pPr>
              <w:spacing w:after="0"/>
              <w:rPr>
                <w:sz w:val="13"/>
                <w:szCs w:val="13"/>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(272)</w:t>
            </w:r>
          </w:p>
        </w:tc>
        <w:tc>
          <w:tcPr>
            <w:tcW w:w="0" w:type="dxa"/>
            <w:vAlign w:val="bottom"/>
          </w:tcPr>
          <w:p>
            <w:pPr>
              <w:spacing w:after="0"/>
              <w:rPr>
                <w:sz w:val="1"/>
                <w:szCs w:val="1"/>
                <w:color w:val="auto"/>
              </w:rPr>
            </w:pPr>
          </w:p>
        </w:tc>
      </w:tr>
      <w:tr>
        <w:trPr>
          <w:trHeight w:val="133"/>
        </w:trPr>
        <w:tc>
          <w:tcPr>
            <w:tcW w:w="5860" w:type="dxa"/>
            <w:vAlign w:val="bottom"/>
            <w:tcBorders>
              <w:bottom w:val="single" w:sz="8" w:color="B7E5FF"/>
            </w:tcBorders>
          </w:tcPr>
          <w:p>
            <w:pPr>
              <w:ind w:left="120"/>
              <w:spacing w:after="0" w:line="133" w:lineRule="exact"/>
              <w:rPr>
                <w:sz w:val="20"/>
                <w:szCs w:val="20"/>
                <w:color w:val="auto"/>
              </w:rPr>
            </w:pPr>
            <w:r>
              <w:rPr>
                <w:rFonts w:ascii="Arial" w:cs="Arial" w:eastAsia="Arial" w:hAnsi="Arial"/>
                <w:sz w:val="12"/>
                <w:szCs w:val="12"/>
                <w:color w:val="auto"/>
              </w:rPr>
              <w:t>Net current period other comprehensive (loss) income</w:t>
            </w:r>
          </w:p>
        </w:tc>
        <w:tc>
          <w:tcPr>
            <w:tcW w:w="22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(10,176)</w:t>
            </w:r>
          </w:p>
        </w:tc>
        <w:tc>
          <w:tcPr>
            <w:tcW w:w="100" w:type="dxa"/>
            <w:vAlign w:val="bottom"/>
            <w:tcBorders>
              <w:bottom w:val="single" w:sz="8" w:color="B7E5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12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1,580</w:t>
            </w:r>
          </w:p>
        </w:tc>
        <w:tc>
          <w:tcPr>
            <w:tcW w:w="120" w:type="dxa"/>
            <w:vAlign w:val="bottom"/>
            <w:tcBorders>
              <w:bottom w:val="single" w:sz="8" w:color="B7E5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(655)</w:t>
            </w:r>
          </w:p>
        </w:tc>
        <w:tc>
          <w:tcPr>
            <w:tcW w:w="100" w:type="dxa"/>
            <w:vAlign w:val="bottom"/>
            <w:tcBorders>
              <w:bottom w:val="single" w:sz="8" w:color="B7E5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(9,251)</w:t>
            </w:r>
          </w:p>
        </w:tc>
        <w:tc>
          <w:tcPr>
            <w:tcW w:w="0" w:type="dxa"/>
            <w:vAlign w:val="bottom"/>
          </w:tcPr>
          <w:p>
            <w:pPr>
              <w:spacing w:after="0"/>
              <w:rPr>
                <w:sz w:val="1"/>
                <w:szCs w:val="1"/>
                <w:color w:val="auto"/>
              </w:rPr>
            </w:pPr>
          </w:p>
        </w:tc>
      </w:tr>
      <w:tr>
        <w:trPr>
          <w:trHeight w:val="140"/>
        </w:trPr>
        <w:tc>
          <w:tcPr>
            <w:tcW w:w="5860" w:type="dxa"/>
            <w:vAlign w:val="bottom"/>
            <w:tcBorders>
              <w:bottom w:val="single" w:sz="8" w:color="B7E5FF"/>
            </w:tcBorders>
            <w:shd w:val="clear" w:color="auto" w:fill="B7E5FF"/>
          </w:tcPr>
          <w:p>
            <w:pPr>
              <w:spacing w:after="0" w:line="133" w:lineRule="exact"/>
              <w:rPr>
                <w:sz w:val="20"/>
                <w:szCs w:val="20"/>
                <w:color w:val="auto"/>
              </w:rPr>
            </w:pPr>
            <w:r>
              <w:rPr>
                <w:rFonts w:ascii="Arial" w:cs="Arial" w:eastAsia="Arial" w:hAnsi="Arial"/>
                <w:sz w:val="12"/>
                <w:szCs w:val="12"/>
                <w:b w:val="1"/>
                <w:bCs w:val="1"/>
                <w:color w:val="auto"/>
              </w:rPr>
              <w:t>Balance at June 30, 2018</w:t>
            </w:r>
          </w:p>
        </w:tc>
        <w:tc>
          <w:tcPr>
            <w:tcW w:w="220" w:type="dxa"/>
            <w:vAlign w:val="bottom"/>
            <w:tcBorders>
              <w:bottom w:val="single" w:sz="8" w:color="auto"/>
            </w:tcBorders>
            <w:shd w:val="clear" w:color="auto" w:fill="B7E5FF"/>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(42,069)</w:t>
            </w:r>
          </w:p>
        </w:tc>
        <w:tc>
          <w:tcPr>
            <w:tcW w:w="100" w:type="dxa"/>
            <w:vAlign w:val="bottom"/>
            <w:tcBorders>
              <w:bottom w:val="single" w:sz="8" w:color="B7E5FF"/>
            </w:tcBorders>
            <w:shd w:val="clear" w:color="auto" w:fill="B7E5FF"/>
          </w:tcPr>
          <w:p>
            <w:pPr>
              <w:spacing w:after="0"/>
              <w:rPr>
                <w:sz w:val="12"/>
                <w:szCs w:val="12"/>
                <w:color w:val="auto"/>
              </w:rPr>
            </w:pPr>
          </w:p>
        </w:tc>
        <w:tc>
          <w:tcPr>
            <w:tcW w:w="240" w:type="dxa"/>
            <w:vAlign w:val="bottom"/>
            <w:tcBorders>
              <w:bottom w:val="single" w:sz="8" w:color="auto"/>
            </w:tcBorders>
            <w:shd w:val="clear" w:color="auto" w:fill="B7E5FF"/>
          </w:tcPr>
          <w:p>
            <w:pPr>
              <w:jc w:val="right"/>
              <w:ind w:right="100"/>
              <w:spacing w:after="0" w:line="133" w:lineRule="exact"/>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(32,513)</w:t>
            </w:r>
          </w:p>
        </w:tc>
        <w:tc>
          <w:tcPr>
            <w:tcW w:w="120" w:type="dxa"/>
            <w:vAlign w:val="bottom"/>
            <w:tcBorders>
              <w:bottom w:val="single" w:sz="8" w:color="B7E5FF"/>
            </w:tcBorders>
            <w:shd w:val="clear" w:color="auto" w:fill="B7E5FF"/>
          </w:tcPr>
          <w:p>
            <w:pPr>
              <w:spacing w:after="0"/>
              <w:rPr>
                <w:sz w:val="12"/>
                <w:szCs w:val="12"/>
                <w:color w:val="auto"/>
              </w:rPr>
            </w:pPr>
          </w:p>
        </w:tc>
        <w:tc>
          <w:tcPr>
            <w:tcW w:w="18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231</w:t>
            </w:r>
          </w:p>
        </w:tc>
        <w:tc>
          <w:tcPr>
            <w:tcW w:w="100" w:type="dxa"/>
            <w:vAlign w:val="bottom"/>
            <w:tcBorders>
              <w:bottom w:val="single" w:sz="8" w:color="B7E5FF"/>
            </w:tcBorders>
            <w:shd w:val="clear" w:color="auto" w:fill="B7E5FF"/>
          </w:tcPr>
          <w:p>
            <w:pPr>
              <w:spacing w:after="0"/>
              <w:rPr>
                <w:sz w:val="12"/>
                <w:szCs w:val="12"/>
                <w:color w:val="auto"/>
              </w:rPr>
            </w:pPr>
          </w:p>
        </w:tc>
        <w:tc>
          <w:tcPr>
            <w:tcW w:w="240" w:type="dxa"/>
            <w:vAlign w:val="bottom"/>
            <w:tcBorders>
              <w:bottom w:val="single" w:sz="8" w:color="auto"/>
            </w:tcBorders>
            <w:shd w:val="clear" w:color="auto" w:fill="B7E5FF"/>
          </w:tcPr>
          <w:p>
            <w:pPr>
              <w:jc w:val="right"/>
              <w:ind w:right="100"/>
              <w:spacing w:after="0" w:line="133" w:lineRule="exact"/>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B7E5FF"/>
          </w:tcPr>
          <w:p>
            <w:pPr>
              <w:jc w:val="right"/>
              <w:spacing w:after="0" w:line="133" w:lineRule="exact"/>
              <w:rPr>
                <w:sz w:val="20"/>
                <w:szCs w:val="20"/>
                <w:color w:val="auto"/>
              </w:rPr>
            </w:pPr>
            <w:r>
              <w:rPr>
                <w:rFonts w:ascii="Arial" w:cs="Arial" w:eastAsia="Arial" w:hAnsi="Arial"/>
                <w:sz w:val="12"/>
                <w:szCs w:val="12"/>
                <w:color w:val="auto"/>
              </w:rPr>
              <w:t>(74,351)</w:t>
            </w: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All reclassifications related to unrealized gain (loss) in available-for-sale securities relate to the Company’s equity interest in a captive insurance company and are recorded in equity in net income of associated companies. The amounts reported in other comprehensive income for non-controlling interest are related to currency translation adjustments.</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22" w:name="page23"/>
    <w:bookmarkEnd w:id="22"/>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16 – Business Combinations and Asset Acquisitions</w:t>
      </w:r>
    </w:p>
    <w:p>
      <w:pPr>
        <w:spacing w:after="0" w:line="82" w:lineRule="exact"/>
        <w:rPr>
          <w:sz w:val="20"/>
          <w:szCs w:val="20"/>
          <w:color w:val="auto"/>
        </w:rPr>
      </w:pPr>
    </w:p>
    <w:p>
      <w:pPr>
        <w:jc w:val="both"/>
        <w:ind w:right="160" w:firstLine="216"/>
        <w:spacing w:after="0" w:line="263" w:lineRule="auto"/>
        <w:rPr>
          <w:sz w:val="20"/>
          <w:szCs w:val="20"/>
          <w:color w:val="auto"/>
        </w:rPr>
      </w:pPr>
      <w:r>
        <w:rPr>
          <w:rFonts w:ascii="Arial" w:cs="Arial" w:eastAsia="Arial" w:hAnsi="Arial"/>
          <w:sz w:val="12"/>
          <w:szCs w:val="12"/>
          <w:color w:val="auto"/>
        </w:rPr>
        <w:t>In March 2018, the Company purchased certain formulations and product technology for the mining industry for its North America reportable operating segment for $1.0 million. The Company allocated the entire purchase price to intangible assets representing formulations and product technology, to be amortized over 10 years. In accordance with the terms of the agreement, $0.5 million of the purchase price was paid at signing, with the remaining $0.5 million of the purchase price paid during the first quarter of 2019.</w:t>
      </w:r>
    </w:p>
    <w:p>
      <w:pPr>
        <w:spacing w:after="0" w:line="51" w:lineRule="exact"/>
        <w:rPr>
          <w:sz w:val="20"/>
          <w:szCs w:val="20"/>
          <w:color w:val="auto"/>
        </w:rPr>
      </w:pPr>
    </w:p>
    <w:p>
      <w:pPr>
        <w:ind w:right="180" w:firstLine="216"/>
        <w:spacing w:after="0" w:line="263" w:lineRule="auto"/>
        <w:rPr>
          <w:sz w:val="20"/>
          <w:szCs w:val="20"/>
          <w:color w:val="auto"/>
        </w:rPr>
      </w:pPr>
      <w:r>
        <w:rPr>
          <w:rFonts w:ascii="Arial" w:cs="Arial" w:eastAsia="Arial" w:hAnsi="Arial"/>
          <w:sz w:val="12"/>
          <w:szCs w:val="12"/>
          <w:color w:val="auto"/>
        </w:rPr>
        <w:t>The results of operations of acquired businesses and assets are included in the Condensed Consolidated Statements of Income from their respective acquisition dates. Transaction expenses associated with acquisitions are included in SG&amp;A in the Company’s Condensed Consolidated Statements of Income. Certain pro forma and other information is not presented, as the operations of the acquired businesses and assets are not material to the overall operations of the Company for the periods presented.</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17 – Fair Value Measurements</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Company has valued its company-owned life insurance policies at fair value. These assets are subject to fair value measurement as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60" w:type="dxa"/>
            <w:vAlign w:val="bottom"/>
            <w:gridSpan w:val="6"/>
          </w:tcPr>
          <w:p>
            <w:pPr>
              <w:jc w:val="center"/>
              <w:ind w:left="462"/>
              <w:spacing w:after="0"/>
              <w:rPr>
                <w:sz w:val="20"/>
                <w:szCs w:val="20"/>
                <w:color w:val="auto"/>
              </w:rPr>
            </w:pPr>
            <w:r>
              <w:rPr>
                <w:rFonts w:ascii="Arial" w:cs="Arial" w:eastAsia="Arial" w:hAnsi="Arial"/>
                <w:sz w:val="12"/>
                <w:szCs w:val="12"/>
                <w:b w:val="1"/>
                <w:bCs w:val="1"/>
                <w:color w:val="auto"/>
                <w:w w:val="90"/>
              </w:rPr>
              <w:t>Fair Value Measurements at June 30, 2019</w:t>
            </w:r>
          </w:p>
        </w:tc>
        <w:tc>
          <w:tcPr>
            <w:tcW w:w="900" w:type="dxa"/>
            <w:vAlign w:val="bottom"/>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0"/>
              </w:rPr>
              <w:t>Total</w:t>
            </w: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ind w:left="100"/>
              <w:spacing w:after="0"/>
              <w:rPr>
                <w:sz w:val="20"/>
                <w:szCs w:val="20"/>
                <w:color w:val="auto"/>
              </w:rPr>
            </w:pPr>
            <w:r>
              <w:rPr>
                <w:rFonts w:ascii="Arial" w:cs="Arial" w:eastAsia="Arial" w:hAnsi="Arial"/>
                <w:sz w:val="12"/>
                <w:szCs w:val="12"/>
                <w:b w:val="1"/>
                <w:bCs w:val="1"/>
                <w:color w:val="auto"/>
                <w:w w:val="94"/>
              </w:rPr>
              <w:t>Using Fair Value Hierarchy</w:t>
            </w: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97"/>
        </w:trPr>
        <w:tc>
          <w:tcPr>
            <w:tcW w:w="20" w:type="dxa"/>
            <w:vAlign w:val="bottom"/>
          </w:tcPr>
          <w:p>
            <w:pPr>
              <w:spacing w:after="0"/>
              <w:rPr>
                <w:sz w:val="8"/>
                <w:szCs w:val="8"/>
                <w:color w:val="auto"/>
              </w:rPr>
            </w:pPr>
          </w:p>
        </w:tc>
        <w:tc>
          <w:tcPr>
            <w:tcW w:w="5800" w:type="dxa"/>
            <w:vAlign w:val="bottom"/>
            <w:gridSpan w:val="2"/>
          </w:tcPr>
          <w:p>
            <w:pPr>
              <w:spacing w:after="0" w:line="78" w:lineRule="exact"/>
              <w:rPr>
                <w:sz w:val="20"/>
                <w:szCs w:val="20"/>
                <w:color w:val="auto"/>
              </w:rPr>
            </w:pPr>
            <w:r>
              <w:rPr>
                <w:rFonts w:ascii="Arial" w:cs="Arial" w:eastAsia="Arial" w:hAnsi="Arial"/>
                <w:sz w:val="8"/>
                <w:szCs w:val="8"/>
                <w:color w:val="auto"/>
              </w:rPr>
              <w:t>Assets</w:t>
            </w:r>
          </w:p>
        </w:tc>
        <w:tc>
          <w:tcPr>
            <w:tcW w:w="220" w:type="dxa"/>
            <w:vAlign w:val="bottom"/>
          </w:tcPr>
          <w:p>
            <w:pPr>
              <w:spacing w:after="0"/>
              <w:rPr>
                <w:sz w:val="8"/>
                <w:szCs w:val="8"/>
                <w:color w:val="auto"/>
              </w:rPr>
            </w:pPr>
          </w:p>
        </w:tc>
        <w:tc>
          <w:tcPr>
            <w:tcW w:w="1200" w:type="dxa"/>
            <w:vAlign w:val="bottom"/>
            <w:gridSpan w:val="2"/>
          </w:tcPr>
          <w:p>
            <w:pPr>
              <w:jc w:val="center"/>
              <w:ind w:right="340"/>
              <w:spacing w:after="0" w:line="78" w:lineRule="exact"/>
              <w:rPr>
                <w:sz w:val="20"/>
                <w:szCs w:val="20"/>
                <w:color w:val="auto"/>
              </w:rPr>
            </w:pPr>
            <w:r>
              <w:rPr>
                <w:rFonts w:ascii="Arial" w:cs="Arial" w:eastAsia="Arial" w:hAnsi="Arial"/>
                <w:sz w:val="8"/>
                <w:szCs w:val="8"/>
                <w:b w:val="1"/>
                <w:bCs w:val="1"/>
                <w:color w:val="auto"/>
              </w:rPr>
              <w:t>Fair Value</w:t>
            </w:r>
          </w:p>
        </w:tc>
        <w:tc>
          <w:tcPr>
            <w:tcW w:w="280" w:type="dxa"/>
            <w:vAlign w:val="bottom"/>
          </w:tcPr>
          <w:p>
            <w:pPr>
              <w:spacing w:after="0"/>
              <w:rPr>
                <w:sz w:val="8"/>
                <w:szCs w:val="8"/>
                <w:color w:val="auto"/>
              </w:rPr>
            </w:pPr>
          </w:p>
        </w:tc>
        <w:tc>
          <w:tcPr>
            <w:tcW w:w="1040" w:type="dxa"/>
            <w:vAlign w:val="bottom"/>
          </w:tcPr>
          <w:p>
            <w:pPr>
              <w:ind w:left="200"/>
              <w:spacing w:after="0" w:line="88" w:lineRule="exact"/>
              <w:rPr>
                <w:sz w:val="20"/>
                <w:szCs w:val="20"/>
                <w:color w:val="auto"/>
              </w:rPr>
            </w:pPr>
            <w:r>
              <w:rPr>
                <w:rFonts w:ascii="Arial" w:cs="Arial" w:eastAsia="Arial" w:hAnsi="Arial"/>
                <w:sz w:val="10"/>
                <w:szCs w:val="10"/>
                <w:b w:val="1"/>
                <w:bCs w:val="1"/>
                <w:color w:val="auto"/>
              </w:rPr>
              <w:t>Level 1</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gridSpan w:val="2"/>
          </w:tcPr>
          <w:p>
            <w:pPr>
              <w:ind w:left="200"/>
              <w:spacing w:after="0" w:line="88" w:lineRule="exact"/>
              <w:rPr>
                <w:sz w:val="20"/>
                <w:szCs w:val="20"/>
                <w:color w:val="auto"/>
              </w:rPr>
            </w:pPr>
            <w:r>
              <w:rPr>
                <w:rFonts w:ascii="Arial" w:cs="Arial" w:eastAsia="Arial" w:hAnsi="Arial"/>
                <w:sz w:val="10"/>
                <w:szCs w:val="10"/>
                <w:b w:val="1"/>
                <w:bCs w:val="1"/>
                <w:color w:val="auto"/>
              </w:rPr>
              <w:t>Level 2</w:t>
            </w:r>
          </w:p>
        </w:tc>
        <w:tc>
          <w:tcPr>
            <w:tcW w:w="460" w:type="dxa"/>
            <w:vAlign w:val="bottom"/>
          </w:tcPr>
          <w:p>
            <w:pPr>
              <w:spacing w:after="0"/>
              <w:rPr>
                <w:sz w:val="8"/>
                <w:szCs w:val="8"/>
                <w:color w:val="auto"/>
              </w:rPr>
            </w:pPr>
          </w:p>
        </w:tc>
        <w:tc>
          <w:tcPr>
            <w:tcW w:w="900" w:type="dxa"/>
            <w:vAlign w:val="bottom"/>
          </w:tcPr>
          <w:p>
            <w:pPr>
              <w:ind w:left="40"/>
              <w:spacing w:after="0" w:line="88" w:lineRule="exact"/>
              <w:rPr>
                <w:sz w:val="20"/>
                <w:szCs w:val="20"/>
                <w:color w:val="auto"/>
              </w:rPr>
            </w:pPr>
            <w:r>
              <w:rPr>
                <w:rFonts w:ascii="Arial" w:cs="Arial" w:eastAsia="Arial" w:hAnsi="Arial"/>
                <w:sz w:val="10"/>
                <w:szCs w:val="10"/>
                <w:b w:val="1"/>
                <w:bCs w:val="1"/>
                <w:color w:val="auto"/>
              </w:rPr>
              <w:t>Level 3</w:t>
            </w:r>
          </w:p>
        </w:tc>
      </w:tr>
      <w:tr>
        <w:trPr>
          <w:trHeight w:val="20"/>
        </w:trPr>
        <w:tc>
          <w:tcPr>
            <w:tcW w:w="20" w:type="dxa"/>
            <w:vAlign w:val="bottom"/>
            <w:tcBorders>
              <w:bottom w:val="single" w:sz="8" w:color="B7E5FF"/>
            </w:tcBorders>
          </w:tcPr>
          <w:p>
            <w:pPr>
              <w:spacing w:after="0" w:line="20" w:lineRule="exact"/>
              <w:rPr>
                <w:sz w:val="1"/>
                <w:szCs w:val="1"/>
                <w:color w:val="auto"/>
              </w:rPr>
            </w:pPr>
          </w:p>
        </w:tc>
        <w:tc>
          <w:tcPr>
            <w:tcW w:w="300" w:type="dxa"/>
            <w:vAlign w:val="bottom"/>
            <w:tcBorders>
              <w:top w:val="single" w:sz="8" w:color="auto"/>
              <w:bottom w:val="single" w:sz="8" w:color="B7E5FF"/>
            </w:tcBorders>
          </w:tcPr>
          <w:p>
            <w:pPr>
              <w:spacing w:after="0" w:line="20" w:lineRule="exact"/>
              <w:rPr>
                <w:sz w:val="1"/>
                <w:szCs w:val="1"/>
                <w:color w:val="auto"/>
              </w:rPr>
            </w:pPr>
          </w:p>
        </w:tc>
        <w:tc>
          <w:tcPr>
            <w:tcW w:w="5500" w:type="dxa"/>
            <w:vAlign w:val="bottom"/>
            <w:tcBorders>
              <w:bottom w:val="single" w:sz="8" w:color="B7E5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7E5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7E5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7E5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B7E5FF"/>
          </w:tcPr>
          <w:p>
            <w:pPr>
              <w:spacing w:after="0"/>
              <w:rPr>
                <w:sz w:val="11"/>
                <w:szCs w:val="11"/>
                <w:color w:val="auto"/>
              </w:rPr>
            </w:pPr>
          </w:p>
        </w:tc>
        <w:tc>
          <w:tcPr>
            <w:tcW w:w="5800" w:type="dxa"/>
            <w:vAlign w:val="bottom"/>
            <w:gridSpan w:val="2"/>
            <w:shd w:val="clear" w:color="auto" w:fill="B7E5FF"/>
          </w:tcPr>
          <w:p>
            <w:pPr>
              <w:spacing w:after="0" w:line="129" w:lineRule="exact"/>
              <w:rPr>
                <w:sz w:val="20"/>
                <w:szCs w:val="20"/>
                <w:color w:val="auto"/>
              </w:rPr>
            </w:pPr>
            <w:r>
              <w:rPr>
                <w:rFonts w:ascii="Arial" w:cs="Arial" w:eastAsia="Arial" w:hAnsi="Arial"/>
                <w:sz w:val="12"/>
                <w:szCs w:val="12"/>
                <w:color w:val="auto"/>
              </w:rPr>
              <w:t>Company-owned life insurance</w:t>
            </w:r>
          </w:p>
        </w:tc>
        <w:tc>
          <w:tcPr>
            <w:tcW w:w="220" w:type="dxa"/>
            <w:vAlign w:val="bottom"/>
            <w:tcBorders>
              <w:bottom w:val="single" w:sz="8" w:color="auto"/>
            </w:tcBorders>
            <w:shd w:val="clear" w:color="auto" w:fill="B7E5FF"/>
          </w:tcPr>
          <w:p>
            <w:pPr>
              <w:jc w:val="right"/>
              <w:ind w:right="85"/>
              <w:spacing w:after="0" w:line="129" w:lineRule="exact"/>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B7E5FF"/>
          </w:tcPr>
          <w:p>
            <w:pPr>
              <w:jc w:val="right"/>
              <w:spacing w:after="0" w:line="129" w:lineRule="exact"/>
              <w:rPr>
                <w:sz w:val="20"/>
                <w:szCs w:val="20"/>
                <w:color w:val="auto"/>
              </w:rPr>
            </w:pPr>
            <w:r>
              <w:rPr>
                <w:rFonts w:ascii="Arial" w:cs="Arial" w:eastAsia="Arial" w:hAnsi="Arial"/>
                <w:sz w:val="12"/>
                <w:szCs w:val="12"/>
                <w:color w:val="auto"/>
              </w:rPr>
              <w:t>1,681</w:t>
            </w:r>
          </w:p>
        </w:tc>
        <w:tc>
          <w:tcPr>
            <w:tcW w:w="100" w:type="dxa"/>
            <w:vAlign w:val="bottom"/>
            <w:shd w:val="clear" w:color="auto" w:fill="B7E5FF"/>
          </w:tcPr>
          <w:p>
            <w:pPr>
              <w:spacing w:after="0"/>
              <w:rPr>
                <w:sz w:val="11"/>
                <w:szCs w:val="11"/>
                <w:color w:val="auto"/>
              </w:rPr>
            </w:pPr>
          </w:p>
        </w:tc>
        <w:tc>
          <w:tcPr>
            <w:tcW w:w="280" w:type="dxa"/>
            <w:vAlign w:val="bottom"/>
            <w:tcBorders>
              <w:bottom w:val="single" w:sz="8" w:color="auto"/>
            </w:tcBorders>
            <w:shd w:val="clear" w:color="auto" w:fill="B7E5FF"/>
          </w:tcPr>
          <w:p>
            <w:pPr>
              <w:jc w:val="right"/>
              <w:ind w:right="140"/>
              <w:spacing w:after="0" w:line="129" w:lineRule="exact"/>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B7E5FF"/>
          </w:tcPr>
          <w:p>
            <w:pPr>
              <w:ind w:left="900"/>
              <w:spacing w:after="0" w:line="129" w:lineRule="exact"/>
              <w:rPr>
                <w:sz w:val="20"/>
                <w:szCs w:val="20"/>
                <w:color w:val="auto"/>
              </w:rPr>
            </w:pPr>
            <w:r>
              <w:rPr>
                <w:rFonts w:ascii="Arial" w:cs="Arial" w:eastAsia="Arial" w:hAnsi="Arial"/>
                <w:sz w:val="12"/>
                <w:szCs w:val="12"/>
                <w:color w:val="auto"/>
                <w:w w:val="99"/>
              </w:rPr>
              <w:t>—</w:t>
            </w:r>
          </w:p>
        </w:tc>
        <w:tc>
          <w:tcPr>
            <w:tcW w:w="120" w:type="dxa"/>
            <w:vAlign w:val="bottom"/>
            <w:shd w:val="clear" w:color="auto" w:fill="B7E5FF"/>
          </w:tcPr>
          <w:p>
            <w:pPr>
              <w:spacing w:after="0"/>
              <w:rPr>
                <w:sz w:val="11"/>
                <w:szCs w:val="11"/>
                <w:color w:val="auto"/>
              </w:rPr>
            </w:pPr>
          </w:p>
        </w:tc>
        <w:tc>
          <w:tcPr>
            <w:tcW w:w="280" w:type="dxa"/>
            <w:vAlign w:val="bottom"/>
            <w:tcBorders>
              <w:bottom w:val="single" w:sz="8" w:color="auto"/>
            </w:tcBorders>
            <w:shd w:val="clear" w:color="auto" w:fill="B7E5FF"/>
          </w:tcPr>
          <w:p>
            <w:pPr>
              <w:jc w:val="right"/>
              <w:ind w:right="145"/>
              <w:spacing w:after="0" w:line="129" w:lineRule="exact"/>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B7E5FF"/>
          </w:tcPr>
          <w:p>
            <w:pPr>
              <w:jc w:val="right"/>
              <w:spacing w:after="0" w:line="129" w:lineRule="exact"/>
              <w:rPr>
                <w:sz w:val="20"/>
                <w:szCs w:val="20"/>
                <w:color w:val="auto"/>
              </w:rPr>
            </w:pPr>
            <w:r>
              <w:rPr>
                <w:rFonts w:ascii="Arial" w:cs="Arial" w:eastAsia="Arial" w:hAnsi="Arial"/>
                <w:sz w:val="12"/>
                <w:szCs w:val="12"/>
                <w:color w:val="auto"/>
              </w:rPr>
              <w:t>1,681</w:t>
            </w:r>
          </w:p>
        </w:tc>
        <w:tc>
          <w:tcPr>
            <w:tcW w:w="120" w:type="dxa"/>
            <w:vAlign w:val="bottom"/>
            <w:shd w:val="clear" w:color="auto" w:fill="B7E5FF"/>
          </w:tcPr>
          <w:p>
            <w:pPr>
              <w:spacing w:after="0"/>
              <w:rPr>
                <w:sz w:val="11"/>
                <w:szCs w:val="11"/>
                <w:color w:val="auto"/>
              </w:rPr>
            </w:pPr>
          </w:p>
        </w:tc>
        <w:tc>
          <w:tcPr>
            <w:tcW w:w="460" w:type="dxa"/>
            <w:vAlign w:val="bottom"/>
            <w:tcBorders>
              <w:bottom w:val="single" w:sz="8" w:color="auto"/>
            </w:tcBorders>
            <w:shd w:val="clear" w:color="auto" w:fill="B7E5FF"/>
          </w:tcPr>
          <w:p>
            <w:pPr>
              <w:jc w:val="right"/>
              <w:ind w:right="320"/>
              <w:spacing w:after="0" w:line="129" w:lineRule="exact"/>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shd w:val="clear" w:color="auto" w:fill="B7E5FF"/>
          </w:tcPr>
          <w:p>
            <w:pPr>
              <w:ind w:left="760"/>
              <w:spacing w:after="0" w:line="129" w:lineRule="exact"/>
              <w:rPr>
                <w:sz w:val="20"/>
                <w:szCs w:val="20"/>
                <w:color w:val="auto"/>
              </w:rPr>
            </w:pPr>
            <w:r>
              <w:rPr>
                <w:rFonts w:ascii="Arial" w:cs="Arial" w:eastAsia="Arial" w:hAnsi="Arial"/>
                <w:sz w:val="12"/>
                <w:szCs w:val="12"/>
                <w:color w:val="auto"/>
                <w:w w:val="99"/>
              </w:rPr>
              <w:t>—</w:t>
            </w:r>
          </w:p>
        </w:tc>
      </w:tr>
      <w:tr>
        <w:trPr>
          <w:trHeight w:val="140"/>
        </w:trPr>
        <w:tc>
          <w:tcPr>
            <w:tcW w:w="20" w:type="dxa"/>
            <w:vAlign w:val="bottom"/>
          </w:tcPr>
          <w:p>
            <w:pPr>
              <w:spacing w:after="0"/>
              <w:rPr>
                <w:sz w:val="12"/>
                <w:szCs w:val="12"/>
                <w:color w:val="auto"/>
              </w:rPr>
            </w:pPr>
          </w:p>
        </w:tc>
        <w:tc>
          <w:tcPr>
            <w:tcW w:w="5800" w:type="dxa"/>
            <w:vAlign w:val="bottom"/>
            <w:gridSpan w:val="2"/>
          </w:tcPr>
          <w:p>
            <w:pPr>
              <w:spacing w:after="0" w:line="133" w:lineRule="exact"/>
              <w:rPr>
                <w:sz w:val="20"/>
                <w:szCs w:val="20"/>
                <w:color w:val="auto"/>
              </w:rPr>
            </w:pPr>
            <w:r>
              <w:rPr>
                <w:rFonts w:ascii="Arial" w:cs="Arial" w:eastAsia="Arial" w:hAnsi="Arial"/>
                <w:sz w:val="12"/>
                <w:szCs w:val="12"/>
                <w:color w:val="auto"/>
              </w:rPr>
              <w:t>Total</w:t>
            </w:r>
          </w:p>
        </w:tc>
        <w:tc>
          <w:tcPr>
            <w:tcW w:w="220" w:type="dxa"/>
            <w:vAlign w:val="bottom"/>
            <w:tcBorders>
              <w:bottom w:val="single" w:sz="8" w:color="auto"/>
            </w:tcBorders>
          </w:tcPr>
          <w:p>
            <w:pPr>
              <w:jc w:val="right"/>
              <w:ind w:right="85"/>
              <w:spacing w:after="0" w:line="133" w:lineRule="exact"/>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1,681</w:t>
            </w:r>
          </w:p>
        </w:tc>
        <w:tc>
          <w:tcPr>
            <w:tcW w:w="100" w:type="dxa"/>
            <w:vAlign w:val="bottom"/>
          </w:tcPr>
          <w:p>
            <w:pPr>
              <w:spacing w:after="0"/>
              <w:rPr>
                <w:sz w:val="12"/>
                <w:szCs w:val="12"/>
                <w:color w:val="auto"/>
              </w:rPr>
            </w:pPr>
          </w:p>
        </w:tc>
        <w:tc>
          <w:tcPr>
            <w:tcW w:w="280" w:type="dxa"/>
            <w:vAlign w:val="bottom"/>
            <w:tcBorders>
              <w:bottom w:val="single" w:sz="8" w:color="auto"/>
            </w:tcBorders>
          </w:tcPr>
          <w:p>
            <w:pPr>
              <w:jc w:val="right"/>
              <w:ind w:right="140"/>
              <w:spacing w:after="0" w:line="133" w:lineRule="exact"/>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ind w:left="900"/>
              <w:spacing w:after="0" w:line="133" w:lineRule="exact"/>
              <w:rPr>
                <w:sz w:val="20"/>
                <w:szCs w:val="20"/>
                <w:color w:val="auto"/>
              </w:rPr>
            </w:pPr>
            <w:r>
              <w:rPr>
                <w:rFonts w:ascii="Arial" w:cs="Arial" w:eastAsia="Arial" w:hAnsi="Arial"/>
                <w:sz w:val="12"/>
                <w:szCs w:val="12"/>
                <w:color w:val="auto"/>
                <w:w w:val="99"/>
              </w:rPr>
              <w:t>—</w:t>
            </w:r>
          </w:p>
        </w:tc>
        <w:tc>
          <w:tcPr>
            <w:tcW w:w="120" w:type="dxa"/>
            <w:vAlign w:val="bottom"/>
          </w:tcPr>
          <w:p>
            <w:pPr>
              <w:spacing w:after="0"/>
              <w:rPr>
                <w:sz w:val="12"/>
                <w:szCs w:val="12"/>
                <w:color w:val="auto"/>
              </w:rPr>
            </w:pPr>
          </w:p>
        </w:tc>
        <w:tc>
          <w:tcPr>
            <w:tcW w:w="280" w:type="dxa"/>
            <w:vAlign w:val="bottom"/>
            <w:tcBorders>
              <w:bottom w:val="single" w:sz="8" w:color="auto"/>
            </w:tcBorders>
          </w:tcPr>
          <w:p>
            <w:pPr>
              <w:jc w:val="right"/>
              <w:ind w:right="145"/>
              <w:spacing w:after="0" w:line="133" w:lineRule="exact"/>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1,681</w:t>
            </w:r>
          </w:p>
        </w:tc>
        <w:tc>
          <w:tcPr>
            <w:tcW w:w="120" w:type="dxa"/>
            <w:vAlign w:val="bottom"/>
          </w:tcPr>
          <w:p>
            <w:pPr>
              <w:spacing w:after="0"/>
              <w:rPr>
                <w:sz w:val="12"/>
                <w:szCs w:val="12"/>
                <w:color w:val="auto"/>
              </w:rPr>
            </w:pPr>
          </w:p>
        </w:tc>
        <w:tc>
          <w:tcPr>
            <w:tcW w:w="460" w:type="dxa"/>
            <w:vAlign w:val="bottom"/>
            <w:tcBorders>
              <w:bottom w:val="single" w:sz="8" w:color="auto"/>
            </w:tcBorders>
          </w:tcPr>
          <w:p>
            <w:pPr>
              <w:jc w:val="right"/>
              <w:ind w:right="320"/>
              <w:spacing w:after="0" w:line="133" w:lineRule="exact"/>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tcPr>
          <w:p>
            <w:pPr>
              <w:ind w:left="760"/>
              <w:spacing w:after="0" w:line="133" w:lineRule="exact"/>
              <w:rPr>
                <w:sz w:val="20"/>
                <w:szCs w:val="20"/>
                <w:color w:val="auto"/>
              </w:rPr>
            </w:pPr>
            <w:r>
              <w:rPr>
                <w:rFonts w:ascii="Arial" w:cs="Arial" w:eastAsia="Arial" w:hAnsi="Arial"/>
                <w:sz w:val="12"/>
                <w:szCs w:val="12"/>
                <w:color w:val="auto"/>
                <w:w w:val="99"/>
              </w:rPr>
              <w:t>—</w:t>
            </w:r>
          </w:p>
        </w:tc>
      </w:tr>
      <w:tr>
        <w:trPr>
          <w:trHeight w:val="582"/>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60" w:type="dxa"/>
            <w:vAlign w:val="bottom"/>
            <w:gridSpan w:val="6"/>
          </w:tcPr>
          <w:p>
            <w:pPr>
              <w:jc w:val="center"/>
              <w:ind w:left="462"/>
              <w:spacing w:after="0"/>
              <w:rPr>
                <w:sz w:val="20"/>
                <w:szCs w:val="20"/>
                <w:color w:val="auto"/>
              </w:rPr>
            </w:pPr>
            <w:r>
              <w:rPr>
                <w:rFonts w:ascii="Arial" w:cs="Arial" w:eastAsia="Arial" w:hAnsi="Arial"/>
                <w:sz w:val="12"/>
                <w:szCs w:val="12"/>
                <w:b w:val="1"/>
                <w:bCs w:val="1"/>
                <w:color w:val="auto"/>
                <w:w w:val="91"/>
              </w:rPr>
              <w:t>Fair Value Measurements at December 31, 2018</w:t>
            </w:r>
          </w:p>
        </w:tc>
        <w:tc>
          <w:tcPr>
            <w:tcW w:w="900" w:type="dxa"/>
            <w:vAlign w:val="bottom"/>
          </w:tcPr>
          <w:p>
            <w:pPr>
              <w:spacing w:after="0"/>
              <w:rPr>
                <w:sz w:val="24"/>
                <w:szCs w:val="24"/>
                <w:color w:val="auto"/>
              </w:rPr>
            </w:pPr>
          </w:p>
        </w:tc>
      </w:tr>
      <w:tr>
        <w:trPr>
          <w:trHeight w:val="157"/>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0"/>
              </w:rPr>
              <w:t>Total</w:t>
            </w: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ind w:left="100"/>
              <w:spacing w:after="0"/>
              <w:rPr>
                <w:sz w:val="20"/>
                <w:szCs w:val="20"/>
                <w:color w:val="auto"/>
              </w:rPr>
            </w:pPr>
            <w:r>
              <w:rPr>
                <w:rFonts w:ascii="Arial" w:cs="Arial" w:eastAsia="Arial" w:hAnsi="Arial"/>
                <w:sz w:val="12"/>
                <w:szCs w:val="12"/>
                <w:b w:val="1"/>
                <w:bCs w:val="1"/>
                <w:color w:val="auto"/>
                <w:w w:val="94"/>
              </w:rPr>
              <w:t>Using Fair Value Hierarchy</w:t>
            </w: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97"/>
        </w:trPr>
        <w:tc>
          <w:tcPr>
            <w:tcW w:w="5820" w:type="dxa"/>
            <w:vAlign w:val="bottom"/>
            <w:gridSpan w:val="3"/>
          </w:tcPr>
          <w:p>
            <w:pPr>
              <w:spacing w:after="0" w:line="78" w:lineRule="exact"/>
              <w:rPr>
                <w:sz w:val="20"/>
                <w:szCs w:val="20"/>
                <w:color w:val="auto"/>
              </w:rPr>
            </w:pPr>
            <w:r>
              <w:rPr>
                <w:rFonts w:ascii="Arial" w:cs="Arial" w:eastAsia="Arial" w:hAnsi="Arial"/>
                <w:sz w:val="8"/>
                <w:szCs w:val="8"/>
                <w:color w:val="auto"/>
              </w:rPr>
              <w:t>Assets</w:t>
            </w:r>
          </w:p>
        </w:tc>
        <w:tc>
          <w:tcPr>
            <w:tcW w:w="220" w:type="dxa"/>
            <w:vAlign w:val="bottom"/>
          </w:tcPr>
          <w:p>
            <w:pPr>
              <w:spacing w:after="0"/>
              <w:rPr>
                <w:sz w:val="8"/>
                <w:szCs w:val="8"/>
                <w:color w:val="auto"/>
              </w:rPr>
            </w:pPr>
          </w:p>
        </w:tc>
        <w:tc>
          <w:tcPr>
            <w:tcW w:w="1200" w:type="dxa"/>
            <w:vAlign w:val="bottom"/>
            <w:gridSpan w:val="2"/>
          </w:tcPr>
          <w:p>
            <w:pPr>
              <w:jc w:val="center"/>
              <w:ind w:right="340"/>
              <w:spacing w:after="0" w:line="78" w:lineRule="exact"/>
              <w:rPr>
                <w:sz w:val="20"/>
                <w:szCs w:val="20"/>
                <w:color w:val="auto"/>
              </w:rPr>
            </w:pPr>
            <w:r>
              <w:rPr>
                <w:rFonts w:ascii="Arial" w:cs="Arial" w:eastAsia="Arial" w:hAnsi="Arial"/>
                <w:sz w:val="8"/>
                <w:szCs w:val="8"/>
                <w:b w:val="1"/>
                <w:bCs w:val="1"/>
                <w:color w:val="auto"/>
              </w:rPr>
              <w:t>Fair Value</w:t>
            </w:r>
          </w:p>
        </w:tc>
        <w:tc>
          <w:tcPr>
            <w:tcW w:w="280" w:type="dxa"/>
            <w:vAlign w:val="bottom"/>
          </w:tcPr>
          <w:p>
            <w:pPr>
              <w:spacing w:after="0"/>
              <w:rPr>
                <w:sz w:val="8"/>
                <w:szCs w:val="8"/>
                <w:color w:val="auto"/>
              </w:rPr>
            </w:pPr>
          </w:p>
        </w:tc>
        <w:tc>
          <w:tcPr>
            <w:tcW w:w="1040" w:type="dxa"/>
            <w:vAlign w:val="bottom"/>
          </w:tcPr>
          <w:p>
            <w:pPr>
              <w:ind w:left="200"/>
              <w:spacing w:after="0" w:line="88" w:lineRule="exact"/>
              <w:rPr>
                <w:sz w:val="20"/>
                <w:szCs w:val="20"/>
                <w:color w:val="auto"/>
              </w:rPr>
            </w:pPr>
            <w:r>
              <w:rPr>
                <w:rFonts w:ascii="Arial" w:cs="Arial" w:eastAsia="Arial" w:hAnsi="Arial"/>
                <w:sz w:val="10"/>
                <w:szCs w:val="10"/>
                <w:b w:val="1"/>
                <w:bCs w:val="1"/>
                <w:color w:val="auto"/>
              </w:rPr>
              <w:t>Level 1</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gridSpan w:val="2"/>
          </w:tcPr>
          <w:p>
            <w:pPr>
              <w:ind w:left="200"/>
              <w:spacing w:after="0" w:line="88" w:lineRule="exact"/>
              <w:rPr>
                <w:sz w:val="20"/>
                <w:szCs w:val="20"/>
                <w:color w:val="auto"/>
              </w:rPr>
            </w:pPr>
            <w:r>
              <w:rPr>
                <w:rFonts w:ascii="Arial" w:cs="Arial" w:eastAsia="Arial" w:hAnsi="Arial"/>
                <w:sz w:val="10"/>
                <w:szCs w:val="10"/>
                <w:b w:val="1"/>
                <w:bCs w:val="1"/>
                <w:color w:val="auto"/>
              </w:rPr>
              <w:t>Level 2</w:t>
            </w:r>
          </w:p>
        </w:tc>
        <w:tc>
          <w:tcPr>
            <w:tcW w:w="460" w:type="dxa"/>
            <w:vAlign w:val="bottom"/>
          </w:tcPr>
          <w:p>
            <w:pPr>
              <w:spacing w:after="0"/>
              <w:rPr>
                <w:sz w:val="8"/>
                <w:szCs w:val="8"/>
                <w:color w:val="auto"/>
              </w:rPr>
            </w:pPr>
          </w:p>
        </w:tc>
        <w:tc>
          <w:tcPr>
            <w:tcW w:w="900" w:type="dxa"/>
            <w:vAlign w:val="bottom"/>
          </w:tcPr>
          <w:p>
            <w:pPr>
              <w:ind w:left="40"/>
              <w:spacing w:after="0" w:line="88" w:lineRule="exact"/>
              <w:rPr>
                <w:sz w:val="20"/>
                <w:szCs w:val="20"/>
                <w:color w:val="auto"/>
              </w:rPr>
            </w:pPr>
            <w:r>
              <w:rPr>
                <w:rFonts w:ascii="Arial" w:cs="Arial" w:eastAsia="Arial" w:hAnsi="Arial"/>
                <w:sz w:val="10"/>
                <w:szCs w:val="10"/>
                <w:b w:val="1"/>
                <w:bCs w:val="1"/>
                <w:color w:val="auto"/>
              </w:rPr>
              <w:t>Level 3</w:t>
            </w:r>
          </w:p>
        </w:tc>
      </w:tr>
      <w:tr>
        <w:trPr>
          <w:trHeight w:val="20"/>
        </w:trPr>
        <w:tc>
          <w:tcPr>
            <w:tcW w:w="20" w:type="dxa"/>
            <w:vAlign w:val="bottom"/>
            <w:tcBorders>
              <w:top w:val="single" w:sz="8" w:color="auto"/>
              <w:bottom w:val="single" w:sz="8" w:color="B7E5FF"/>
            </w:tcBorders>
          </w:tcPr>
          <w:p>
            <w:pPr>
              <w:spacing w:after="0" w:line="20" w:lineRule="exact"/>
              <w:rPr>
                <w:sz w:val="1"/>
                <w:szCs w:val="1"/>
                <w:color w:val="auto"/>
              </w:rPr>
            </w:pPr>
          </w:p>
        </w:tc>
        <w:tc>
          <w:tcPr>
            <w:tcW w:w="300" w:type="dxa"/>
            <w:vAlign w:val="bottom"/>
            <w:tcBorders>
              <w:top w:val="single" w:sz="8" w:color="auto"/>
              <w:bottom w:val="single" w:sz="8" w:color="B7E5FF"/>
            </w:tcBorders>
          </w:tcPr>
          <w:p>
            <w:pPr>
              <w:spacing w:after="0" w:line="20" w:lineRule="exact"/>
              <w:rPr>
                <w:sz w:val="1"/>
                <w:szCs w:val="1"/>
                <w:color w:val="auto"/>
              </w:rPr>
            </w:pPr>
          </w:p>
        </w:tc>
        <w:tc>
          <w:tcPr>
            <w:tcW w:w="5500" w:type="dxa"/>
            <w:vAlign w:val="bottom"/>
            <w:tcBorders>
              <w:bottom w:val="single" w:sz="8" w:color="B7E5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7E5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7E5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7E5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29"/>
        </w:trPr>
        <w:tc>
          <w:tcPr>
            <w:tcW w:w="5820" w:type="dxa"/>
            <w:vAlign w:val="bottom"/>
            <w:gridSpan w:val="3"/>
            <w:shd w:val="clear" w:color="auto" w:fill="B7E5FF"/>
          </w:tcPr>
          <w:p>
            <w:pPr>
              <w:spacing w:after="0" w:line="129" w:lineRule="exact"/>
              <w:rPr>
                <w:sz w:val="20"/>
                <w:szCs w:val="20"/>
                <w:color w:val="auto"/>
              </w:rPr>
            </w:pPr>
            <w:r>
              <w:rPr>
                <w:rFonts w:ascii="Arial" w:cs="Arial" w:eastAsia="Arial" w:hAnsi="Arial"/>
                <w:sz w:val="12"/>
                <w:szCs w:val="12"/>
                <w:color w:val="auto"/>
              </w:rPr>
              <w:t>Company-owned life insurance</w:t>
            </w:r>
          </w:p>
        </w:tc>
        <w:tc>
          <w:tcPr>
            <w:tcW w:w="220" w:type="dxa"/>
            <w:vAlign w:val="bottom"/>
            <w:tcBorders>
              <w:bottom w:val="single" w:sz="8" w:color="auto"/>
            </w:tcBorders>
            <w:shd w:val="clear" w:color="auto" w:fill="B7E5FF"/>
          </w:tcPr>
          <w:p>
            <w:pPr>
              <w:jc w:val="right"/>
              <w:ind w:right="105"/>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B7E5FF"/>
          </w:tcPr>
          <w:p>
            <w:pPr>
              <w:jc w:val="right"/>
              <w:spacing w:after="0" w:line="129" w:lineRule="exact"/>
              <w:rPr>
                <w:sz w:val="20"/>
                <w:szCs w:val="20"/>
                <w:color w:val="auto"/>
              </w:rPr>
            </w:pPr>
            <w:r>
              <w:rPr>
                <w:rFonts w:ascii="Arial" w:cs="Arial" w:eastAsia="Arial" w:hAnsi="Arial"/>
                <w:sz w:val="12"/>
                <w:szCs w:val="12"/>
                <w:color w:val="auto"/>
              </w:rPr>
              <w:t>1,491</w:t>
            </w:r>
          </w:p>
        </w:tc>
        <w:tc>
          <w:tcPr>
            <w:tcW w:w="100" w:type="dxa"/>
            <w:vAlign w:val="bottom"/>
            <w:shd w:val="clear" w:color="auto" w:fill="B7E5FF"/>
          </w:tcPr>
          <w:p>
            <w:pPr>
              <w:spacing w:after="0"/>
              <w:rPr>
                <w:sz w:val="11"/>
                <w:szCs w:val="11"/>
                <w:color w:val="auto"/>
              </w:rPr>
            </w:pPr>
          </w:p>
        </w:tc>
        <w:tc>
          <w:tcPr>
            <w:tcW w:w="280" w:type="dxa"/>
            <w:vAlign w:val="bottom"/>
            <w:tcBorders>
              <w:bottom w:val="single" w:sz="8" w:color="auto"/>
            </w:tcBorders>
            <w:shd w:val="clear" w:color="auto" w:fill="B7E5FF"/>
          </w:tcPr>
          <w:p>
            <w:pPr>
              <w:jc w:val="right"/>
              <w:ind w:right="140"/>
              <w:spacing w:after="0" w:line="129" w:lineRule="exact"/>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B7E5FF"/>
          </w:tcPr>
          <w:p>
            <w:pPr>
              <w:ind w:left="900"/>
              <w:spacing w:after="0" w:line="129" w:lineRule="exact"/>
              <w:rPr>
                <w:sz w:val="20"/>
                <w:szCs w:val="20"/>
                <w:color w:val="auto"/>
              </w:rPr>
            </w:pPr>
            <w:r>
              <w:rPr>
                <w:rFonts w:ascii="Arial" w:cs="Arial" w:eastAsia="Arial" w:hAnsi="Arial"/>
                <w:sz w:val="12"/>
                <w:szCs w:val="12"/>
                <w:color w:val="auto"/>
                <w:w w:val="99"/>
              </w:rPr>
              <w:t>—</w:t>
            </w:r>
          </w:p>
        </w:tc>
        <w:tc>
          <w:tcPr>
            <w:tcW w:w="120" w:type="dxa"/>
            <w:vAlign w:val="bottom"/>
            <w:shd w:val="clear" w:color="auto" w:fill="B7E5FF"/>
          </w:tcPr>
          <w:p>
            <w:pPr>
              <w:spacing w:after="0"/>
              <w:rPr>
                <w:sz w:val="11"/>
                <w:szCs w:val="11"/>
                <w:color w:val="auto"/>
              </w:rPr>
            </w:pPr>
          </w:p>
        </w:tc>
        <w:tc>
          <w:tcPr>
            <w:tcW w:w="280" w:type="dxa"/>
            <w:vAlign w:val="bottom"/>
            <w:tcBorders>
              <w:bottom w:val="single" w:sz="8" w:color="auto"/>
            </w:tcBorders>
            <w:shd w:val="clear" w:color="auto" w:fill="B7E5FF"/>
          </w:tcPr>
          <w:p>
            <w:pPr>
              <w:jc w:val="right"/>
              <w:ind w:right="165"/>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B7E5FF"/>
          </w:tcPr>
          <w:p>
            <w:pPr>
              <w:jc w:val="right"/>
              <w:spacing w:after="0" w:line="129" w:lineRule="exact"/>
              <w:rPr>
                <w:sz w:val="20"/>
                <w:szCs w:val="20"/>
                <w:color w:val="auto"/>
              </w:rPr>
            </w:pPr>
            <w:r>
              <w:rPr>
                <w:rFonts w:ascii="Arial" w:cs="Arial" w:eastAsia="Arial" w:hAnsi="Arial"/>
                <w:sz w:val="12"/>
                <w:szCs w:val="12"/>
                <w:color w:val="auto"/>
              </w:rPr>
              <w:t>1,491</w:t>
            </w:r>
          </w:p>
        </w:tc>
        <w:tc>
          <w:tcPr>
            <w:tcW w:w="120" w:type="dxa"/>
            <w:vAlign w:val="bottom"/>
            <w:shd w:val="clear" w:color="auto" w:fill="B7E5FF"/>
          </w:tcPr>
          <w:p>
            <w:pPr>
              <w:spacing w:after="0"/>
              <w:rPr>
                <w:sz w:val="11"/>
                <w:szCs w:val="11"/>
                <w:color w:val="auto"/>
              </w:rPr>
            </w:pPr>
          </w:p>
        </w:tc>
        <w:tc>
          <w:tcPr>
            <w:tcW w:w="460" w:type="dxa"/>
            <w:vAlign w:val="bottom"/>
            <w:tcBorders>
              <w:bottom w:val="single" w:sz="8" w:color="auto"/>
            </w:tcBorders>
            <w:shd w:val="clear" w:color="auto" w:fill="B7E5FF"/>
          </w:tcPr>
          <w:p>
            <w:pPr>
              <w:jc w:val="right"/>
              <w:ind w:right="320"/>
              <w:spacing w:after="0" w:line="129" w:lineRule="exact"/>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shd w:val="clear" w:color="auto" w:fill="B7E5FF"/>
          </w:tcPr>
          <w:p>
            <w:pPr>
              <w:ind w:left="740"/>
              <w:spacing w:after="0" w:line="129" w:lineRule="exact"/>
              <w:rPr>
                <w:sz w:val="20"/>
                <w:szCs w:val="20"/>
                <w:color w:val="auto"/>
              </w:rPr>
            </w:pPr>
            <w:r>
              <w:rPr>
                <w:rFonts w:ascii="Arial" w:cs="Arial" w:eastAsia="Arial" w:hAnsi="Arial"/>
                <w:sz w:val="12"/>
                <w:szCs w:val="12"/>
                <w:color w:val="auto"/>
              </w:rPr>
              <w:t>—</w:t>
            </w:r>
          </w:p>
        </w:tc>
      </w:tr>
      <w:tr>
        <w:trPr>
          <w:trHeight w:val="140"/>
        </w:trPr>
        <w:tc>
          <w:tcPr>
            <w:tcW w:w="5820" w:type="dxa"/>
            <w:vAlign w:val="bottom"/>
            <w:gridSpan w:val="3"/>
          </w:tcPr>
          <w:p>
            <w:pPr>
              <w:spacing w:after="0" w:line="133" w:lineRule="exact"/>
              <w:rPr>
                <w:sz w:val="20"/>
                <w:szCs w:val="20"/>
                <w:color w:val="auto"/>
              </w:rPr>
            </w:pPr>
            <w:r>
              <w:rPr>
                <w:rFonts w:ascii="Arial" w:cs="Arial" w:eastAsia="Arial" w:hAnsi="Arial"/>
                <w:sz w:val="12"/>
                <w:szCs w:val="12"/>
                <w:color w:val="auto"/>
              </w:rPr>
              <w:t>Total</w:t>
            </w:r>
          </w:p>
        </w:tc>
        <w:tc>
          <w:tcPr>
            <w:tcW w:w="220" w:type="dxa"/>
            <w:vAlign w:val="bottom"/>
            <w:tcBorders>
              <w:bottom w:val="single" w:sz="8" w:color="auto"/>
            </w:tcBorders>
          </w:tcPr>
          <w:p>
            <w:pPr>
              <w:jc w:val="right"/>
              <w:ind w:right="105"/>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1,491</w:t>
            </w:r>
          </w:p>
        </w:tc>
        <w:tc>
          <w:tcPr>
            <w:tcW w:w="100" w:type="dxa"/>
            <w:vAlign w:val="bottom"/>
          </w:tcPr>
          <w:p>
            <w:pPr>
              <w:spacing w:after="0"/>
              <w:rPr>
                <w:sz w:val="12"/>
                <w:szCs w:val="12"/>
                <w:color w:val="auto"/>
              </w:rPr>
            </w:pPr>
          </w:p>
        </w:tc>
        <w:tc>
          <w:tcPr>
            <w:tcW w:w="280" w:type="dxa"/>
            <w:vAlign w:val="bottom"/>
            <w:tcBorders>
              <w:bottom w:val="single" w:sz="8" w:color="auto"/>
            </w:tcBorders>
          </w:tcPr>
          <w:p>
            <w:pPr>
              <w:jc w:val="right"/>
              <w:ind w:right="140"/>
              <w:spacing w:after="0" w:line="133" w:lineRule="exact"/>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ind w:left="900"/>
              <w:spacing w:after="0" w:line="133" w:lineRule="exact"/>
              <w:rPr>
                <w:sz w:val="20"/>
                <w:szCs w:val="20"/>
                <w:color w:val="auto"/>
              </w:rPr>
            </w:pPr>
            <w:r>
              <w:rPr>
                <w:rFonts w:ascii="Arial" w:cs="Arial" w:eastAsia="Arial" w:hAnsi="Arial"/>
                <w:sz w:val="12"/>
                <w:szCs w:val="12"/>
                <w:color w:val="auto"/>
                <w:w w:val="99"/>
              </w:rPr>
              <w:t>—</w:t>
            </w:r>
          </w:p>
        </w:tc>
        <w:tc>
          <w:tcPr>
            <w:tcW w:w="120" w:type="dxa"/>
            <w:vAlign w:val="bottom"/>
          </w:tcPr>
          <w:p>
            <w:pPr>
              <w:spacing w:after="0"/>
              <w:rPr>
                <w:sz w:val="12"/>
                <w:szCs w:val="12"/>
                <w:color w:val="auto"/>
              </w:rPr>
            </w:pPr>
          </w:p>
        </w:tc>
        <w:tc>
          <w:tcPr>
            <w:tcW w:w="280" w:type="dxa"/>
            <w:vAlign w:val="bottom"/>
            <w:tcBorders>
              <w:bottom w:val="single" w:sz="8" w:color="auto"/>
            </w:tcBorders>
          </w:tcPr>
          <w:p>
            <w:pPr>
              <w:jc w:val="right"/>
              <w:ind w:right="165"/>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1,491</w:t>
            </w:r>
          </w:p>
        </w:tc>
        <w:tc>
          <w:tcPr>
            <w:tcW w:w="120" w:type="dxa"/>
            <w:vAlign w:val="bottom"/>
          </w:tcPr>
          <w:p>
            <w:pPr>
              <w:spacing w:after="0"/>
              <w:rPr>
                <w:sz w:val="12"/>
                <w:szCs w:val="12"/>
                <w:color w:val="auto"/>
              </w:rPr>
            </w:pPr>
          </w:p>
        </w:tc>
        <w:tc>
          <w:tcPr>
            <w:tcW w:w="460" w:type="dxa"/>
            <w:vAlign w:val="bottom"/>
            <w:tcBorders>
              <w:bottom w:val="single" w:sz="8" w:color="auto"/>
            </w:tcBorders>
          </w:tcPr>
          <w:p>
            <w:pPr>
              <w:jc w:val="right"/>
              <w:ind w:right="320"/>
              <w:spacing w:after="0" w:line="133" w:lineRule="exact"/>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tcPr>
          <w:p>
            <w:pPr>
              <w:ind w:left="740"/>
              <w:spacing w:after="0" w:line="133" w:lineRule="exact"/>
              <w:rPr>
                <w:sz w:val="20"/>
                <w:szCs w:val="20"/>
                <w:color w:val="auto"/>
              </w:rPr>
            </w:pPr>
            <w:r>
              <w:rPr>
                <w:rFonts w:ascii="Arial" w:cs="Arial" w:eastAsia="Arial" w:hAnsi="Arial"/>
                <w:sz w:val="12"/>
                <w:szCs w:val="12"/>
                <w:color w:val="auto"/>
              </w:rPr>
              <w:t>—</w:t>
            </w:r>
          </w:p>
        </w:tc>
      </w:tr>
    </w:tbl>
    <w:p>
      <w:pPr>
        <w:spacing w:after="0" w:line="63" w:lineRule="exact"/>
        <w:rPr>
          <w:sz w:val="20"/>
          <w:szCs w:val="20"/>
          <w:color w:val="auto"/>
        </w:rPr>
      </w:pPr>
    </w:p>
    <w:p>
      <w:pPr>
        <w:ind w:right="220" w:firstLine="216"/>
        <w:spacing w:after="0" w:line="276" w:lineRule="auto"/>
        <w:rPr>
          <w:sz w:val="20"/>
          <w:szCs w:val="20"/>
          <w:color w:val="auto"/>
        </w:rPr>
      </w:pPr>
      <w:r>
        <w:rPr>
          <w:rFonts w:ascii="Arial" w:cs="Arial" w:eastAsia="Arial" w:hAnsi="Arial"/>
          <w:sz w:val="12"/>
          <w:szCs w:val="12"/>
          <w:color w:val="auto"/>
        </w:rPr>
        <w:t>The fair values of Company-owned life insurance assets are based on quotes for like instruments with similar credit ratings and terms. The Company did not hold any Level 3 investments as of June 30, 2019 or December 31, 2018, respectively, so related disclosures have not been included.</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18 – Commitments and Contingencies</w:t>
      </w:r>
    </w:p>
    <w:p>
      <w:pPr>
        <w:spacing w:after="0" w:line="82" w:lineRule="exact"/>
        <w:rPr>
          <w:sz w:val="20"/>
          <w:szCs w:val="20"/>
          <w:color w:val="auto"/>
        </w:rPr>
      </w:pPr>
    </w:p>
    <w:p>
      <w:pPr>
        <w:ind w:right="80" w:firstLine="216"/>
        <w:spacing w:after="0" w:line="257" w:lineRule="auto"/>
        <w:rPr>
          <w:sz w:val="20"/>
          <w:szCs w:val="20"/>
          <w:color w:val="auto"/>
        </w:rPr>
      </w:pPr>
      <w:r>
        <w:rPr>
          <w:rFonts w:ascii="Arial" w:cs="Arial" w:eastAsia="Arial" w:hAnsi="Arial"/>
          <w:sz w:val="12"/>
          <w:szCs w:val="12"/>
          <w:color w:val="auto"/>
        </w:rPr>
        <w:t>The Company previously disclosed in its Annual Report filed on Form 10-K and 10-K/A for the year ended December 31, 2018 that AC Products, Inc. (“ACP”), a wholly owned subsidiary, has been operating a groundwater treatment system to hydraulically contain groundwater contamination emanating from ACP’s site, the principal contaminant of which is perchloroethylene. As of June 30, 2019, ACP believes it is close to meeting the conditions for closure of the groundwater treatment system, but continues to operate this system while in discussions with the relevant authorities. As of June 30, 2019, the Company believes that the range of potential-known liabilities associated with the balance of the ACP water remediation program is approximately $0.1 million to $1.0 million. The low and high ends of the range are based on the length of operation of the treatment system as determined by groundwater modeling. Costs of operation include the operation and maintenance of the extraction well, groundwater monitoring and program management.</w:t>
      </w:r>
    </w:p>
    <w:p>
      <w:pPr>
        <w:spacing w:after="0" w:line="54" w:lineRule="exact"/>
        <w:rPr>
          <w:sz w:val="20"/>
          <w:szCs w:val="20"/>
          <w:color w:val="auto"/>
        </w:rPr>
      </w:pPr>
    </w:p>
    <w:p>
      <w:pPr>
        <w:ind w:right="200" w:firstLine="216"/>
        <w:spacing w:after="0" w:line="290" w:lineRule="auto"/>
        <w:rPr>
          <w:sz w:val="20"/>
          <w:szCs w:val="20"/>
          <w:color w:val="auto"/>
        </w:rPr>
      </w:pPr>
      <w:r>
        <w:rPr>
          <w:rFonts w:ascii="Arial" w:cs="Arial" w:eastAsia="Arial" w:hAnsi="Arial"/>
          <w:sz w:val="11"/>
          <w:szCs w:val="11"/>
          <w:color w:val="auto"/>
        </w:rPr>
        <w:t>The Company previously disclosed in its Annual Report filed on Form 10-K and 10-K/A for the year ended December 31, 2018 that an inactive subsidiary of the Company that was acquired in 1978 sold certain products containing asbestos, primarily on an installed basis, and is among the defendants in numerous lawsuits alleging injury due to exposure to asbestos. During the six months ended June 30, 2019, there have been no significant changes to the facts or circumstances of this previously disclosed matter, aside from on-going claims and routine payments associated with this litigation. Based on a continued analysis of the existing and anticipated future claims against this subsidiary, it is currently projected that the subsidiary’s total liability over the next 50 years for these claims is approximately $1.7 million (excluding costs of defense).</w:t>
      </w:r>
    </w:p>
    <w:p>
      <w:pPr>
        <w:spacing w:after="0" w:line="37" w:lineRule="exact"/>
        <w:rPr>
          <w:sz w:val="20"/>
          <w:szCs w:val="20"/>
          <w:color w:val="auto"/>
        </w:rPr>
      </w:pPr>
    </w:p>
    <w:p>
      <w:pPr>
        <w:jc w:val="both"/>
        <w:ind w:right="280" w:firstLine="216"/>
        <w:spacing w:after="0" w:line="298" w:lineRule="auto"/>
        <w:rPr>
          <w:sz w:val="20"/>
          <w:szCs w:val="20"/>
          <w:color w:val="auto"/>
        </w:rPr>
      </w:pPr>
      <w:r>
        <w:rPr>
          <w:rFonts w:ascii="Arial" w:cs="Arial" w:eastAsia="Arial" w:hAnsi="Arial"/>
          <w:sz w:val="11"/>
          <w:szCs w:val="11"/>
          <w:color w:val="auto"/>
        </w:rPr>
        <w:t>The Company believes, although there can be no assurance regarding the outcome of other unrelated environmental matters, that it has made adequate accruals for costs associated with other environmental problems of which it is aware. Approximately $0.2 million was accrued at June 30, 2019 and December 31, 2018, respectively, to provide for such anticipated future environmental assessments and remediation costs. The Company is party to other litigation which management currently believes will not have a material adverse effect on the Company’s results of operations, cash flows or financial condition.</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23" w:name="page24"/>
    <w:bookmarkEnd w:id="23"/>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Management’s Discussion and Analysis</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2. </w:t>
      </w:r>
      <w:r>
        <w:rPr>
          <w:rFonts w:ascii="Arial" w:cs="Arial" w:eastAsia="Arial" w:hAnsi="Arial"/>
          <w:sz w:val="12"/>
          <w:szCs w:val="12"/>
          <w:b w:val="1"/>
          <w:bCs w:val="1"/>
          <w:i w:val="1"/>
          <w:iCs w:val="1"/>
          <w:color w:val="auto"/>
        </w:rPr>
        <w:t>Management’s Discussion and Analysis of Financial Condition and Results of Operations</w:t>
      </w:r>
      <w:r>
        <w:rPr>
          <w:rFonts w:ascii="Arial" w:cs="Arial" w:eastAsia="Arial" w:hAnsi="Arial"/>
          <w:sz w:val="12"/>
          <w:szCs w:val="12"/>
          <w:b w:val="1"/>
          <w:bCs w:val="1"/>
          <w:color w:val="auto"/>
        </w:rPr>
        <w:t>.</w:t>
      </w:r>
    </w:p>
    <w:p>
      <w:pPr>
        <w:spacing w:after="0" w:line="9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As used in this Report, the terms “Quaker”, the “Company”, “we” and “our” refer to Quaker Chemical Corporation, its subsidiaries, and associated companies, unless the context otherwise requires.</w:t>
      </w:r>
    </w:p>
    <w:p>
      <w:pPr>
        <w:spacing w:after="0" w:line="96" w:lineRule="exact"/>
        <w:rPr>
          <w:sz w:val="20"/>
          <w:szCs w:val="20"/>
          <w:color w:val="auto"/>
        </w:rPr>
      </w:pPr>
    </w:p>
    <w:p>
      <w:pPr>
        <w:ind w:right="20" w:firstLine="216"/>
        <w:spacing w:after="0" w:line="327" w:lineRule="auto"/>
        <w:rPr>
          <w:sz w:val="20"/>
          <w:szCs w:val="20"/>
          <w:color w:val="auto"/>
        </w:rPr>
      </w:pPr>
      <w:r>
        <w:rPr>
          <w:rFonts w:ascii="Arial" w:cs="Arial" w:eastAsia="Arial" w:hAnsi="Arial"/>
          <w:sz w:val="10"/>
          <w:szCs w:val="10"/>
          <w:color w:val="auto"/>
        </w:rPr>
        <w:t>On August 1, 2019, Quaker Chemical Corporation completed its combination with Houghton International, Inc. (“Houghton”) (herein referred to as “the Combination”). The results of operations of Houghton are not included in the Company’s results herein described below as the date of closing was after June 30, 2019. As of August 1, 2019, Quaker Houghton is the global leader in industrial process fluids. With a robust presence around the world, including operations in over 25 countries, our customers include thousands of the world’s most advanced and specialized steel, aluminum, automotive, aerospace, offshore, can, mining, and metalworking companies. Our high-performing, innovative and sustainable solutions are backed by best-in-class technology, deep process knowledge, and customized services. Quaker Houghton is headquartered in Conshohocken, Pennsylvania, located near Philadelphia in the United States.</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Executive Summary</w:t>
      </w:r>
    </w:p>
    <w:p>
      <w:pPr>
        <w:spacing w:after="0" w:line="87" w:lineRule="exact"/>
        <w:rPr>
          <w:sz w:val="20"/>
          <w:szCs w:val="20"/>
          <w:color w:val="auto"/>
        </w:rPr>
      </w:pPr>
    </w:p>
    <w:p>
      <w:pPr>
        <w:ind w:right="40" w:firstLine="216"/>
        <w:spacing w:after="0" w:line="259" w:lineRule="auto"/>
        <w:rPr>
          <w:sz w:val="20"/>
          <w:szCs w:val="20"/>
          <w:color w:val="auto"/>
        </w:rPr>
      </w:pPr>
      <w:r>
        <w:rPr>
          <w:rFonts w:ascii="Arial" w:cs="Arial" w:eastAsia="Arial" w:hAnsi="Arial"/>
          <w:sz w:val="12"/>
          <w:szCs w:val="12"/>
          <w:color w:val="auto"/>
        </w:rPr>
        <w:t>The Company’s second quarter of 2019 operating performance was negatively impacted by foreign currency translation and certain end-market challenges. Specifically, net sales of $205.9 million in the second quarter of 2019 decreased 7% compared to $222.0 million in the second quarter of 2018 driven by a negative impact from foreign currency translation of 3% as well as lower volumes resulting from challenging end-market conditions. Despite the quarter-over-quarter decrease in net sales, the Company’s current quarter operating earnings benefited from both a consistent gross margin of 36.5% and an 8% decrease in selling, general and administrative expenses (“SG&amp;A”). See the Consolidated Operations Review, in the Operations section of this Item, below.</w:t>
      </w:r>
    </w:p>
    <w:p>
      <w:pPr>
        <w:spacing w:after="0" w:line="71" w:lineRule="exact"/>
        <w:rPr>
          <w:sz w:val="20"/>
          <w:szCs w:val="20"/>
          <w:color w:val="auto"/>
        </w:rPr>
      </w:pPr>
    </w:p>
    <w:p>
      <w:pPr>
        <w:ind w:right="80" w:firstLine="216"/>
        <w:spacing w:after="0" w:line="257" w:lineRule="auto"/>
        <w:rPr>
          <w:sz w:val="20"/>
          <w:szCs w:val="20"/>
          <w:color w:val="auto"/>
        </w:rPr>
      </w:pPr>
      <w:r>
        <w:rPr>
          <w:rFonts w:ascii="Arial" w:cs="Arial" w:eastAsia="Arial" w:hAnsi="Arial"/>
          <w:sz w:val="12"/>
          <w:szCs w:val="12"/>
          <w:color w:val="auto"/>
        </w:rPr>
        <w:t>The Company’s second quarter of 2019 net income and earnings per diluted share were $15.6 million and $1.17, respectively, compared to $19.2 million and $1.44 per diluted share, respectively, in the second quarter of 2018. During the second quarter of 2019, the Company incurred $5.5 million, or $0.34 per diluted share, of total acquisition-related expenses including costs associated with the Combination, compared to $4.5 million, or $0.29 per diluted share, of similar total combination-related expenses during the second quarter of 2018. Excluding Houghton costs and all other non-core items in each period, the Company’s current quarter adjusted EBITDA and non-GAAP earnings per diluted share were $31.4 million and $1.56, respectively, compared to $32.2 million and $1.59, respectively, in the second quarter of 2018. These quarter-over-quarter decreases were primarily due to the negative impact of foreign exchange on earnings of approximately 3% or $0.04 per diluted share. See the Non-GAAP Measures section of this Item, below.</w:t>
      </w:r>
    </w:p>
    <w:p>
      <w:pPr>
        <w:spacing w:after="0" w:line="63" w:lineRule="exact"/>
        <w:rPr>
          <w:sz w:val="20"/>
          <w:szCs w:val="20"/>
          <w:color w:val="auto"/>
        </w:rPr>
      </w:pPr>
    </w:p>
    <w:p>
      <w:pPr>
        <w:ind w:firstLine="216"/>
        <w:spacing w:after="0" w:line="286" w:lineRule="auto"/>
        <w:rPr>
          <w:sz w:val="20"/>
          <w:szCs w:val="20"/>
          <w:color w:val="auto"/>
        </w:rPr>
      </w:pPr>
      <w:r>
        <w:rPr>
          <w:rFonts w:ascii="Arial" w:cs="Arial" w:eastAsia="Arial" w:hAnsi="Arial"/>
          <w:sz w:val="11"/>
          <w:szCs w:val="11"/>
          <w:color w:val="auto"/>
        </w:rPr>
        <w:t>From a segment perspective, the Company’s second quarter of 2019 operating performance reflected both negative foreign exchange and challenging end-market conditions across all four of the Company’s regions: North America, Europe, Middle East and Africa (“EMEA”), Asia/Pacific and South America. Overall volumes in each region declined quarter-over-quarter due to global production declines in certain end-markets, and also, unusually strong second quarter of 2018 results in the Company’s Asia/Pacific and North America regions. The lower net sales quarter-over-quarter and resulting decreases in gross profit in all four of the Company’s regions were partially offset by lower levels of SG&amp;A across all regions and improved gross margins in EMEA and South America. The net of these regional financial impacts resulted in a 10% increase quarter-over-quarter in operating earnings in South America, relatively consistent operating earnings in EMEA and lower operating earnings in both North America and Asia/Pacific. See the Reportable Operating Segments Review, in the Operations section of this Item, below.</w:t>
      </w:r>
    </w:p>
    <w:p>
      <w:pPr>
        <w:spacing w:after="0" w:line="48" w:lineRule="exact"/>
        <w:rPr>
          <w:sz w:val="20"/>
          <w:szCs w:val="20"/>
          <w:color w:val="auto"/>
        </w:rPr>
      </w:pPr>
    </w:p>
    <w:p>
      <w:pPr>
        <w:jc w:val="both"/>
        <w:ind w:right="40" w:firstLine="216"/>
        <w:spacing w:after="0" w:line="298" w:lineRule="auto"/>
        <w:rPr>
          <w:sz w:val="20"/>
          <w:szCs w:val="20"/>
          <w:color w:val="auto"/>
        </w:rPr>
      </w:pPr>
      <w:r>
        <w:rPr>
          <w:rFonts w:ascii="Arial" w:cs="Arial" w:eastAsia="Arial" w:hAnsi="Arial"/>
          <w:sz w:val="11"/>
          <w:szCs w:val="11"/>
          <w:color w:val="auto"/>
        </w:rPr>
        <w:t>The Company generated net operating cash flow of $22.4 million in the second quarter of 2019, compared with $17.0 million in the second quarter of 2018, resulting in a 14% increase in its current year-to-date net operating cash flow to $22.4 million compared to $19.7 million in the first six months of 2018. The increase in net operating cash flow year-over-year was primarily due to working capital improvement in the current year partially offset by higher current year cash tax payments. The key drivers of the Company’s operating cash flow and overall liquidity are further discussed in the Company’s Liquidity and Capital Resources section of this Item, below.</w:t>
      </w:r>
    </w:p>
    <w:p>
      <w:pPr>
        <w:spacing w:after="0" w:line="51" w:lineRule="exact"/>
        <w:rPr>
          <w:sz w:val="20"/>
          <w:szCs w:val="20"/>
          <w:color w:val="auto"/>
        </w:rPr>
      </w:pPr>
    </w:p>
    <w:p>
      <w:pPr>
        <w:ind w:right="40" w:firstLine="216"/>
        <w:spacing w:after="0" w:line="255" w:lineRule="auto"/>
        <w:rPr>
          <w:sz w:val="20"/>
          <w:szCs w:val="20"/>
          <w:color w:val="auto"/>
        </w:rPr>
      </w:pPr>
      <w:r>
        <w:rPr>
          <w:rFonts w:ascii="Arial" w:cs="Arial" w:eastAsia="Arial" w:hAnsi="Arial"/>
          <w:sz w:val="12"/>
          <w:szCs w:val="12"/>
          <w:color w:val="auto"/>
        </w:rPr>
        <w:t>Despite a decline in certain of the Company’s underlying markets and continued foreign exchange headwinds, the Company is pleased with its quarterly operating performance. While the Company’s sales volumes were lower quarter-over-quarter by 3%, the benefit of continued market share gains partially offset the impact of an estimated 7% decline in global automotive production as well as a number of the Company’s global customers, especially in steel, reducing production in June due to inventory corrections. Despite lower sales volumes and the negative impact from foreign currency translation on net sales in the second quarter of 2019, the benefit of product mix and certain changes in raw material costs collectively contributed to the Company’s sequential quarterly gross margin improvement to 36.5%, which was consistent with its gross margin in the prior year second quarter. In addition, the Company’s SG&amp;A decreased 8% quarter-over-quarter. These factors contributed to second quarter of 2019 adjusted EBITDA and non-GAAP earnings per diluted share declining 2% to $31.4 million and $1.56, respectively, which included the negative impact of foreign exchange on earnings of approximately 3% or $0.04 per diluted share.</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24" w:name="page25"/>
    <w:bookmarkEnd w:id="24"/>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Management’s Discussion and Analysis</w:t>
      </w:r>
    </w:p>
    <w:p>
      <w:pPr>
        <w:spacing w:after="0" w:line="231" w:lineRule="exact"/>
        <w:rPr>
          <w:sz w:val="20"/>
          <w:szCs w:val="20"/>
          <w:color w:val="auto"/>
        </w:rPr>
      </w:pPr>
    </w:p>
    <w:p>
      <w:pPr>
        <w:ind w:right="40" w:firstLine="216"/>
        <w:spacing w:after="0" w:line="327" w:lineRule="auto"/>
        <w:rPr>
          <w:sz w:val="20"/>
          <w:szCs w:val="20"/>
          <w:color w:val="auto"/>
        </w:rPr>
      </w:pPr>
      <w:r>
        <w:rPr>
          <w:rFonts w:ascii="Arial" w:cs="Arial" w:eastAsia="Arial" w:hAnsi="Arial"/>
          <w:sz w:val="10"/>
          <w:szCs w:val="10"/>
          <w:color w:val="auto"/>
        </w:rPr>
        <w:t>Looking forward to the second half of 2019, the Company does not expect to experience the same magnitude of the current quarter’s market challenges, as many of these headwinds the Company experienced in the first half of 2019 began near the end of the second quarter of 2018 and gradually worsened throughout the second half of the year. Also, the Company has closed the Combination and acquired the entire issued and outstanding share capital of Houghton today, August 1, 2019. As previously disclosed, the Combination is anticipated to approximately double the Company’s annual sales and adjusted EBITDA, not including estimated synergies which are expected to approximate $60 million once fully achieved by the second year after close. Today, Quaker Houghton begins its journey and in two years the Company expects to have an enterprise that will be integrated and well positioned for above market growth.</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Liquidity and Capital Resources</w:t>
      </w:r>
    </w:p>
    <w:p>
      <w:pPr>
        <w:spacing w:after="0" w:line="69" w:lineRule="exact"/>
        <w:rPr>
          <w:sz w:val="20"/>
          <w:szCs w:val="20"/>
          <w:color w:val="auto"/>
        </w:rPr>
      </w:pPr>
    </w:p>
    <w:p>
      <w:pPr>
        <w:ind w:right="60" w:firstLine="216"/>
        <w:spacing w:after="0" w:line="298" w:lineRule="auto"/>
        <w:rPr>
          <w:sz w:val="20"/>
          <w:szCs w:val="20"/>
          <w:color w:val="auto"/>
        </w:rPr>
      </w:pPr>
      <w:r>
        <w:rPr>
          <w:rFonts w:ascii="Arial" w:cs="Arial" w:eastAsia="Arial" w:hAnsi="Arial"/>
          <w:sz w:val="11"/>
          <w:szCs w:val="11"/>
          <w:color w:val="auto"/>
        </w:rPr>
        <w:t>At June 30, 2019, the Company had cash, cash equivalents and restricted cash of $106.5 million, including $20.1 million of restricted cash. Total cash, cash equivalents and restricted cash was $124.4 million at December 31, 2018, which included $20.3 million of restricted cash. The approximately $18.0 million decrease in cash, cash equivalents and restricted cash was the net result of $5.8 million of cash used in investing activities and $35.3 million of cash used in financing activities, partially offset by $22.4 million of cash provided by operating activities and a $0.7 million positive impact due to the effect of foreign currency translation on cash.</w:t>
      </w:r>
    </w:p>
    <w:p>
      <w:pPr>
        <w:spacing w:after="0" w:line="15" w:lineRule="exact"/>
        <w:rPr>
          <w:sz w:val="20"/>
          <w:szCs w:val="20"/>
          <w:color w:val="auto"/>
        </w:rPr>
      </w:pPr>
    </w:p>
    <w:p>
      <w:pPr>
        <w:ind w:firstLine="216"/>
        <w:spacing w:after="0" w:line="281" w:lineRule="auto"/>
        <w:rPr>
          <w:sz w:val="20"/>
          <w:szCs w:val="20"/>
          <w:color w:val="auto"/>
        </w:rPr>
      </w:pPr>
      <w:r>
        <w:rPr>
          <w:rFonts w:ascii="Arial" w:cs="Arial" w:eastAsia="Arial" w:hAnsi="Arial"/>
          <w:sz w:val="11"/>
          <w:szCs w:val="11"/>
          <w:color w:val="auto"/>
        </w:rPr>
        <w:t>Net cash provided by operating activities was $22.4 million in the first six months of 2019 compared to $19.7 million in the first six months of 2018. The $2.7 million increase in net cash flows provided by operating activities year-over-year was primarily the result of lower cash invested in working capital in the current year, primarily due to a reduction in inventory, as the Company restocked an unusually low level at the end of 2017 throughout 2018, partially offset by an associated decrease in accounts payable. In addition, the first six months of 2018 working capital was impacted by lower receipts on accounts receivable due to an uncommon significant collection from a certain customer during the fourth quarter of 2017. The Company’s current year net cash flows provided by operating activities also benefited from lower combination and other acquisition-related cash payments, net of expenses incurred, in the first six months of 2019, described below, as well as lower pension cash outflows resulting from the Company’s fourth quarter of 2018 decision to begin the process of terminating its primary non-contributory U.S. pension plan (the “U.S. Pension Plan”), also described below. Partially offsetting these lower operating cash outflows were higher cash tax payments in the first six months of 2019, including withholding taxes previously reserved for and related to the repatriation of certain foreign earnings in the first half of 2019. In addition, the Company had lower cash dividends received from the Company’s captive insurance company in the first six months of 2019 compared to the prior year period.</w:t>
      </w:r>
    </w:p>
    <w:p>
      <w:pPr>
        <w:spacing w:after="0" w:line="35" w:lineRule="exact"/>
        <w:rPr>
          <w:sz w:val="20"/>
          <w:szCs w:val="20"/>
          <w:color w:val="auto"/>
        </w:rPr>
      </w:pPr>
    </w:p>
    <w:p>
      <w:pPr>
        <w:ind w:right="60" w:firstLine="216"/>
        <w:spacing w:after="0" w:line="290" w:lineRule="auto"/>
        <w:rPr>
          <w:sz w:val="20"/>
          <w:szCs w:val="20"/>
          <w:color w:val="auto"/>
        </w:rPr>
      </w:pPr>
      <w:r>
        <w:rPr>
          <w:rFonts w:ascii="Arial" w:cs="Arial" w:eastAsia="Arial" w:hAnsi="Arial"/>
          <w:sz w:val="11"/>
          <w:szCs w:val="11"/>
          <w:color w:val="auto"/>
        </w:rPr>
        <w:t>Net cash used in investing activities increased from $5.4 million in the first six months of 2018 to $5.8 million in the first six months of 2019, due to higher cash proceeds from dispositions of assets during the first six months of 2018 as compared to the first six months of 2019, primarily as a result of $0.6 million of cash proceeds received during the second quarter of 2018 related to the sale of an available-for-sale asset. This increase in cash used in investing activities year-over-year was partially offset by slightly lower additions to property, plant and equipment in the first six months of 2019. In addition, during both the first six months of 2019 and 2018 the Company paid $0.5 million for certain formulations and product technology in the mining industry for its North America reportable operating segment in accordance with the terms of the asset purchase agreement.</w:t>
      </w:r>
    </w:p>
    <w:p>
      <w:pPr>
        <w:spacing w:after="0" w:line="28" w:lineRule="exact"/>
        <w:rPr>
          <w:sz w:val="20"/>
          <w:szCs w:val="20"/>
          <w:color w:val="auto"/>
        </w:rPr>
      </w:pPr>
    </w:p>
    <w:p>
      <w:pPr>
        <w:ind w:right="120" w:firstLine="216"/>
        <w:spacing w:after="0" w:line="259" w:lineRule="auto"/>
        <w:rPr>
          <w:sz w:val="20"/>
          <w:szCs w:val="20"/>
          <w:color w:val="auto"/>
        </w:rPr>
      </w:pPr>
      <w:r>
        <w:rPr>
          <w:rFonts w:ascii="Arial" w:cs="Arial" w:eastAsia="Arial" w:hAnsi="Arial"/>
          <w:sz w:val="12"/>
          <w:szCs w:val="12"/>
          <w:color w:val="auto"/>
        </w:rPr>
        <w:t>Net cash used in financing activities was $35.3 million in the first six months of 2019 compared to $11.1 million in the first six months of 2018. The $24.2 million increase in net cash used in financing activities was driven primarily by the Company’s repayment of long-term debt of $24.0 million in the first six months of 2019 compared to $0.3 million in the first six months of 2018. In addition, the Company paid cash dividends of $9.9 million during the first six months of 2019, a $0.4 million or 4% increase in cash dividends compared to the prior year. Finally, during the first six months of 2018, one of the Company’s less than 100% owned consolidated affiliates made a distribution to the noncontrolling affiliate shareholder of approximately $0.8 million. There were no similar distributions during the first six months of 2019.</w:t>
      </w:r>
    </w:p>
    <w:p>
      <w:pPr>
        <w:spacing w:after="0" w:line="53" w:lineRule="exact"/>
        <w:rPr>
          <w:sz w:val="20"/>
          <w:szCs w:val="20"/>
          <w:color w:val="auto"/>
        </w:rPr>
      </w:pPr>
    </w:p>
    <w:p>
      <w:pPr>
        <w:ind w:right="80" w:firstLine="216"/>
        <w:spacing w:after="0" w:line="259" w:lineRule="auto"/>
        <w:rPr>
          <w:sz w:val="20"/>
          <w:szCs w:val="20"/>
          <w:color w:val="auto"/>
        </w:rPr>
      </w:pPr>
      <w:r>
        <w:rPr>
          <w:rFonts w:ascii="Arial" w:cs="Arial" w:eastAsia="Arial" w:hAnsi="Arial"/>
          <w:sz w:val="12"/>
          <w:szCs w:val="12"/>
          <w:color w:val="auto"/>
        </w:rPr>
        <w:t>On August 1, 2019, the Company completed its combination with Houghton, whereby the Company acquired all of the issued and outstanding shares of Houghton from Gulf Houghton Lubricants, Ltd. in accordance with the share purchase agreement dated April 4, 2017. The final purchase consideration was comprised of: (i) approximately $170.8 million in cash; (ii) the issuance of approximately 4.3 million shares of common stock of the Company with par value of $1.00, comprising 24.5% of the common stock of the Company at closing; and (iii) the Company’s refinancing of approximately $660.0 million of Houghton’s net indebtedness at closing, not including cash proceeds from the divestiture, described below.</w:t>
      </w:r>
    </w:p>
    <w:p>
      <w:pPr>
        <w:spacing w:after="0" w:line="53" w:lineRule="exact"/>
        <w:rPr>
          <w:sz w:val="20"/>
          <w:szCs w:val="20"/>
          <w:color w:val="auto"/>
        </w:rPr>
      </w:pPr>
    </w:p>
    <w:p>
      <w:pPr>
        <w:ind w:firstLine="216"/>
        <w:spacing w:after="0" w:line="257" w:lineRule="auto"/>
        <w:rPr>
          <w:sz w:val="20"/>
          <w:szCs w:val="20"/>
          <w:color w:val="auto"/>
        </w:rPr>
      </w:pPr>
      <w:r>
        <w:rPr>
          <w:rFonts w:ascii="Arial" w:cs="Arial" w:eastAsia="Arial" w:hAnsi="Arial"/>
          <w:sz w:val="12"/>
          <w:szCs w:val="12"/>
          <w:color w:val="auto"/>
        </w:rPr>
        <w:t>The Combination was subject to certain regulatory and shareholder approvals. At a shareholder meeting held during 2017, the Company’s shareholders overwhelmingly approved the issuance of the new shares of the Company’s common stock at closing of the Combination. Also in 2017, the Company received regulatory approvals for the Combination from China and Australia. The Company received regulatory approvals from the European Commission (“EC”) during the second quarter of 2019 and the U.S. Federal Trade Commissions (“FTC”) in July 2019. The approvals from the FTC and the EC required the concurrent divestiture of certain steel and aluminum product lines of Houghton, which were sold on August 1, 2019 for approximately $37 million in cash. The final remedy agreed with the EC and the FTC was consistent with the Company’s previous guidance that the total divested product lines would be approximately 3% of the combined company’s revenue.</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25" w:name="page26"/>
    <w:bookmarkEnd w:id="25"/>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Management’s Discussion and Analysis</w:t>
      </w:r>
    </w:p>
    <w:p>
      <w:pPr>
        <w:spacing w:after="0" w:line="231" w:lineRule="exact"/>
        <w:rPr>
          <w:sz w:val="20"/>
          <w:szCs w:val="20"/>
          <w:color w:val="auto"/>
        </w:rPr>
      </w:pPr>
    </w:p>
    <w:p>
      <w:pPr>
        <w:ind w:right="40" w:firstLine="216"/>
        <w:spacing w:after="0" w:line="277" w:lineRule="auto"/>
        <w:rPr>
          <w:sz w:val="20"/>
          <w:szCs w:val="20"/>
          <w:color w:val="auto"/>
        </w:rPr>
      </w:pPr>
      <w:r>
        <w:rPr>
          <w:rFonts w:ascii="Arial" w:cs="Arial" w:eastAsia="Arial" w:hAnsi="Arial"/>
          <w:sz w:val="11"/>
          <w:szCs w:val="11"/>
          <w:color w:val="auto"/>
        </w:rPr>
        <w:t>As previously disclosed in its Annual Report filed on Form 10-K and 10-K/A for the year ended December 31, 2018, in connection with the Combination, the Company initially secured $1.15 billion in commitments from Bank of America Merrill Lynch and Deutsche Bank to fund the purchase consideration and to provide additional liquidity, which was replaced with a syndicated bank agreement (“the New Credit Facility”) with a group of lenders. Prior to closing the Combination, during July 2019, the Company amended and extended the bank commitment to August 30, 2019. The New Credit Facility was contingent upon and was not effective until the closing of the Combination. Concurrent with closing the Combination on August 1, 2019, the New Credit Facility is in full effect and is the Company’s primary borrowing facility, replacing the Company’s previous revolving credit facility (see Note 14 of Notes to Condensed Consolidated Financial Statements). The New Credit Facility is comprised of: (i) a $400.0 million multicurrency revolver; (ii) a $600.0 million USD term loan; and (iii) a $150.0 million EUR equivalent term loan, each with a five-year maturity from the date the New Credit Facility became effective. At closing, the Company borrowed $750.0 million under the term loans available in the New Credit Facility and approximately $180 million under the multicurrency revolver, with a remaining capacity under the revolver of approximately $220 million for additional liquidity. The maximum amount available under the New Credit Facility can be increased by $300.0 million at the Company’s option if the lenders agree and the Company satisfies certain conditions. Borrowings under the New Credit Facility will bear interest at a base rate or LIBOR rate plus a margin. Based on the terms of the New Credit Facility and current market interest rates, the Company currently estimates its annual interest cost will be in the range of 3.4% to 3.6%. The New Credit Facility is subject to certain financial and other covenants, including covenants that the Company’s initial consolidated net debt to adjusted EBITDA ratio cannot exceed 4.25 to 1 and the Company’s consolidated adjusted EBITDA to interest expense ratio cannot be less than 3.0 to 1. At closing, the Company was in compliance with all of the New Credit Facility covenants. Both the USD and EUR equivalent term loans have quarterly principal amortization during their respective five-year maturities, with 5.0% amortization of the principal balance due in years 1 and 2, 7.5% in year 3, and 10.0% in years 4 and 5, with the remaining principal amounts due at maturity. Until closing, the Company incurred certain interest costs to maintain the bank commitment (“ticking fees”), which began to accrue on September 29, 2017 and bore an interest rate of 0.30% per annum. Concurrent with closing of the Combination and executing the New Credit Facility, the Company paid approximately $6.3 million of ticking fees.</w:t>
      </w:r>
    </w:p>
    <w:p>
      <w:pPr>
        <w:spacing w:after="0" w:line="48" w:lineRule="exact"/>
        <w:rPr>
          <w:sz w:val="20"/>
          <w:szCs w:val="20"/>
          <w:color w:val="auto"/>
        </w:rPr>
      </w:pPr>
    </w:p>
    <w:p>
      <w:pPr>
        <w:ind w:right="40" w:firstLine="216"/>
        <w:spacing w:after="0" w:line="254" w:lineRule="auto"/>
        <w:rPr>
          <w:sz w:val="20"/>
          <w:szCs w:val="20"/>
          <w:color w:val="auto"/>
        </w:rPr>
      </w:pPr>
      <w:r>
        <w:rPr>
          <w:rFonts w:ascii="Arial" w:cs="Arial" w:eastAsia="Arial" w:hAnsi="Arial"/>
          <w:sz w:val="12"/>
          <w:szCs w:val="12"/>
          <w:color w:val="auto"/>
        </w:rPr>
        <w:t>On August 1, 2019, the Company’s then existing credit facility (“the Old Credit Facility”) was replaced by the New Credit Facility. The Old Credit Facility was a $300.0 million syndicated multicurrency revolving credit facility with a group of lenders. The maximum amount available under the Old Credit Facility could have been increased to $400.0 million at the Company’s option if the lenders agreed and the Company satisfied certain conditions. Borrowings under the Old Credit Facility generally bore interest at a base rate or LIBOR rate plus a margin. The Old Credit Facility had certain financial and other covenants, with the key financial covenant requiring that the Company’s consolidated total debt to adjusted EBITDA ratio could not exceed 3.50 to 1. As of June 30, 2019 and December 31, 2018, the Company’s total debt to adjusted EBITDA ratio was below 1.0 to 1, and the Company was also in compliance with all of its other covenants. During July 2019, the Old Credit Facility was amended and restated to extend the maturity date to August 31, 2020. As of June 30, 2019, the Company had no Old Credit Facility borrowings outstanding. As of December 31, 2018, the Company had Old Credit Facility borrowings of $24.0 million. The Company’s other debt obligations are primarily industrial development bonds and municipality-related loans, which totaled $12.5 million as of June 30, 2019 and $12.6 million as of December 31, 2018.</w:t>
      </w:r>
    </w:p>
    <w:p>
      <w:pPr>
        <w:spacing w:after="0" w:line="59" w:lineRule="exact"/>
        <w:rPr>
          <w:sz w:val="20"/>
          <w:szCs w:val="20"/>
          <w:color w:val="auto"/>
        </w:rPr>
      </w:pPr>
    </w:p>
    <w:p>
      <w:pPr>
        <w:ind w:firstLine="216"/>
        <w:spacing w:after="0" w:line="313" w:lineRule="auto"/>
        <w:rPr>
          <w:sz w:val="20"/>
          <w:szCs w:val="20"/>
          <w:color w:val="auto"/>
        </w:rPr>
      </w:pPr>
      <w:r>
        <w:rPr>
          <w:rFonts w:ascii="Arial" w:cs="Arial" w:eastAsia="Arial" w:hAnsi="Arial"/>
          <w:sz w:val="10"/>
          <w:szCs w:val="10"/>
          <w:color w:val="auto"/>
        </w:rPr>
        <w:t>The Company incurred $10.8 million of total combination and other acquisition-related expenses during the first six months of 2019, including $1.7 million of ticking fees, described in the Non-GAAP Measures section of this Item below, and had net cash outflows of $10.4 million related to these costs. Comparatively, during the first six months of 2018, combination and other acquisition-related expenses totaled $10.6 million, including $1.7 million of ticking fees as well as a $0.6 million gain on the sale of an available-for-sale asset, and net cash outflows related to these costs were $12.1 million. Prior to August 1, 2019, the Company incurred additional expenses and will have associated cash outflows of approximately $30 million through closing of the Combination for similar combination-related expenses. The majority of these costs were cash payments for bank fees associated with the New Credit Facility which we expect to capitalize. In addition, post-closing of the Combination, the Company will incur significant additional costs and make associated cash payments to integrate Quaker and Houghton and to begin realizing the Combination’s total anticipated cost synergies, which we currently estimate to be $60 million once fully achieved by the second year after close. The Company currently projects these costs and cash payments, excluding incremental capital expenditure related to the Combination, will generally approximate one times its anticipated cost synergies. The Company expects to incur these costs over a three-year period post-close, with a significant portion of these costs being front loaded in 2019 and 2020.</w:t>
      </w:r>
    </w:p>
    <w:p>
      <w:pPr>
        <w:spacing w:after="0" w:line="31" w:lineRule="exact"/>
        <w:rPr>
          <w:sz w:val="20"/>
          <w:szCs w:val="20"/>
          <w:color w:val="auto"/>
        </w:rPr>
      </w:pPr>
    </w:p>
    <w:p>
      <w:pPr>
        <w:ind w:right="20" w:firstLine="216"/>
        <w:spacing w:after="0" w:line="290" w:lineRule="auto"/>
        <w:rPr>
          <w:sz w:val="20"/>
          <w:szCs w:val="20"/>
          <w:color w:val="auto"/>
        </w:rPr>
      </w:pPr>
      <w:r>
        <w:rPr>
          <w:rFonts w:ascii="Arial" w:cs="Arial" w:eastAsia="Arial" w:hAnsi="Arial"/>
          <w:sz w:val="11"/>
          <w:szCs w:val="11"/>
          <w:color w:val="auto"/>
        </w:rPr>
        <w:t>In the fourth quarter of 2018, the Company began the process of terminating the U.S. Pension Plan after receiving approval from its Board of Directors. Participants of the U.S. Pension Plan will have their benefits either converted into a lump sum cash payment or an annuity contract placed with an insurance carrier. The U.S. Pension Plan is fully-funded on a U.S. GAAP basis. In order to terminate the U.S. Pension Plan in accordance with Internal Revenue Service and Pension Benefit Guaranty Corporation requirements, the Company will be required to fully fund the U.S. Pension Plan on a termination basis and will commit to contribute additional assets if necessary, to do so. The amount necessary to do so is not yet known but is currently estimated to be between $0 and $10 million. The Company currently estimates that the U.S. Pension Plan termination will be completed during 2020.</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26" w:name="page27"/>
    <w:bookmarkEnd w:id="26"/>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Management’s Discussion and Analysis</w:t>
      </w:r>
    </w:p>
    <w:p>
      <w:pPr>
        <w:spacing w:after="0" w:line="222" w:lineRule="exact"/>
        <w:rPr>
          <w:sz w:val="20"/>
          <w:szCs w:val="20"/>
          <w:color w:val="auto"/>
        </w:rPr>
      </w:pPr>
    </w:p>
    <w:p>
      <w:pPr>
        <w:ind w:right="200" w:firstLine="216"/>
        <w:spacing w:after="0" w:line="323" w:lineRule="auto"/>
        <w:rPr>
          <w:sz w:val="20"/>
          <w:szCs w:val="20"/>
          <w:color w:val="auto"/>
        </w:rPr>
      </w:pPr>
      <w:r>
        <w:rPr>
          <w:rFonts w:ascii="Arial" w:cs="Arial" w:eastAsia="Arial" w:hAnsi="Arial"/>
          <w:sz w:val="11"/>
          <w:szCs w:val="11"/>
          <w:color w:val="auto"/>
        </w:rPr>
        <w:t>As of June 30, 2019, the Company’s gross liability for uncertain tax positions, including interest and penalties, was $9.4 million. The Company cannot determine a reliable estimate of the timing of cash flows by period related to its uncertain tax position liability. However, should the entire liability be paid, the amount of the payment may be reduced by up to $1.0 million as a result of offsetting benefits in other tax jurisdictions.</w:t>
      </w:r>
    </w:p>
    <w:p>
      <w:pPr>
        <w:spacing w:after="0" w:line="2" w:lineRule="exact"/>
        <w:rPr>
          <w:sz w:val="20"/>
          <w:szCs w:val="20"/>
          <w:color w:val="auto"/>
        </w:rPr>
      </w:pPr>
    </w:p>
    <w:p>
      <w:pPr>
        <w:ind w:right="340" w:firstLine="216"/>
        <w:spacing w:after="0" w:line="276" w:lineRule="auto"/>
        <w:rPr>
          <w:sz w:val="20"/>
          <w:szCs w:val="20"/>
          <w:color w:val="auto"/>
        </w:rPr>
      </w:pPr>
      <w:r>
        <w:rPr>
          <w:rFonts w:ascii="Arial" w:cs="Arial" w:eastAsia="Arial" w:hAnsi="Arial"/>
          <w:sz w:val="12"/>
          <w:szCs w:val="12"/>
          <w:color w:val="auto"/>
        </w:rPr>
        <w:t>The Company believes it is capable of supporting its operating requirements and funding its business objectives, including but not limited to, payments of dividends to shareholders, costs related to the Combination, pension plan contributions, capital expenditures, other business opportunities and other potential contingencies, through internally generated funds supplemented with debt or equity as needed.</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Non-GAAP Measures</w:t>
      </w:r>
    </w:p>
    <w:p>
      <w:pPr>
        <w:spacing w:after="0" w:line="78" w:lineRule="exact"/>
        <w:rPr>
          <w:sz w:val="20"/>
          <w:szCs w:val="20"/>
          <w:color w:val="auto"/>
        </w:rPr>
      </w:pPr>
    </w:p>
    <w:p>
      <w:pPr>
        <w:ind w:right="220" w:firstLine="216"/>
        <w:spacing w:after="0" w:line="290" w:lineRule="auto"/>
        <w:rPr>
          <w:sz w:val="20"/>
          <w:szCs w:val="20"/>
          <w:color w:val="auto"/>
        </w:rPr>
      </w:pPr>
      <w:r>
        <w:rPr>
          <w:rFonts w:ascii="Arial" w:cs="Arial" w:eastAsia="Arial" w:hAnsi="Arial"/>
          <w:sz w:val="11"/>
          <w:szCs w:val="11"/>
          <w:color w:val="auto"/>
        </w:rPr>
        <w:t>The information in this Form 10-Q filing includes non-GAAP (unaudited) financial information that includes EBITDA, adjusted EBITDA, non-GAAP operating income, non-GAAP net income and non-GAAP earnings per diluted share. The Company believes these non-GAAP financial measures provide meaningful supplemental information as they enhance a reader’s understanding of the financial performance of the Company, are more indicative of future operating performance of the Company, and facilitate a better comparison among fiscal periods, as the non-GAAP financial measures exclude items that are not indicative of future operating performance or not considered core to the Company’s operations. Non-GAAP results are presented for supplemental informational purposes only and should not be considered a substitute for the financial information presented in accordance with GAAP.</w:t>
      </w:r>
    </w:p>
    <w:p>
      <w:pPr>
        <w:spacing w:after="0" w:line="28" w:lineRule="exact"/>
        <w:rPr>
          <w:sz w:val="20"/>
          <w:szCs w:val="20"/>
          <w:color w:val="auto"/>
        </w:rPr>
      </w:pPr>
    </w:p>
    <w:p>
      <w:pPr>
        <w:ind w:firstLine="216"/>
        <w:spacing w:after="0" w:line="286" w:lineRule="auto"/>
        <w:rPr>
          <w:sz w:val="20"/>
          <w:szCs w:val="20"/>
          <w:color w:val="auto"/>
        </w:rPr>
      </w:pPr>
      <w:r>
        <w:rPr>
          <w:rFonts w:ascii="Arial" w:cs="Arial" w:eastAsia="Arial" w:hAnsi="Arial"/>
          <w:sz w:val="11"/>
          <w:szCs w:val="11"/>
          <w:color w:val="auto"/>
        </w:rPr>
        <w:t>The Company presents EBITDA which is calculated as net income attributable to the Company before depreciation and amortization, interest expense, net, and taxes on income before equity in net income of associated companies. The Company also presents adjusted EBITDA which is calculated as EBITDA plus or minus certain items that are not indicative of future operating performance or not considered core to the Company’s operations. In addition, the Company presents non-GAAP operating income which is calculated as operating income plus or minus certain items that are not indicative of future operating performance or not considered core to the Company’s operations. Adjusted EBITDA margin and non-GAAP operating margin are calculated as the percentage of adjusted EBITDA and non-GAAP operating income to consolidated net sales, respectively. The Company believes these non-GAAP measures provide transparent and useful information and are widely used by analysts, investors, and competitors in our industry as well as by management in assessing the operating performance of the Company on a consistent basis.</w:t>
      </w:r>
    </w:p>
    <w:p>
      <w:pPr>
        <w:spacing w:after="0" w:line="30" w:lineRule="exact"/>
        <w:rPr>
          <w:sz w:val="20"/>
          <w:szCs w:val="20"/>
          <w:color w:val="auto"/>
        </w:rPr>
      </w:pPr>
    </w:p>
    <w:p>
      <w:pPr>
        <w:ind w:right="40" w:firstLine="216"/>
        <w:spacing w:after="0" w:line="257" w:lineRule="auto"/>
        <w:rPr>
          <w:sz w:val="20"/>
          <w:szCs w:val="20"/>
          <w:color w:val="auto"/>
        </w:rPr>
      </w:pPr>
      <w:r>
        <w:rPr>
          <w:rFonts w:ascii="Arial" w:cs="Arial" w:eastAsia="Arial" w:hAnsi="Arial"/>
          <w:sz w:val="12"/>
          <w:szCs w:val="12"/>
          <w:color w:val="auto"/>
        </w:rPr>
        <w:t>Additionally, the Company presents non-GAAP net income and non-GAAP earnings per diluted share as additional performance measures. Non-GAAP net income is calculated as adjusted EBITDA, defined above, less depreciation and amortization, interest expense, net - adjusted, and taxes on income before equity in net income of associated companies - adjusted, as applicable, for any depreciation, amortization, interest or tax impacts resulting from the non-core items identified in the reconciliation of net income attributable to the Company to adjusted EBITDA. Non-GAAP earnings per diluted share is calculated as non-GAAP net income per diluted share as accounted for under the “two-class share method.” The Company believes that non-GAAP net income and non-GAAP earnings per diluted share provide transparent and useful information and are widely used by analysts, investors, and competitors in our industry as well as by management in assessing the operating performance of the Company on a consistent basis.</w:t>
      </w:r>
    </w:p>
    <w:p>
      <w:pPr>
        <w:spacing w:after="0" w:line="36" w:lineRule="exact"/>
        <w:rPr>
          <w:sz w:val="20"/>
          <w:szCs w:val="20"/>
          <w:color w:val="auto"/>
        </w:rPr>
      </w:pPr>
    </w:p>
    <w:p>
      <w:pPr>
        <w:ind w:right="60" w:firstLine="216"/>
        <w:spacing w:after="0" w:line="290" w:lineRule="auto"/>
        <w:rPr>
          <w:sz w:val="20"/>
          <w:szCs w:val="20"/>
          <w:color w:val="auto"/>
        </w:rPr>
      </w:pPr>
      <w:r>
        <w:rPr>
          <w:rFonts w:ascii="Arial" w:cs="Arial" w:eastAsia="Arial" w:hAnsi="Arial"/>
          <w:sz w:val="11"/>
          <w:szCs w:val="11"/>
          <w:color w:val="auto"/>
        </w:rPr>
        <w:t>During the first quarter of 2019, the Company updated its calculation methodology to include the use of interest expense net of interest income in the reconciliation of EBITDA and adjusted EBITDA, compared to its historical use of only interest expense, and also to include the non-service component of the Company’s pension and postretirement benefit costs in the reconciliation of adjusted EBITDA, non-GAAP net income attributable to Quaker Chemical Corporation and non-GAAP earnings per diluted share. Prior year amounts have been recast for comparability purposes and the change in calculation methodology does not produce materially different results. The Company believes these updated calculations better reflect its underlying operating performance and better aligns the Company’s calculations to those commonly used by analysts, investors, and competitors in our industry.</w:t>
      </w:r>
    </w:p>
    <w:p>
      <w:pPr>
        <w:spacing w:after="0" w:line="28" w:lineRule="exact"/>
        <w:rPr>
          <w:sz w:val="20"/>
          <w:szCs w:val="20"/>
          <w:color w:val="auto"/>
        </w:rPr>
      </w:pPr>
    </w:p>
    <w:p>
      <w:pPr>
        <w:ind w:right="480" w:firstLine="216"/>
        <w:spacing w:after="0" w:line="276" w:lineRule="auto"/>
        <w:rPr>
          <w:sz w:val="20"/>
          <w:szCs w:val="20"/>
          <w:color w:val="auto"/>
        </w:rPr>
      </w:pPr>
      <w:r>
        <w:rPr>
          <w:rFonts w:ascii="Arial" w:cs="Arial" w:eastAsia="Arial" w:hAnsi="Arial"/>
          <w:sz w:val="12"/>
          <w:szCs w:val="12"/>
          <w:color w:val="auto"/>
        </w:rPr>
        <w:t>The following tables reconcile the Company’s non-GAAP financial measures (unaudited) to their most directly comparable GAAP (unaudited) financial measures (dollars in thousands unless otherwise noted, except per share amounts):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2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8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90"/>
              </w:rPr>
              <w:t>Three Months Ended</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rPr>
              <w:t>Six Months Ended</w:t>
            </w:r>
          </w:p>
        </w:tc>
        <w:tc>
          <w:tcPr>
            <w:tcW w:w="800" w:type="dxa"/>
            <w:vAlign w:val="bottom"/>
          </w:tcPr>
          <w:p>
            <w:pPr>
              <w:spacing w:after="0"/>
              <w:rPr>
                <w:sz w:val="13"/>
                <w:szCs w:val="13"/>
                <w:color w:val="auto"/>
              </w:rPr>
            </w:pPr>
          </w:p>
        </w:tc>
      </w:tr>
      <w:tr>
        <w:trPr>
          <w:trHeight w:val="157"/>
        </w:trPr>
        <w:tc>
          <w:tcPr>
            <w:tcW w:w="42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2"/>
                <w:szCs w:val="12"/>
                <w:b w:val="1"/>
                <w:bCs w:val="1"/>
                <w:color w:val="auto"/>
                <w:w w:val="91"/>
              </w:rPr>
              <w:t>June 30,</w:t>
            </w: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2"/>
                <w:szCs w:val="12"/>
                <w:b w:val="1"/>
                <w:bCs w:val="1"/>
                <w:color w:val="auto"/>
              </w:rPr>
              <w:t>June 30,</w:t>
            </w:r>
          </w:p>
        </w:tc>
        <w:tc>
          <w:tcPr>
            <w:tcW w:w="800" w:type="dxa"/>
            <w:vAlign w:val="bottom"/>
            <w:tcBorders>
              <w:bottom w:val="single" w:sz="8" w:color="auto"/>
            </w:tcBorders>
          </w:tcPr>
          <w:p>
            <w:pPr>
              <w:spacing w:after="0"/>
              <w:rPr>
                <w:sz w:val="13"/>
                <w:szCs w:val="13"/>
                <w:color w:val="auto"/>
              </w:rPr>
            </w:pPr>
          </w:p>
        </w:tc>
      </w:tr>
      <w:tr>
        <w:trPr>
          <w:trHeight w:val="133"/>
        </w:trPr>
        <w:tc>
          <w:tcPr>
            <w:tcW w:w="4280" w:type="dxa"/>
            <w:vAlign w:val="bottom"/>
            <w:tcBorders>
              <w:bottom w:val="single" w:sz="8" w:color="B7E5FF"/>
            </w:tcBorders>
          </w:tcPr>
          <w:p>
            <w:pPr>
              <w:spacing w:after="0"/>
              <w:rPr>
                <w:sz w:val="11"/>
                <w:szCs w:val="11"/>
                <w:color w:val="auto"/>
              </w:rPr>
            </w:pPr>
          </w:p>
        </w:tc>
        <w:tc>
          <w:tcPr>
            <w:tcW w:w="1720" w:type="dxa"/>
            <w:vAlign w:val="bottom"/>
            <w:tcBorders>
              <w:bottom w:val="single" w:sz="8" w:color="B7E5FF"/>
            </w:tcBorders>
          </w:tcPr>
          <w:p>
            <w:pPr>
              <w:spacing w:after="0"/>
              <w:rPr>
                <w:sz w:val="11"/>
                <w:szCs w:val="11"/>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2019</w:t>
            </w: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B7E5FF"/>
            </w:tcBorders>
          </w:tcPr>
          <w:p>
            <w:pPr>
              <w:spacing w:after="0"/>
              <w:rPr>
                <w:sz w:val="11"/>
                <w:szCs w:val="11"/>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2018</w:t>
            </w:r>
          </w:p>
        </w:tc>
        <w:tc>
          <w:tcPr>
            <w:tcW w:w="420" w:type="dxa"/>
            <w:vAlign w:val="bottom"/>
            <w:tcBorders>
              <w:bottom w:val="single" w:sz="8" w:color="auto"/>
            </w:tcBorders>
          </w:tcPr>
          <w:p>
            <w:pPr>
              <w:spacing w:after="0"/>
              <w:rPr>
                <w:sz w:val="11"/>
                <w:szCs w:val="11"/>
                <w:color w:val="auto"/>
              </w:rPr>
            </w:pPr>
          </w:p>
        </w:tc>
        <w:tc>
          <w:tcPr>
            <w:tcW w:w="120" w:type="dxa"/>
            <w:vAlign w:val="bottom"/>
            <w:tcBorders>
              <w:bottom w:val="single" w:sz="8" w:color="B7E5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00"/>
              <w:spacing w:after="0" w:line="133" w:lineRule="exact"/>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B7E5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420"/>
              <w:spacing w:after="0" w:line="133" w:lineRule="exact"/>
              <w:rPr>
                <w:sz w:val="20"/>
                <w:szCs w:val="20"/>
                <w:color w:val="auto"/>
              </w:rPr>
            </w:pPr>
            <w:r>
              <w:rPr>
                <w:rFonts w:ascii="Arial" w:cs="Arial" w:eastAsia="Arial" w:hAnsi="Arial"/>
                <w:sz w:val="12"/>
                <w:szCs w:val="12"/>
                <w:b w:val="1"/>
                <w:bCs w:val="1"/>
                <w:color w:val="auto"/>
              </w:rPr>
              <w:t>2018</w:t>
            </w:r>
          </w:p>
        </w:tc>
      </w:tr>
      <w:tr>
        <w:trPr>
          <w:trHeight w:val="133"/>
        </w:trPr>
        <w:tc>
          <w:tcPr>
            <w:tcW w:w="4280" w:type="dxa"/>
            <w:vAlign w:val="bottom"/>
            <w:shd w:val="clear" w:color="auto" w:fill="B7E5FF"/>
          </w:tcPr>
          <w:p>
            <w:pPr>
              <w:spacing w:after="0" w:line="133" w:lineRule="exact"/>
              <w:rPr>
                <w:sz w:val="20"/>
                <w:szCs w:val="20"/>
                <w:color w:val="auto"/>
              </w:rPr>
            </w:pPr>
            <w:r>
              <w:rPr>
                <w:rFonts w:ascii="Arial" w:cs="Arial" w:eastAsia="Arial" w:hAnsi="Arial"/>
                <w:sz w:val="12"/>
                <w:szCs w:val="12"/>
                <w:color w:val="auto"/>
              </w:rPr>
              <w:t>Operating income</w:t>
            </w:r>
          </w:p>
        </w:tc>
        <w:tc>
          <w:tcPr>
            <w:tcW w:w="1720" w:type="dxa"/>
            <w:vAlign w:val="bottom"/>
            <w:shd w:val="clear" w:color="auto" w:fill="B7E5FF"/>
          </w:tcPr>
          <w:p>
            <w:pPr>
              <w:spacing w:after="0"/>
              <w:rPr>
                <w:sz w:val="11"/>
                <w:szCs w:val="11"/>
                <w:color w:val="auto"/>
              </w:rPr>
            </w:pPr>
          </w:p>
        </w:tc>
        <w:tc>
          <w:tcPr>
            <w:tcW w:w="860" w:type="dxa"/>
            <w:vAlign w:val="bottom"/>
            <w:shd w:val="clear" w:color="auto" w:fill="B7E5FF"/>
          </w:tcPr>
          <w:p>
            <w:pPr>
              <w:jc w:val="right"/>
              <w:ind w:right="747"/>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w w:val="97"/>
              </w:rPr>
              <w:t>20,531</w:t>
            </w:r>
          </w:p>
        </w:tc>
        <w:tc>
          <w:tcPr>
            <w:tcW w:w="100" w:type="dxa"/>
            <w:vAlign w:val="bottom"/>
            <w:shd w:val="clear" w:color="auto" w:fill="B7E5FF"/>
          </w:tcPr>
          <w:p>
            <w:pPr>
              <w:spacing w:after="0"/>
              <w:rPr>
                <w:sz w:val="11"/>
                <w:szCs w:val="11"/>
                <w:color w:val="auto"/>
              </w:rPr>
            </w:pPr>
          </w:p>
        </w:tc>
        <w:tc>
          <w:tcPr>
            <w:tcW w:w="860" w:type="dxa"/>
            <w:vAlign w:val="bottom"/>
            <w:shd w:val="clear" w:color="auto" w:fill="B7E5FF"/>
          </w:tcPr>
          <w:p>
            <w:pPr>
              <w:jc w:val="center"/>
              <w:ind w:right="700"/>
              <w:spacing w:after="0" w:line="133" w:lineRule="exact"/>
              <w:rPr>
                <w:sz w:val="20"/>
                <w:szCs w:val="20"/>
                <w:color w:val="auto"/>
              </w:rPr>
            </w:pPr>
            <w:r>
              <w:rPr>
                <w:rFonts w:ascii="Arial" w:cs="Arial" w:eastAsia="Arial" w:hAnsi="Arial"/>
                <w:sz w:val="12"/>
                <w:szCs w:val="12"/>
                <w:color w:val="auto"/>
                <w:w w:val="89"/>
              </w:rPr>
              <w:t>$</w:t>
            </w:r>
          </w:p>
        </w:tc>
        <w:tc>
          <w:tcPr>
            <w:tcW w:w="42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w w:val="97"/>
              </w:rPr>
              <w:t>22,563</w:t>
            </w:r>
          </w:p>
        </w:tc>
        <w:tc>
          <w:tcPr>
            <w:tcW w:w="120" w:type="dxa"/>
            <w:vAlign w:val="bottom"/>
            <w:shd w:val="clear" w:color="auto" w:fill="B7E5FF"/>
          </w:tcPr>
          <w:p>
            <w:pPr>
              <w:spacing w:after="0"/>
              <w:rPr>
                <w:sz w:val="11"/>
                <w:szCs w:val="11"/>
                <w:color w:val="auto"/>
              </w:rPr>
            </w:pPr>
          </w:p>
        </w:tc>
        <w:tc>
          <w:tcPr>
            <w:tcW w:w="320" w:type="dxa"/>
            <w:vAlign w:val="bottom"/>
            <w:shd w:val="clear" w:color="auto" w:fill="B7E5FF"/>
          </w:tcPr>
          <w:p>
            <w:pPr>
              <w:jc w:val="right"/>
              <w:ind w:right="21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40,360</w:t>
            </w:r>
          </w:p>
        </w:tc>
        <w:tc>
          <w:tcPr>
            <w:tcW w:w="100" w:type="dxa"/>
            <w:vAlign w:val="bottom"/>
            <w:shd w:val="clear" w:color="auto" w:fill="B7E5FF"/>
          </w:tcPr>
          <w:p>
            <w:pPr>
              <w:spacing w:after="0"/>
              <w:rPr>
                <w:sz w:val="11"/>
                <w:szCs w:val="11"/>
                <w:color w:val="auto"/>
              </w:rPr>
            </w:pPr>
          </w:p>
        </w:tc>
        <w:tc>
          <w:tcPr>
            <w:tcW w:w="520" w:type="dxa"/>
            <w:vAlign w:val="bottom"/>
            <w:shd w:val="clear" w:color="auto" w:fill="B7E5FF"/>
          </w:tcPr>
          <w:p>
            <w:pPr>
              <w:jc w:val="right"/>
              <w:ind w:right="380"/>
              <w:spacing w:after="0" w:line="133" w:lineRule="exact"/>
              <w:rPr>
                <w:sz w:val="20"/>
                <w:szCs w:val="20"/>
                <w:color w:val="auto"/>
              </w:rPr>
            </w:pPr>
            <w:r>
              <w:rPr>
                <w:rFonts w:ascii="Arial" w:cs="Arial" w:eastAsia="Arial" w:hAnsi="Arial"/>
                <w:sz w:val="12"/>
                <w:szCs w:val="12"/>
                <w:color w:val="auto"/>
                <w:w w:val="89"/>
              </w:rPr>
              <w:t>$</w:t>
            </w:r>
          </w:p>
        </w:tc>
        <w:tc>
          <w:tcPr>
            <w:tcW w:w="80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42,794</w:t>
            </w:r>
          </w:p>
        </w:tc>
      </w:tr>
      <w:tr>
        <w:trPr>
          <w:trHeight w:val="153"/>
        </w:trPr>
        <w:tc>
          <w:tcPr>
            <w:tcW w:w="4280" w:type="dxa"/>
            <w:vAlign w:val="bottom"/>
          </w:tcPr>
          <w:p>
            <w:pPr>
              <w:ind w:left="100"/>
              <w:spacing w:after="0"/>
              <w:rPr>
                <w:sz w:val="20"/>
                <w:szCs w:val="20"/>
                <w:color w:val="auto"/>
              </w:rPr>
            </w:pPr>
            <w:r>
              <w:rPr>
                <w:rFonts w:ascii="Arial" w:cs="Arial" w:eastAsia="Arial" w:hAnsi="Arial"/>
                <w:sz w:val="12"/>
                <w:szCs w:val="12"/>
                <w:color w:val="auto"/>
              </w:rPr>
              <w:t>Houghton combination and other acquisition-related</w:t>
            </w:r>
          </w:p>
        </w:tc>
        <w:tc>
          <w:tcPr>
            <w:tcW w:w="1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3"/>
        </w:trPr>
        <w:tc>
          <w:tcPr>
            <w:tcW w:w="4280" w:type="dxa"/>
            <w:vAlign w:val="bottom"/>
            <w:shd w:val="clear" w:color="auto" w:fill="B7E5FF"/>
          </w:tcPr>
          <w:p>
            <w:pPr>
              <w:ind w:left="100"/>
              <w:spacing w:after="0"/>
              <w:rPr>
                <w:sz w:val="20"/>
                <w:szCs w:val="20"/>
                <w:color w:val="auto"/>
              </w:rPr>
            </w:pPr>
            <w:r>
              <w:rPr>
                <w:rFonts w:ascii="Arial" w:cs="Arial" w:eastAsia="Arial" w:hAnsi="Arial"/>
                <w:sz w:val="12"/>
                <w:szCs w:val="12"/>
                <w:color w:val="auto"/>
              </w:rPr>
              <w:t>expenses (a)</w:t>
            </w:r>
          </w:p>
        </w:tc>
        <w:tc>
          <w:tcPr>
            <w:tcW w:w="1720" w:type="dxa"/>
            <w:vAlign w:val="bottom"/>
            <w:shd w:val="clear" w:color="auto" w:fill="B7E5FF"/>
          </w:tcPr>
          <w:p>
            <w:pPr>
              <w:spacing w:after="0"/>
              <w:rPr>
                <w:sz w:val="13"/>
                <w:szCs w:val="13"/>
                <w:color w:val="auto"/>
              </w:rPr>
            </w:pPr>
          </w:p>
        </w:tc>
        <w:tc>
          <w:tcPr>
            <w:tcW w:w="860" w:type="dxa"/>
            <w:vAlign w:val="bottom"/>
            <w:shd w:val="clear" w:color="auto" w:fill="B7E5FF"/>
          </w:tcPr>
          <w:p>
            <w:pPr>
              <w:spacing w:after="0"/>
              <w:rPr>
                <w:sz w:val="13"/>
                <w:szCs w:val="13"/>
                <w:color w:val="auto"/>
              </w:rPr>
            </w:pPr>
          </w:p>
        </w:tc>
        <w:tc>
          <w:tcPr>
            <w:tcW w:w="4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4,604</w:t>
            </w:r>
          </w:p>
        </w:tc>
        <w:tc>
          <w:tcPr>
            <w:tcW w:w="100" w:type="dxa"/>
            <w:vAlign w:val="bottom"/>
            <w:shd w:val="clear" w:color="auto" w:fill="B7E5FF"/>
          </w:tcPr>
          <w:p>
            <w:pPr>
              <w:spacing w:after="0"/>
              <w:rPr>
                <w:sz w:val="13"/>
                <w:szCs w:val="13"/>
                <w:color w:val="auto"/>
              </w:rPr>
            </w:pPr>
          </w:p>
        </w:tc>
        <w:tc>
          <w:tcPr>
            <w:tcW w:w="860" w:type="dxa"/>
            <w:vAlign w:val="bottom"/>
            <w:shd w:val="clear" w:color="auto" w:fill="B7E5FF"/>
          </w:tcPr>
          <w:p>
            <w:pPr>
              <w:spacing w:after="0"/>
              <w:rPr>
                <w:sz w:val="13"/>
                <w:szCs w:val="13"/>
                <w:color w:val="auto"/>
              </w:rPr>
            </w:pPr>
          </w:p>
        </w:tc>
        <w:tc>
          <w:tcPr>
            <w:tcW w:w="4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4,291</w:t>
            </w:r>
          </w:p>
        </w:tc>
        <w:tc>
          <w:tcPr>
            <w:tcW w:w="120" w:type="dxa"/>
            <w:vAlign w:val="bottom"/>
            <w:shd w:val="clear" w:color="auto" w:fill="B7E5FF"/>
          </w:tcPr>
          <w:p>
            <w:pPr>
              <w:spacing w:after="0"/>
              <w:rPr>
                <w:sz w:val="13"/>
                <w:szCs w:val="13"/>
                <w:color w:val="auto"/>
              </w:rPr>
            </w:pPr>
          </w:p>
        </w:tc>
        <w:tc>
          <w:tcPr>
            <w:tcW w:w="320" w:type="dxa"/>
            <w:vAlign w:val="bottom"/>
            <w:shd w:val="clear" w:color="auto" w:fill="B7E5FF"/>
          </w:tcPr>
          <w:p>
            <w:pPr>
              <w:spacing w:after="0"/>
              <w:rPr>
                <w:sz w:val="13"/>
                <w:szCs w:val="13"/>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9,087</w:t>
            </w:r>
          </w:p>
        </w:tc>
        <w:tc>
          <w:tcPr>
            <w:tcW w:w="100" w:type="dxa"/>
            <w:vAlign w:val="bottom"/>
            <w:shd w:val="clear" w:color="auto" w:fill="B7E5FF"/>
          </w:tcPr>
          <w:p>
            <w:pPr>
              <w:spacing w:after="0"/>
              <w:rPr>
                <w:sz w:val="13"/>
                <w:szCs w:val="13"/>
                <w:color w:val="auto"/>
              </w:rPr>
            </w:pPr>
          </w:p>
        </w:tc>
        <w:tc>
          <w:tcPr>
            <w:tcW w:w="520" w:type="dxa"/>
            <w:vAlign w:val="bottom"/>
            <w:shd w:val="clear" w:color="auto" w:fill="B7E5FF"/>
          </w:tcPr>
          <w:p>
            <w:pPr>
              <w:spacing w:after="0"/>
              <w:rPr>
                <w:sz w:val="13"/>
                <w:szCs w:val="13"/>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9,500</w:t>
            </w:r>
          </w:p>
        </w:tc>
      </w:tr>
      <w:tr>
        <w:trPr>
          <w:trHeight w:val="153"/>
        </w:trPr>
        <w:tc>
          <w:tcPr>
            <w:tcW w:w="4280" w:type="dxa"/>
            <w:vAlign w:val="bottom"/>
          </w:tcPr>
          <w:p>
            <w:pPr>
              <w:ind w:left="100"/>
              <w:spacing w:after="0"/>
              <w:rPr>
                <w:sz w:val="20"/>
                <w:szCs w:val="20"/>
                <w:color w:val="auto"/>
              </w:rPr>
            </w:pPr>
            <w:r>
              <w:rPr>
                <w:rFonts w:ascii="Arial" w:cs="Arial" w:eastAsia="Arial" w:hAnsi="Arial"/>
                <w:sz w:val="12"/>
                <w:szCs w:val="12"/>
                <w:color w:val="auto"/>
              </w:rPr>
              <w:t>Charges related to the settlement of a non-core equipment</w:t>
            </w:r>
          </w:p>
        </w:tc>
        <w:tc>
          <w:tcPr>
            <w:tcW w:w="1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3"/>
        </w:trPr>
        <w:tc>
          <w:tcPr>
            <w:tcW w:w="4280" w:type="dxa"/>
            <w:vAlign w:val="bottom"/>
            <w:shd w:val="clear" w:color="auto" w:fill="B7E5FF"/>
          </w:tcPr>
          <w:p>
            <w:pPr>
              <w:ind w:left="100"/>
              <w:spacing w:after="0"/>
              <w:rPr>
                <w:sz w:val="20"/>
                <w:szCs w:val="20"/>
                <w:color w:val="auto"/>
              </w:rPr>
            </w:pPr>
            <w:r>
              <w:rPr>
                <w:rFonts w:ascii="Arial" w:cs="Arial" w:eastAsia="Arial" w:hAnsi="Arial"/>
                <w:sz w:val="12"/>
                <w:szCs w:val="12"/>
                <w:color w:val="auto"/>
              </w:rPr>
              <w:t>sale (b)</w:t>
            </w:r>
          </w:p>
        </w:tc>
        <w:tc>
          <w:tcPr>
            <w:tcW w:w="1720" w:type="dxa"/>
            <w:vAlign w:val="bottom"/>
            <w:shd w:val="clear" w:color="auto" w:fill="B7E5FF"/>
          </w:tcPr>
          <w:p>
            <w:pPr>
              <w:spacing w:after="0"/>
              <w:rPr>
                <w:sz w:val="13"/>
                <w:szCs w:val="13"/>
                <w:color w:val="auto"/>
              </w:rPr>
            </w:pPr>
          </w:p>
        </w:tc>
        <w:tc>
          <w:tcPr>
            <w:tcW w:w="860" w:type="dxa"/>
            <w:vAlign w:val="bottom"/>
            <w:shd w:val="clear" w:color="auto" w:fill="B7E5FF"/>
          </w:tcPr>
          <w:p>
            <w:pPr>
              <w:spacing w:after="0"/>
              <w:rPr>
                <w:sz w:val="13"/>
                <w:szCs w:val="13"/>
                <w:color w:val="auto"/>
              </w:rPr>
            </w:pPr>
          </w:p>
        </w:tc>
        <w:tc>
          <w:tcPr>
            <w:tcW w:w="4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384</w:t>
            </w:r>
          </w:p>
        </w:tc>
        <w:tc>
          <w:tcPr>
            <w:tcW w:w="100" w:type="dxa"/>
            <w:vAlign w:val="bottom"/>
            <w:shd w:val="clear" w:color="auto" w:fill="B7E5FF"/>
          </w:tcPr>
          <w:p>
            <w:pPr>
              <w:spacing w:after="0"/>
              <w:rPr>
                <w:sz w:val="13"/>
                <w:szCs w:val="13"/>
                <w:color w:val="auto"/>
              </w:rPr>
            </w:pPr>
          </w:p>
        </w:tc>
        <w:tc>
          <w:tcPr>
            <w:tcW w:w="860" w:type="dxa"/>
            <w:vAlign w:val="bottom"/>
            <w:shd w:val="clear" w:color="auto" w:fill="B7E5FF"/>
          </w:tcPr>
          <w:p>
            <w:pPr>
              <w:spacing w:after="0"/>
              <w:rPr>
                <w:sz w:val="13"/>
                <w:szCs w:val="13"/>
                <w:color w:val="auto"/>
              </w:rPr>
            </w:pPr>
          </w:p>
        </w:tc>
        <w:tc>
          <w:tcPr>
            <w:tcW w:w="54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shd w:val="clear" w:color="auto" w:fill="B7E5FF"/>
          </w:tcPr>
          <w:p>
            <w:pPr>
              <w:spacing w:after="0"/>
              <w:rPr>
                <w:sz w:val="13"/>
                <w:szCs w:val="13"/>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384</w:t>
            </w:r>
          </w:p>
        </w:tc>
        <w:tc>
          <w:tcPr>
            <w:tcW w:w="100" w:type="dxa"/>
            <w:vAlign w:val="bottom"/>
            <w:shd w:val="clear" w:color="auto" w:fill="B7E5FF"/>
          </w:tcPr>
          <w:p>
            <w:pPr>
              <w:spacing w:after="0"/>
              <w:rPr>
                <w:sz w:val="13"/>
                <w:szCs w:val="13"/>
                <w:color w:val="auto"/>
              </w:rPr>
            </w:pPr>
          </w:p>
        </w:tc>
        <w:tc>
          <w:tcPr>
            <w:tcW w:w="520" w:type="dxa"/>
            <w:vAlign w:val="bottom"/>
            <w:shd w:val="clear" w:color="auto" w:fill="B7E5FF"/>
          </w:tcPr>
          <w:p>
            <w:pPr>
              <w:spacing w:after="0"/>
              <w:rPr>
                <w:sz w:val="13"/>
                <w:szCs w:val="13"/>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w:t>
            </w:r>
          </w:p>
        </w:tc>
      </w:tr>
      <w:tr>
        <w:trPr>
          <w:trHeight w:val="140"/>
        </w:trPr>
        <w:tc>
          <w:tcPr>
            <w:tcW w:w="4280" w:type="dxa"/>
            <w:vAlign w:val="bottom"/>
            <w:tcBorders>
              <w:bottom w:val="single" w:sz="8" w:color="B7E5FF"/>
            </w:tcBorders>
          </w:tcPr>
          <w:p>
            <w:pPr>
              <w:spacing w:after="0" w:line="133" w:lineRule="exact"/>
              <w:rPr>
                <w:sz w:val="20"/>
                <w:szCs w:val="20"/>
                <w:color w:val="auto"/>
              </w:rPr>
            </w:pPr>
            <w:r>
              <w:rPr>
                <w:rFonts w:ascii="Arial" w:cs="Arial" w:eastAsia="Arial" w:hAnsi="Arial"/>
                <w:sz w:val="12"/>
                <w:szCs w:val="12"/>
                <w:color w:val="auto"/>
              </w:rPr>
              <w:t>Non-GAAP operating income</w:t>
            </w:r>
          </w:p>
        </w:tc>
        <w:tc>
          <w:tcPr>
            <w:tcW w:w="1720" w:type="dxa"/>
            <w:vAlign w:val="bottom"/>
            <w:tcBorders>
              <w:bottom w:val="single" w:sz="8" w:color="B7E5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747"/>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97"/>
              </w:rPr>
              <w:t>25,519</w:t>
            </w:r>
          </w:p>
        </w:tc>
        <w:tc>
          <w:tcPr>
            <w:tcW w:w="100" w:type="dxa"/>
            <w:vAlign w:val="bottom"/>
            <w:tcBorders>
              <w:bottom w:val="single" w:sz="8" w:color="B7E5FF"/>
            </w:tcBorders>
          </w:tcPr>
          <w:p>
            <w:pPr>
              <w:spacing w:after="0"/>
              <w:rPr>
                <w:sz w:val="12"/>
                <w:szCs w:val="12"/>
                <w:color w:val="auto"/>
              </w:rPr>
            </w:pPr>
          </w:p>
        </w:tc>
        <w:tc>
          <w:tcPr>
            <w:tcW w:w="860" w:type="dxa"/>
            <w:vAlign w:val="bottom"/>
            <w:tcBorders>
              <w:top w:val="single" w:sz="8" w:color="auto"/>
              <w:bottom w:val="single" w:sz="8" w:color="auto"/>
            </w:tcBorders>
          </w:tcPr>
          <w:p>
            <w:pPr>
              <w:jc w:val="center"/>
              <w:ind w:right="700"/>
              <w:spacing w:after="0" w:line="133" w:lineRule="exact"/>
              <w:rPr>
                <w:sz w:val="20"/>
                <w:szCs w:val="20"/>
                <w:color w:val="auto"/>
              </w:rPr>
            </w:pPr>
            <w:r>
              <w:rPr>
                <w:rFonts w:ascii="Arial" w:cs="Arial" w:eastAsia="Arial" w:hAnsi="Arial"/>
                <w:sz w:val="12"/>
                <w:szCs w:val="12"/>
                <w:color w:val="auto"/>
                <w:w w:val="89"/>
              </w:rPr>
              <w:t>$</w:t>
            </w:r>
          </w:p>
        </w:tc>
        <w:tc>
          <w:tcPr>
            <w:tcW w:w="4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97"/>
              </w:rPr>
              <w:t>26,854</w:t>
            </w:r>
          </w:p>
        </w:tc>
        <w:tc>
          <w:tcPr>
            <w:tcW w:w="120" w:type="dxa"/>
            <w:vAlign w:val="bottom"/>
            <w:tcBorders>
              <w:bottom w:val="single" w:sz="8" w:color="B7E5FF"/>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49,831</w:t>
            </w:r>
          </w:p>
        </w:tc>
        <w:tc>
          <w:tcPr>
            <w:tcW w:w="100" w:type="dxa"/>
            <w:vAlign w:val="bottom"/>
            <w:tcBorders>
              <w:bottom w:val="single" w:sz="8" w:color="B7E5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80"/>
              <w:spacing w:after="0" w:line="133" w:lineRule="exact"/>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52,294</w:t>
            </w:r>
          </w:p>
        </w:tc>
      </w:tr>
      <w:tr>
        <w:trPr>
          <w:trHeight w:val="144"/>
        </w:trPr>
        <w:tc>
          <w:tcPr>
            <w:tcW w:w="4280" w:type="dxa"/>
            <w:vAlign w:val="bottom"/>
            <w:shd w:val="clear" w:color="auto" w:fill="B7E5FF"/>
          </w:tcPr>
          <w:p>
            <w:pPr>
              <w:spacing w:after="0" w:line="135" w:lineRule="exact"/>
              <w:rPr>
                <w:sz w:val="20"/>
                <w:szCs w:val="20"/>
                <w:color w:val="auto"/>
              </w:rPr>
            </w:pPr>
            <w:r>
              <w:rPr>
                <w:rFonts w:ascii="Arial" w:cs="Arial" w:eastAsia="Arial" w:hAnsi="Arial"/>
                <w:sz w:val="12"/>
                <w:szCs w:val="12"/>
                <w:color w:val="auto"/>
              </w:rPr>
              <w:t>Non-GAAP operating margin (%) (g)</w:t>
            </w:r>
          </w:p>
        </w:tc>
        <w:tc>
          <w:tcPr>
            <w:tcW w:w="1720" w:type="dxa"/>
            <w:vAlign w:val="bottom"/>
            <w:shd w:val="clear" w:color="auto" w:fill="B7E5FF"/>
          </w:tcPr>
          <w:p>
            <w:pPr>
              <w:spacing w:after="0"/>
              <w:rPr>
                <w:sz w:val="12"/>
                <w:szCs w:val="12"/>
                <w:color w:val="auto"/>
              </w:rPr>
            </w:pPr>
          </w:p>
        </w:tc>
        <w:tc>
          <w:tcPr>
            <w:tcW w:w="860" w:type="dxa"/>
            <w:vAlign w:val="bottom"/>
            <w:shd w:val="clear" w:color="auto" w:fill="B7E5FF"/>
          </w:tcPr>
          <w:p>
            <w:pPr>
              <w:spacing w:after="0"/>
              <w:rPr>
                <w:sz w:val="12"/>
                <w:szCs w:val="12"/>
                <w:color w:val="auto"/>
              </w:rPr>
            </w:pPr>
          </w:p>
        </w:tc>
        <w:tc>
          <w:tcPr>
            <w:tcW w:w="4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12.4%</w:t>
            </w:r>
          </w:p>
        </w:tc>
        <w:tc>
          <w:tcPr>
            <w:tcW w:w="100" w:type="dxa"/>
            <w:vAlign w:val="bottom"/>
            <w:shd w:val="clear" w:color="auto" w:fill="B7E5FF"/>
          </w:tcPr>
          <w:p>
            <w:pPr>
              <w:spacing w:after="0"/>
              <w:rPr>
                <w:sz w:val="12"/>
                <w:szCs w:val="12"/>
                <w:color w:val="auto"/>
              </w:rPr>
            </w:pPr>
          </w:p>
        </w:tc>
        <w:tc>
          <w:tcPr>
            <w:tcW w:w="860" w:type="dxa"/>
            <w:vAlign w:val="bottom"/>
            <w:shd w:val="clear" w:color="auto" w:fill="B7E5FF"/>
          </w:tcPr>
          <w:p>
            <w:pPr>
              <w:spacing w:after="0"/>
              <w:rPr>
                <w:sz w:val="12"/>
                <w:szCs w:val="12"/>
                <w:color w:val="auto"/>
              </w:rPr>
            </w:pPr>
          </w:p>
        </w:tc>
        <w:tc>
          <w:tcPr>
            <w:tcW w:w="4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12.1%</w:t>
            </w:r>
          </w:p>
        </w:tc>
        <w:tc>
          <w:tcPr>
            <w:tcW w:w="120" w:type="dxa"/>
            <w:vAlign w:val="bottom"/>
            <w:shd w:val="clear" w:color="auto" w:fill="B7E5FF"/>
          </w:tcPr>
          <w:p>
            <w:pPr>
              <w:spacing w:after="0"/>
              <w:rPr>
                <w:sz w:val="12"/>
                <w:szCs w:val="12"/>
                <w:color w:val="auto"/>
              </w:rPr>
            </w:pPr>
          </w:p>
        </w:tc>
        <w:tc>
          <w:tcPr>
            <w:tcW w:w="320" w:type="dxa"/>
            <w:vAlign w:val="bottom"/>
            <w:shd w:val="clear" w:color="auto" w:fill="B7E5FF"/>
          </w:tcPr>
          <w:p>
            <w:pPr>
              <w:spacing w:after="0"/>
              <w:rPr>
                <w:sz w:val="12"/>
                <w:szCs w:val="12"/>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11.9%</w:t>
            </w: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12.0%</w:t>
            </w:r>
          </w:p>
        </w:tc>
      </w:tr>
      <w:tr>
        <w:trPr>
          <w:trHeight w:val="594"/>
        </w:trPr>
        <w:tc>
          <w:tcPr>
            <w:tcW w:w="4280" w:type="dxa"/>
            <w:vAlign w:val="bottom"/>
          </w:tcPr>
          <w:p>
            <w:pPr>
              <w:spacing w:after="0"/>
              <w:rPr>
                <w:sz w:val="24"/>
                <w:szCs w:val="24"/>
                <w:color w:val="auto"/>
              </w:rPr>
            </w:pPr>
          </w:p>
        </w:tc>
        <w:tc>
          <w:tcPr>
            <w:tcW w:w="1720" w:type="dxa"/>
            <w:vAlign w:val="bottom"/>
          </w:tcPr>
          <w:p>
            <w:pPr>
              <w:jc w:val="right"/>
              <w:ind w:right="140"/>
              <w:spacing w:after="0"/>
              <w:rPr>
                <w:sz w:val="20"/>
                <w:szCs w:val="20"/>
                <w:color w:val="auto"/>
              </w:rPr>
            </w:pPr>
            <w:r>
              <w:rPr>
                <w:rFonts w:ascii="Arial" w:cs="Arial" w:eastAsia="Arial" w:hAnsi="Arial"/>
                <w:sz w:val="12"/>
                <w:szCs w:val="12"/>
                <w:color w:val="auto"/>
              </w:rPr>
              <w:t>26</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72"/>
        </w:trPr>
        <w:tc>
          <w:tcPr>
            <w:tcW w:w="428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-23495</wp:posOffset>
            </wp:positionV>
            <wp:extent cx="31115"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27" w:name="page28"/>
    <w:bookmarkEnd w:id="27"/>
    <w:p>
      <w:pPr>
        <w:jc w:val="center"/>
        <w:ind w:right="-7"/>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Management’s Discussion and Analysis</w:t>
      </w:r>
    </w:p>
    <w:p>
      <w:pPr>
        <w:spacing w:after="0" w:line="164"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6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Arial" w:cs="Arial" w:eastAsia="Arial" w:hAnsi="Arial"/>
                <w:sz w:val="12"/>
                <w:szCs w:val="12"/>
                <w:b w:val="1"/>
                <w:bCs w:val="1"/>
                <w:color w:val="auto"/>
                <w:w w:val="90"/>
              </w:rPr>
              <w:t>Three Months Ended</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gridSpan w:val="3"/>
          </w:tcPr>
          <w:p>
            <w:pPr>
              <w:jc w:val="right"/>
              <w:spacing w:after="0"/>
              <w:rPr>
                <w:sz w:val="20"/>
                <w:szCs w:val="20"/>
                <w:color w:val="auto"/>
              </w:rPr>
            </w:pPr>
            <w:r>
              <w:rPr>
                <w:rFonts w:ascii="Arial" w:cs="Arial" w:eastAsia="Arial" w:hAnsi="Arial"/>
                <w:sz w:val="12"/>
                <w:szCs w:val="12"/>
                <w:b w:val="1"/>
                <w:bCs w:val="1"/>
                <w:color w:val="auto"/>
              </w:rPr>
              <w:t>Six Months Ended</w:t>
            </w:r>
          </w:p>
        </w:tc>
        <w:tc>
          <w:tcPr>
            <w:tcW w:w="820" w:type="dxa"/>
            <w:vAlign w:val="bottom"/>
          </w:tcPr>
          <w:p>
            <w:pPr>
              <w:spacing w:after="0"/>
              <w:rPr>
                <w:sz w:val="13"/>
                <w:szCs w:val="13"/>
                <w:color w:val="auto"/>
              </w:rPr>
            </w:pPr>
          </w:p>
        </w:tc>
      </w:tr>
      <w:tr>
        <w:trPr>
          <w:trHeight w:val="157"/>
        </w:trPr>
        <w:tc>
          <w:tcPr>
            <w:tcW w:w="600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2"/>
                <w:szCs w:val="12"/>
                <w:b w:val="1"/>
                <w:bCs w:val="1"/>
                <w:color w:val="auto"/>
              </w:rPr>
              <w:t>June 30,</w:t>
            </w:r>
          </w:p>
        </w:tc>
        <w:tc>
          <w:tcPr>
            <w:tcW w:w="7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2"/>
                <w:szCs w:val="12"/>
                <w:b w:val="1"/>
                <w:bCs w:val="1"/>
                <w:color w:val="auto"/>
              </w:rPr>
              <w:t>June 30,</w:t>
            </w:r>
          </w:p>
        </w:tc>
        <w:tc>
          <w:tcPr>
            <w:tcW w:w="820" w:type="dxa"/>
            <w:vAlign w:val="bottom"/>
            <w:tcBorders>
              <w:bottom w:val="single" w:sz="8" w:color="auto"/>
            </w:tcBorders>
          </w:tcPr>
          <w:p>
            <w:pPr>
              <w:spacing w:after="0"/>
              <w:rPr>
                <w:sz w:val="13"/>
                <w:szCs w:val="13"/>
                <w:color w:val="auto"/>
              </w:rPr>
            </w:pPr>
          </w:p>
        </w:tc>
      </w:tr>
      <w:tr>
        <w:trPr>
          <w:trHeight w:val="133"/>
        </w:trPr>
        <w:tc>
          <w:tcPr>
            <w:tcW w:w="6000" w:type="dxa"/>
            <w:vAlign w:val="bottom"/>
            <w:tcBorders>
              <w:bottom w:val="single" w:sz="8" w:color="B7E5FF"/>
            </w:tcBorders>
          </w:tcPr>
          <w:p>
            <w:pPr>
              <w:spacing w:after="0"/>
              <w:rPr>
                <w:sz w:val="11"/>
                <w:szCs w:val="11"/>
                <w:color w:val="auto"/>
              </w:rPr>
            </w:pPr>
          </w:p>
        </w:tc>
        <w:tc>
          <w:tcPr>
            <w:tcW w:w="7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2019</w:t>
            </w: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B7E5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460"/>
              <w:spacing w:after="0" w:line="133" w:lineRule="exact"/>
              <w:rPr>
                <w:sz w:val="20"/>
                <w:szCs w:val="20"/>
                <w:color w:val="auto"/>
              </w:rPr>
            </w:pPr>
            <w:r>
              <w:rPr>
                <w:rFonts w:ascii="Arial" w:cs="Arial" w:eastAsia="Arial" w:hAnsi="Arial"/>
                <w:sz w:val="12"/>
                <w:szCs w:val="12"/>
                <w:b w:val="1"/>
                <w:bCs w:val="1"/>
                <w:color w:val="auto"/>
                <w:w w:val="82"/>
              </w:rPr>
              <w:t>2018</w:t>
            </w:r>
          </w:p>
        </w:tc>
        <w:tc>
          <w:tcPr>
            <w:tcW w:w="120" w:type="dxa"/>
            <w:vAlign w:val="bottom"/>
            <w:tcBorders>
              <w:bottom w:val="single" w:sz="8" w:color="B7E5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60"/>
              <w:spacing w:after="0" w:line="133" w:lineRule="exact"/>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B7E5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480"/>
              <w:spacing w:after="0" w:line="133" w:lineRule="exact"/>
              <w:rPr>
                <w:sz w:val="20"/>
                <w:szCs w:val="20"/>
                <w:color w:val="auto"/>
              </w:rPr>
            </w:pPr>
            <w:r>
              <w:rPr>
                <w:rFonts w:ascii="Arial" w:cs="Arial" w:eastAsia="Arial" w:hAnsi="Arial"/>
                <w:sz w:val="12"/>
                <w:szCs w:val="12"/>
                <w:b w:val="1"/>
                <w:bCs w:val="1"/>
                <w:color w:val="auto"/>
                <w:w w:val="97"/>
              </w:rPr>
              <w:t>2018</w:t>
            </w:r>
          </w:p>
        </w:tc>
      </w:tr>
      <w:tr>
        <w:trPr>
          <w:trHeight w:val="133"/>
        </w:trPr>
        <w:tc>
          <w:tcPr>
            <w:tcW w:w="6000" w:type="dxa"/>
            <w:vAlign w:val="bottom"/>
            <w:shd w:val="clear" w:color="auto" w:fill="B7E5FF"/>
          </w:tcPr>
          <w:p>
            <w:pPr>
              <w:spacing w:after="0" w:line="133" w:lineRule="exact"/>
              <w:rPr>
                <w:sz w:val="20"/>
                <w:szCs w:val="20"/>
                <w:color w:val="auto"/>
              </w:rPr>
            </w:pPr>
            <w:r>
              <w:rPr>
                <w:rFonts w:ascii="Arial" w:cs="Arial" w:eastAsia="Arial" w:hAnsi="Arial"/>
                <w:sz w:val="12"/>
                <w:szCs w:val="12"/>
                <w:color w:val="auto"/>
              </w:rPr>
              <w:t>Net income attributable to Quaker Chemical Corporation</w:t>
            </w:r>
          </w:p>
        </w:tc>
        <w:tc>
          <w:tcPr>
            <w:tcW w:w="780" w:type="dxa"/>
            <w:vAlign w:val="bottom"/>
            <w:shd w:val="clear" w:color="auto" w:fill="B7E5FF"/>
          </w:tcPr>
          <w:p>
            <w:pPr>
              <w:jc w:val="right"/>
              <w:ind w:right="668"/>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15,591</w:t>
            </w:r>
          </w:p>
        </w:tc>
        <w:tc>
          <w:tcPr>
            <w:tcW w:w="100" w:type="dxa"/>
            <w:vAlign w:val="bottom"/>
            <w:shd w:val="clear" w:color="auto" w:fill="B7E5FF"/>
          </w:tcPr>
          <w:p>
            <w:pPr>
              <w:spacing w:after="0"/>
              <w:rPr>
                <w:sz w:val="11"/>
                <w:szCs w:val="11"/>
                <w:color w:val="auto"/>
              </w:rPr>
            </w:pPr>
          </w:p>
        </w:tc>
        <w:tc>
          <w:tcPr>
            <w:tcW w:w="520" w:type="dxa"/>
            <w:vAlign w:val="bottom"/>
            <w:shd w:val="clear" w:color="auto" w:fill="B7E5FF"/>
          </w:tcPr>
          <w:p>
            <w:pPr>
              <w:jc w:val="right"/>
              <w:ind w:right="380"/>
              <w:spacing w:after="0" w:line="133" w:lineRule="exact"/>
              <w:rPr>
                <w:sz w:val="20"/>
                <w:szCs w:val="20"/>
                <w:color w:val="auto"/>
              </w:rPr>
            </w:pPr>
            <w:r>
              <w:rPr>
                <w:rFonts w:ascii="Arial" w:cs="Arial" w:eastAsia="Arial" w:hAnsi="Arial"/>
                <w:sz w:val="12"/>
                <w:szCs w:val="12"/>
                <w:color w:val="auto"/>
                <w:w w:val="89"/>
              </w:rPr>
              <w:t>$</w:t>
            </w:r>
          </w:p>
        </w:tc>
        <w:tc>
          <w:tcPr>
            <w:tcW w:w="76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19,246</w:t>
            </w:r>
          </w:p>
        </w:tc>
        <w:tc>
          <w:tcPr>
            <w:tcW w:w="120" w:type="dxa"/>
            <w:vAlign w:val="bottom"/>
            <w:shd w:val="clear" w:color="auto" w:fill="B7E5FF"/>
          </w:tcPr>
          <w:p>
            <w:pPr>
              <w:spacing w:after="0"/>
              <w:rPr>
                <w:sz w:val="11"/>
                <w:szCs w:val="11"/>
                <w:color w:val="auto"/>
              </w:rPr>
            </w:pPr>
          </w:p>
        </w:tc>
        <w:tc>
          <w:tcPr>
            <w:tcW w:w="300" w:type="dxa"/>
            <w:vAlign w:val="bottom"/>
            <w:shd w:val="clear" w:color="auto" w:fill="B7E5FF"/>
          </w:tcPr>
          <w:p>
            <w:pPr>
              <w:jc w:val="right"/>
              <w:ind w:right="19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29,435</w:t>
            </w:r>
          </w:p>
        </w:tc>
        <w:tc>
          <w:tcPr>
            <w:tcW w:w="100" w:type="dxa"/>
            <w:vAlign w:val="bottom"/>
            <w:shd w:val="clear" w:color="auto" w:fill="B7E5FF"/>
          </w:tcPr>
          <w:p>
            <w:pPr>
              <w:spacing w:after="0"/>
              <w:rPr>
                <w:sz w:val="11"/>
                <w:szCs w:val="11"/>
                <w:color w:val="auto"/>
              </w:rPr>
            </w:pPr>
          </w:p>
        </w:tc>
        <w:tc>
          <w:tcPr>
            <w:tcW w:w="500" w:type="dxa"/>
            <w:vAlign w:val="bottom"/>
            <w:shd w:val="clear" w:color="auto" w:fill="B7E5FF"/>
          </w:tcPr>
          <w:p>
            <w:pPr>
              <w:jc w:val="right"/>
              <w:ind w:right="360"/>
              <w:spacing w:after="0" w:line="133" w:lineRule="exact"/>
              <w:rPr>
                <w:sz w:val="20"/>
                <w:szCs w:val="20"/>
                <w:color w:val="auto"/>
              </w:rPr>
            </w:pPr>
            <w:r>
              <w:rPr>
                <w:rFonts w:ascii="Arial" w:cs="Arial" w:eastAsia="Arial" w:hAnsi="Arial"/>
                <w:sz w:val="12"/>
                <w:szCs w:val="12"/>
                <w:color w:val="auto"/>
                <w:w w:val="89"/>
              </w:rPr>
              <w:t>$</w:t>
            </w:r>
          </w:p>
        </w:tc>
        <w:tc>
          <w:tcPr>
            <w:tcW w:w="820" w:type="dxa"/>
            <w:vAlign w:val="bottom"/>
            <w:shd w:val="clear" w:color="auto" w:fill="B7E5FF"/>
          </w:tcPr>
          <w:p>
            <w:pPr>
              <w:jc w:val="right"/>
              <w:spacing w:after="0" w:line="133" w:lineRule="exact"/>
              <w:rPr>
                <w:sz w:val="20"/>
                <w:szCs w:val="20"/>
                <w:color w:val="auto"/>
              </w:rPr>
            </w:pPr>
            <w:r>
              <w:rPr>
                <w:rFonts w:ascii="Arial" w:cs="Arial" w:eastAsia="Arial" w:hAnsi="Arial"/>
                <w:sz w:val="12"/>
                <w:szCs w:val="12"/>
                <w:color w:val="auto"/>
              </w:rPr>
              <w:t>31,978</w:t>
            </w:r>
          </w:p>
        </w:tc>
      </w:tr>
      <w:tr>
        <w:trPr>
          <w:trHeight w:val="153"/>
        </w:trPr>
        <w:tc>
          <w:tcPr>
            <w:tcW w:w="6000" w:type="dxa"/>
            <w:vAlign w:val="bottom"/>
          </w:tcPr>
          <w:p>
            <w:pPr>
              <w:ind w:left="100"/>
              <w:spacing w:after="0"/>
              <w:rPr>
                <w:sz w:val="20"/>
                <w:szCs w:val="20"/>
                <w:color w:val="auto"/>
              </w:rPr>
            </w:pPr>
            <w:r>
              <w:rPr>
                <w:rFonts w:ascii="Arial" w:cs="Arial" w:eastAsia="Arial" w:hAnsi="Arial"/>
                <w:sz w:val="12"/>
                <w:szCs w:val="12"/>
                <w:color w:val="auto"/>
              </w:rPr>
              <w:t>Depreciation and amortization</w:t>
            </w:r>
          </w:p>
        </w:tc>
        <w:tc>
          <w:tcPr>
            <w:tcW w:w="7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4,843</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4,981</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9,702</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10,028</w:t>
            </w:r>
          </w:p>
        </w:tc>
      </w:tr>
      <w:tr>
        <w:trPr>
          <w:trHeight w:val="153"/>
        </w:trPr>
        <w:tc>
          <w:tcPr>
            <w:tcW w:w="6000" w:type="dxa"/>
            <w:vAlign w:val="bottom"/>
            <w:shd w:val="clear" w:color="auto" w:fill="B7E5FF"/>
          </w:tcPr>
          <w:p>
            <w:pPr>
              <w:ind w:left="100"/>
              <w:spacing w:after="0"/>
              <w:rPr>
                <w:sz w:val="20"/>
                <w:szCs w:val="20"/>
                <w:color w:val="auto"/>
              </w:rPr>
            </w:pPr>
            <w:r>
              <w:rPr>
                <w:rFonts w:ascii="Arial" w:cs="Arial" w:eastAsia="Arial" w:hAnsi="Arial"/>
                <w:sz w:val="12"/>
                <w:szCs w:val="12"/>
                <w:color w:val="auto"/>
              </w:rPr>
              <w:t>Interest expense, net (a)</w:t>
            </w:r>
          </w:p>
        </w:tc>
        <w:tc>
          <w:tcPr>
            <w:tcW w:w="780" w:type="dxa"/>
            <w:vAlign w:val="bottom"/>
            <w:shd w:val="clear" w:color="auto" w:fill="B7E5FF"/>
          </w:tcPr>
          <w:p>
            <w:pPr>
              <w:spacing w:after="0"/>
              <w:rPr>
                <w:sz w:val="13"/>
                <w:szCs w:val="13"/>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733</w:t>
            </w:r>
          </w:p>
        </w:tc>
        <w:tc>
          <w:tcPr>
            <w:tcW w:w="100" w:type="dxa"/>
            <w:vAlign w:val="bottom"/>
            <w:shd w:val="clear" w:color="auto" w:fill="B7E5FF"/>
          </w:tcPr>
          <w:p>
            <w:pPr>
              <w:spacing w:after="0"/>
              <w:rPr>
                <w:sz w:val="13"/>
                <w:szCs w:val="13"/>
                <w:color w:val="auto"/>
              </w:rPr>
            </w:pPr>
          </w:p>
        </w:tc>
        <w:tc>
          <w:tcPr>
            <w:tcW w:w="520" w:type="dxa"/>
            <w:vAlign w:val="bottom"/>
            <w:shd w:val="clear" w:color="auto" w:fill="B7E5FF"/>
          </w:tcPr>
          <w:p>
            <w:pPr>
              <w:spacing w:after="0"/>
              <w:rPr>
                <w:sz w:val="13"/>
                <w:szCs w:val="13"/>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1,031</w:t>
            </w:r>
          </w:p>
        </w:tc>
        <w:tc>
          <w:tcPr>
            <w:tcW w:w="120" w:type="dxa"/>
            <w:vAlign w:val="bottom"/>
            <w:shd w:val="clear" w:color="auto" w:fill="B7E5FF"/>
          </w:tcPr>
          <w:p>
            <w:pPr>
              <w:spacing w:after="0"/>
              <w:rPr>
                <w:sz w:val="13"/>
                <w:szCs w:val="13"/>
                <w:color w:val="auto"/>
              </w:rPr>
            </w:pPr>
          </w:p>
        </w:tc>
        <w:tc>
          <w:tcPr>
            <w:tcW w:w="300" w:type="dxa"/>
            <w:vAlign w:val="bottom"/>
            <w:shd w:val="clear" w:color="auto" w:fill="B7E5FF"/>
          </w:tcPr>
          <w:p>
            <w:pPr>
              <w:spacing w:after="0"/>
              <w:rPr>
                <w:sz w:val="13"/>
                <w:szCs w:val="13"/>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1,509</w:t>
            </w:r>
          </w:p>
        </w:tc>
        <w:tc>
          <w:tcPr>
            <w:tcW w:w="100" w:type="dxa"/>
            <w:vAlign w:val="bottom"/>
            <w:shd w:val="clear" w:color="auto" w:fill="B7E5FF"/>
          </w:tcPr>
          <w:p>
            <w:pPr>
              <w:spacing w:after="0"/>
              <w:rPr>
                <w:sz w:val="13"/>
                <w:szCs w:val="13"/>
                <w:color w:val="auto"/>
              </w:rPr>
            </w:pPr>
          </w:p>
        </w:tc>
        <w:tc>
          <w:tcPr>
            <w:tcW w:w="500" w:type="dxa"/>
            <w:vAlign w:val="bottom"/>
            <w:shd w:val="clear" w:color="auto" w:fill="B7E5FF"/>
          </w:tcPr>
          <w:p>
            <w:pPr>
              <w:spacing w:after="0"/>
              <w:rPr>
                <w:sz w:val="13"/>
                <w:szCs w:val="13"/>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2,234</w:t>
            </w:r>
          </w:p>
        </w:tc>
      </w:tr>
      <w:tr>
        <w:trPr>
          <w:trHeight w:val="153"/>
        </w:trPr>
        <w:tc>
          <w:tcPr>
            <w:tcW w:w="6000" w:type="dxa"/>
            <w:vAlign w:val="bottom"/>
          </w:tcPr>
          <w:p>
            <w:pPr>
              <w:ind w:left="100"/>
              <w:spacing w:after="0"/>
              <w:rPr>
                <w:sz w:val="20"/>
                <w:szCs w:val="20"/>
                <w:color w:val="auto"/>
              </w:rPr>
            </w:pPr>
            <w:r>
              <w:rPr>
                <w:rFonts w:ascii="Arial" w:cs="Arial" w:eastAsia="Arial" w:hAnsi="Arial"/>
                <w:sz w:val="12"/>
                <w:szCs w:val="12"/>
                <w:color w:val="auto"/>
              </w:rPr>
              <w:t>Taxes on income before equity in net income</w:t>
            </w: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3"/>
        </w:trPr>
        <w:tc>
          <w:tcPr>
            <w:tcW w:w="6000" w:type="dxa"/>
            <w:vAlign w:val="bottom"/>
            <w:shd w:val="clear" w:color="auto" w:fill="B7E5FF"/>
          </w:tcPr>
          <w:p>
            <w:pPr>
              <w:ind w:left="100"/>
              <w:spacing w:after="0"/>
              <w:rPr>
                <w:sz w:val="20"/>
                <w:szCs w:val="20"/>
                <w:color w:val="auto"/>
              </w:rPr>
            </w:pPr>
            <w:r>
              <w:rPr>
                <w:rFonts w:ascii="Arial" w:cs="Arial" w:eastAsia="Arial" w:hAnsi="Arial"/>
                <w:sz w:val="12"/>
                <w:szCs w:val="12"/>
                <w:color w:val="auto"/>
              </w:rPr>
              <w:t>of associated companies (f)</w:t>
            </w:r>
          </w:p>
        </w:tc>
        <w:tc>
          <w:tcPr>
            <w:tcW w:w="780" w:type="dxa"/>
            <w:vAlign w:val="bottom"/>
            <w:tcBorders>
              <w:bottom w:val="single" w:sz="8" w:color="auto"/>
            </w:tcBorders>
            <w:shd w:val="clear" w:color="auto" w:fill="B7E5FF"/>
          </w:tcPr>
          <w:p>
            <w:pPr>
              <w:spacing w:after="0"/>
              <w:rPr>
                <w:sz w:val="13"/>
                <w:szCs w:val="13"/>
                <w:color w:val="auto"/>
              </w:rPr>
            </w:pPr>
          </w:p>
        </w:tc>
        <w:tc>
          <w:tcPr>
            <w:tcW w:w="5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4,800</w:t>
            </w:r>
          </w:p>
        </w:tc>
        <w:tc>
          <w:tcPr>
            <w:tcW w:w="100" w:type="dxa"/>
            <w:vAlign w:val="bottom"/>
            <w:shd w:val="clear" w:color="auto" w:fill="B7E5FF"/>
          </w:tcPr>
          <w:p>
            <w:pPr>
              <w:spacing w:after="0"/>
              <w:rPr>
                <w:sz w:val="13"/>
                <w:szCs w:val="13"/>
                <w:color w:val="auto"/>
              </w:rPr>
            </w:pPr>
          </w:p>
        </w:tc>
        <w:tc>
          <w:tcPr>
            <w:tcW w:w="520" w:type="dxa"/>
            <w:vAlign w:val="bottom"/>
            <w:tcBorders>
              <w:bottom w:val="single" w:sz="8" w:color="auto"/>
            </w:tcBorders>
            <w:shd w:val="clear" w:color="auto" w:fill="B7E5FF"/>
          </w:tcPr>
          <w:p>
            <w:pPr>
              <w:spacing w:after="0"/>
              <w:rPr>
                <w:sz w:val="13"/>
                <w:szCs w:val="13"/>
                <w:color w:val="auto"/>
              </w:rPr>
            </w:pPr>
          </w:p>
        </w:tc>
        <w:tc>
          <w:tcPr>
            <w:tcW w:w="7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3,668</w:t>
            </w:r>
          </w:p>
        </w:tc>
        <w:tc>
          <w:tcPr>
            <w:tcW w:w="120" w:type="dxa"/>
            <w:vAlign w:val="bottom"/>
            <w:shd w:val="clear" w:color="auto" w:fill="B7E5FF"/>
          </w:tcPr>
          <w:p>
            <w:pPr>
              <w:spacing w:after="0"/>
              <w:rPr>
                <w:sz w:val="13"/>
                <w:szCs w:val="13"/>
                <w:color w:val="auto"/>
              </w:rPr>
            </w:pPr>
          </w:p>
        </w:tc>
        <w:tc>
          <w:tcPr>
            <w:tcW w:w="300" w:type="dxa"/>
            <w:vAlign w:val="bottom"/>
            <w:tcBorders>
              <w:bottom w:val="single" w:sz="8" w:color="auto"/>
            </w:tcBorders>
            <w:shd w:val="clear" w:color="auto" w:fill="B7E5FF"/>
          </w:tcPr>
          <w:p>
            <w:pPr>
              <w:spacing w:after="0"/>
              <w:rPr>
                <w:sz w:val="13"/>
                <w:szCs w:val="13"/>
                <w:color w:val="auto"/>
              </w:rPr>
            </w:pP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9,729</w:t>
            </w:r>
          </w:p>
        </w:tc>
        <w:tc>
          <w:tcPr>
            <w:tcW w:w="100" w:type="dxa"/>
            <w:vAlign w:val="bottom"/>
            <w:shd w:val="clear" w:color="auto" w:fill="B7E5FF"/>
          </w:tcPr>
          <w:p>
            <w:pPr>
              <w:spacing w:after="0"/>
              <w:rPr>
                <w:sz w:val="13"/>
                <w:szCs w:val="13"/>
                <w:color w:val="auto"/>
              </w:rPr>
            </w:pPr>
          </w:p>
        </w:tc>
        <w:tc>
          <w:tcPr>
            <w:tcW w:w="500" w:type="dxa"/>
            <w:vAlign w:val="bottom"/>
            <w:tcBorders>
              <w:bottom w:val="single" w:sz="8" w:color="auto"/>
            </w:tcBorders>
            <w:shd w:val="clear" w:color="auto" w:fill="B7E5FF"/>
          </w:tcPr>
          <w:p>
            <w:pPr>
              <w:spacing w:after="0"/>
              <w:rPr>
                <w:sz w:val="13"/>
                <w:szCs w:val="13"/>
                <w:color w:val="auto"/>
              </w:rPr>
            </w:pPr>
          </w:p>
        </w:tc>
        <w:tc>
          <w:tcPr>
            <w:tcW w:w="8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9,224</w:t>
            </w:r>
          </w:p>
        </w:tc>
      </w:tr>
      <w:tr>
        <w:trPr>
          <w:trHeight w:val="133"/>
        </w:trPr>
        <w:tc>
          <w:tcPr>
            <w:tcW w:w="6000" w:type="dxa"/>
            <w:vAlign w:val="bottom"/>
          </w:tcPr>
          <w:p>
            <w:pPr>
              <w:spacing w:after="0" w:line="133" w:lineRule="exact"/>
              <w:rPr>
                <w:sz w:val="20"/>
                <w:szCs w:val="20"/>
                <w:color w:val="auto"/>
              </w:rPr>
            </w:pPr>
            <w:r>
              <w:rPr>
                <w:rFonts w:ascii="Arial" w:cs="Arial" w:eastAsia="Arial" w:hAnsi="Arial"/>
                <w:sz w:val="12"/>
                <w:szCs w:val="12"/>
                <w:color w:val="auto"/>
              </w:rPr>
              <w:t>EBITDA</w:t>
            </w:r>
          </w:p>
        </w:tc>
        <w:tc>
          <w:tcPr>
            <w:tcW w:w="780" w:type="dxa"/>
            <w:vAlign w:val="bottom"/>
          </w:tcPr>
          <w:p>
            <w:pPr>
              <w:jc w:val="right"/>
              <w:ind w:right="668"/>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33" w:lineRule="exact"/>
              <w:rPr>
                <w:sz w:val="20"/>
                <w:szCs w:val="20"/>
                <w:color w:val="auto"/>
              </w:rPr>
            </w:pPr>
            <w:r>
              <w:rPr>
                <w:rFonts w:ascii="Arial" w:cs="Arial" w:eastAsia="Arial" w:hAnsi="Arial"/>
                <w:sz w:val="12"/>
                <w:szCs w:val="12"/>
                <w:color w:val="auto"/>
              </w:rPr>
              <w:t>25,967</w:t>
            </w:r>
          </w:p>
        </w:tc>
        <w:tc>
          <w:tcPr>
            <w:tcW w:w="100" w:type="dxa"/>
            <w:vAlign w:val="bottom"/>
          </w:tcPr>
          <w:p>
            <w:pPr>
              <w:spacing w:after="0"/>
              <w:rPr>
                <w:sz w:val="11"/>
                <w:szCs w:val="11"/>
                <w:color w:val="auto"/>
              </w:rPr>
            </w:pPr>
          </w:p>
        </w:tc>
        <w:tc>
          <w:tcPr>
            <w:tcW w:w="520" w:type="dxa"/>
            <w:vAlign w:val="bottom"/>
          </w:tcPr>
          <w:p>
            <w:pPr>
              <w:jc w:val="right"/>
              <w:ind w:right="380"/>
              <w:spacing w:after="0" w:line="133" w:lineRule="exact"/>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line="133" w:lineRule="exact"/>
              <w:rPr>
                <w:sz w:val="20"/>
                <w:szCs w:val="20"/>
                <w:color w:val="auto"/>
              </w:rPr>
            </w:pPr>
            <w:r>
              <w:rPr>
                <w:rFonts w:ascii="Arial" w:cs="Arial" w:eastAsia="Arial" w:hAnsi="Arial"/>
                <w:sz w:val="12"/>
                <w:szCs w:val="12"/>
                <w:color w:val="auto"/>
              </w:rPr>
              <w:t>28,926</w:t>
            </w:r>
          </w:p>
        </w:tc>
        <w:tc>
          <w:tcPr>
            <w:tcW w:w="120" w:type="dxa"/>
            <w:vAlign w:val="bottom"/>
          </w:tcPr>
          <w:p>
            <w:pPr>
              <w:spacing w:after="0"/>
              <w:rPr>
                <w:sz w:val="11"/>
                <w:szCs w:val="11"/>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33" w:lineRule="exact"/>
              <w:rPr>
                <w:sz w:val="20"/>
                <w:szCs w:val="20"/>
                <w:color w:val="auto"/>
              </w:rPr>
            </w:pPr>
            <w:r>
              <w:rPr>
                <w:rFonts w:ascii="Arial" w:cs="Arial" w:eastAsia="Arial" w:hAnsi="Arial"/>
                <w:sz w:val="12"/>
                <w:szCs w:val="12"/>
                <w:color w:val="auto"/>
              </w:rPr>
              <w:t>50,375</w:t>
            </w:r>
          </w:p>
        </w:tc>
        <w:tc>
          <w:tcPr>
            <w:tcW w:w="100" w:type="dxa"/>
            <w:vAlign w:val="bottom"/>
          </w:tcPr>
          <w:p>
            <w:pPr>
              <w:spacing w:after="0"/>
              <w:rPr>
                <w:sz w:val="11"/>
                <w:szCs w:val="11"/>
                <w:color w:val="auto"/>
              </w:rPr>
            </w:pPr>
          </w:p>
        </w:tc>
        <w:tc>
          <w:tcPr>
            <w:tcW w:w="500" w:type="dxa"/>
            <w:vAlign w:val="bottom"/>
          </w:tcPr>
          <w:p>
            <w:pPr>
              <w:jc w:val="right"/>
              <w:ind w:right="360"/>
              <w:spacing w:after="0" w:line="133" w:lineRule="exact"/>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line="133" w:lineRule="exact"/>
              <w:rPr>
                <w:sz w:val="20"/>
                <w:szCs w:val="20"/>
                <w:color w:val="auto"/>
              </w:rPr>
            </w:pPr>
            <w:r>
              <w:rPr>
                <w:rFonts w:ascii="Arial" w:cs="Arial" w:eastAsia="Arial" w:hAnsi="Arial"/>
                <w:sz w:val="12"/>
                <w:szCs w:val="12"/>
                <w:color w:val="auto"/>
              </w:rPr>
              <w:t>53,464</w:t>
            </w:r>
          </w:p>
        </w:tc>
      </w:tr>
      <w:tr>
        <w:trPr>
          <w:trHeight w:val="153"/>
        </w:trPr>
        <w:tc>
          <w:tcPr>
            <w:tcW w:w="6000" w:type="dxa"/>
            <w:vAlign w:val="bottom"/>
            <w:shd w:val="clear" w:color="auto" w:fill="B7E5FF"/>
          </w:tcPr>
          <w:p>
            <w:pPr>
              <w:ind w:left="100"/>
              <w:spacing w:after="0"/>
              <w:rPr>
                <w:sz w:val="20"/>
                <w:szCs w:val="20"/>
                <w:color w:val="auto"/>
              </w:rPr>
            </w:pPr>
            <w:r>
              <w:rPr>
                <w:rFonts w:ascii="Arial" w:cs="Arial" w:eastAsia="Arial" w:hAnsi="Arial"/>
                <w:sz w:val="12"/>
                <w:szCs w:val="12"/>
                <w:color w:val="auto"/>
              </w:rPr>
              <w:t>Equity income in a captive insurance company (c)</w:t>
            </w:r>
          </w:p>
        </w:tc>
        <w:tc>
          <w:tcPr>
            <w:tcW w:w="780" w:type="dxa"/>
            <w:vAlign w:val="bottom"/>
            <w:shd w:val="clear" w:color="auto" w:fill="B7E5FF"/>
          </w:tcPr>
          <w:p>
            <w:pPr>
              <w:spacing w:after="0"/>
              <w:rPr>
                <w:sz w:val="13"/>
                <w:szCs w:val="13"/>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(390)</w:t>
            </w:r>
          </w:p>
        </w:tc>
        <w:tc>
          <w:tcPr>
            <w:tcW w:w="100" w:type="dxa"/>
            <w:vAlign w:val="bottom"/>
            <w:shd w:val="clear" w:color="auto" w:fill="B7E5FF"/>
          </w:tcPr>
          <w:p>
            <w:pPr>
              <w:spacing w:after="0"/>
              <w:rPr>
                <w:sz w:val="13"/>
                <w:szCs w:val="13"/>
                <w:color w:val="auto"/>
              </w:rPr>
            </w:pPr>
          </w:p>
        </w:tc>
        <w:tc>
          <w:tcPr>
            <w:tcW w:w="520" w:type="dxa"/>
            <w:vAlign w:val="bottom"/>
            <w:shd w:val="clear" w:color="auto" w:fill="B7E5FF"/>
          </w:tcPr>
          <w:p>
            <w:pPr>
              <w:spacing w:after="0"/>
              <w:rPr>
                <w:sz w:val="13"/>
                <w:szCs w:val="13"/>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(1,015)</w:t>
            </w:r>
          </w:p>
        </w:tc>
        <w:tc>
          <w:tcPr>
            <w:tcW w:w="120" w:type="dxa"/>
            <w:vAlign w:val="bottom"/>
            <w:shd w:val="clear" w:color="auto" w:fill="B7E5FF"/>
          </w:tcPr>
          <w:p>
            <w:pPr>
              <w:spacing w:after="0"/>
              <w:rPr>
                <w:sz w:val="13"/>
                <w:szCs w:val="13"/>
                <w:color w:val="auto"/>
              </w:rPr>
            </w:pPr>
          </w:p>
        </w:tc>
        <w:tc>
          <w:tcPr>
            <w:tcW w:w="300" w:type="dxa"/>
            <w:vAlign w:val="bottom"/>
            <w:shd w:val="clear" w:color="auto" w:fill="B7E5FF"/>
          </w:tcPr>
          <w:p>
            <w:pPr>
              <w:spacing w:after="0"/>
              <w:rPr>
                <w:sz w:val="13"/>
                <w:szCs w:val="13"/>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(736)</w:t>
            </w:r>
          </w:p>
        </w:tc>
        <w:tc>
          <w:tcPr>
            <w:tcW w:w="100" w:type="dxa"/>
            <w:vAlign w:val="bottom"/>
            <w:shd w:val="clear" w:color="auto" w:fill="B7E5FF"/>
          </w:tcPr>
          <w:p>
            <w:pPr>
              <w:spacing w:after="0"/>
              <w:rPr>
                <w:sz w:val="13"/>
                <w:szCs w:val="13"/>
                <w:color w:val="auto"/>
              </w:rPr>
            </w:pPr>
          </w:p>
        </w:tc>
        <w:tc>
          <w:tcPr>
            <w:tcW w:w="500" w:type="dxa"/>
            <w:vAlign w:val="bottom"/>
            <w:shd w:val="clear" w:color="auto" w:fill="B7E5FF"/>
          </w:tcPr>
          <w:p>
            <w:pPr>
              <w:spacing w:after="0"/>
              <w:rPr>
                <w:sz w:val="13"/>
                <w:szCs w:val="13"/>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(643)</w:t>
            </w:r>
          </w:p>
        </w:tc>
      </w:tr>
      <w:tr>
        <w:trPr>
          <w:trHeight w:val="153"/>
        </w:trPr>
        <w:tc>
          <w:tcPr>
            <w:tcW w:w="6000" w:type="dxa"/>
            <w:vAlign w:val="bottom"/>
          </w:tcPr>
          <w:p>
            <w:pPr>
              <w:ind w:left="100"/>
              <w:spacing w:after="0"/>
              <w:rPr>
                <w:sz w:val="20"/>
                <w:szCs w:val="20"/>
                <w:color w:val="auto"/>
              </w:rPr>
            </w:pPr>
            <w:r>
              <w:rPr>
                <w:rFonts w:ascii="Arial" w:cs="Arial" w:eastAsia="Arial" w:hAnsi="Arial"/>
                <w:sz w:val="12"/>
                <w:szCs w:val="12"/>
                <w:color w:val="auto"/>
              </w:rPr>
              <w:t>Houghton combination and other acquisition-related</w:t>
            </w: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3"/>
        </w:trPr>
        <w:tc>
          <w:tcPr>
            <w:tcW w:w="6000" w:type="dxa"/>
            <w:vAlign w:val="bottom"/>
            <w:shd w:val="clear" w:color="auto" w:fill="B7E5FF"/>
          </w:tcPr>
          <w:p>
            <w:pPr>
              <w:ind w:left="100"/>
              <w:spacing w:after="0"/>
              <w:rPr>
                <w:sz w:val="20"/>
                <w:szCs w:val="20"/>
                <w:color w:val="auto"/>
              </w:rPr>
            </w:pPr>
            <w:r>
              <w:rPr>
                <w:rFonts w:ascii="Arial" w:cs="Arial" w:eastAsia="Arial" w:hAnsi="Arial"/>
                <w:sz w:val="12"/>
                <w:szCs w:val="12"/>
                <w:color w:val="auto"/>
              </w:rPr>
              <w:t>expenses (a)</w:t>
            </w:r>
          </w:p>
        </w:tc>
        <w:tc>
          <w:tcPr>
            <w:tcW w:w="780" w:type="dxa"/>
            <w:vAlign w:val="bottom"/>
            <w:shd w:val="clear" w:color="auto" w:fill="B7E5FF"/>
          </w:tcPr>
          <w:p>
            <w:pPr>
              <w:spacing w:after="0"/>
              <w:rPr>
                <w:sz w:val="13"/>
                <w:szCs w:val="13"/>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4,604</w:t>
            </w:r>
          </w:p>
        </w:tc>
        <w:tc>
          <w:tcPr>
            <w:tcW w:w="100" w:type="dxa"/>
            <w:vAlign w:val="bottom"/>
            <w:shd w:val="clear" w:color="auto" w:fill="B7E5FF"/>
          </w:tcPr>
          <w:p>
            <w:pPr>
              <w:spacing w:after="0"/>
              <w:rPr>
                <w:sz w:val="13"/>
                <w:szCs w:val="13"/>
                <w:color w:val="auto"/>
              </w:rPr>
            </w:pPr>
          </w:p>
        </w:tc>
        <w:tc>
          <w:tcPr>
            <w:tcW w:w="520" w:type="dxa"/>
            <w:vAlign w:val="bottom"/>
            <w:shd w:val="clear" w:color="auto" w:fill="B7E5FF"/>
          </w:tcPr>
          <w:p>
            <w:pPr>
              <w:spacing w:after="0"/>
              <w:rPr>
                <w:sz w:val="13"/>
                <w:szCs w:val="13"/>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3,681</w:t>
            </w:r>
          </w:p>
        </w:tc>
        <w:tc>
          <w:tcPr>
            <w:tcW w:w="120" w:type="dxa"/>
            <w:vAlign w:val="bottom"/>
            <w:shd w:val="clear" w:color="auto" w:fill="B7E5FF"/>
          </w:tcPr>
          <w:p>
            <w:pPr>
              <w:spacing w:after="0"/>
              <w:rPr>
                <w:sz w:val="13"/>
                <w:szCs w:val="13"/>
                <w:color w:val="auto"/>
              </w:rPr>
            </w:pPr>
          </w:p>
        </w:tc>
        <w:tc>
          <w:tcPr>
            <w:tcW w:w="300" w:type="dxa"/>
            <w:vAlign w:val="bottom"/>
            <w:shd w:val="clear" w:color="auto" w:fill="B7E5FF"/>
          </w:tcPr>
          <w:p>
            <w:pPr>
              <w:spacing w:after="0"/>
              <w:rPr>
                <w:sz w:val="13"/>
                <w:szCs w:val="13"/>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9,087</w:t>
            </w:r>
          </w:p>
        </w:tc>
        <w:tc>
          <w:tcPr>
            <w:tcW w:w="100" w:type="dxa"/>
            <w:vAlign w:val="bottom"/>
            <w:shd w:val="clear" w:color="auto" w:fill="B7E5FF"/>
          </w:tcPr>
          <w:p>
            <w:pPr>
              <w:spacing w:after="0"/>
              <w:rPr>
                <w:sz w:val="13"/>
                <w:szCs w:val="13"/>
                <w:color w:val="auto"/>
              </w:rPr>
            </w:pPr>
          </w:p>
        </w:tc>
        <w:tc>
          <w:tcPr>
            <w:tcW w:w="500" w:type="dxa"/>
            <w:vAlign w:val="bottom"/>
            <w:shd w:val="clear" w:color="auto" w:fill="B7E5FF"/>
          </w:tcPr>
          <w:p>
            <w:pPr>
              <w:spacing w:after="0"/>
              <w:rPr>
                <w:sz w:val="13"/>
                <w:szCs w:val="13"/>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8,890</w:t>
            </w:r>
          </w:p>
        </w:tc>
      </w:tr>
      <w:tr>
        <w:trPr>
          <w:trHeight w:val="153"/>
        </w:trPr>
        <w:tc>
          <w:tcPr>
            <w:tcW w:w="6000" w:type="dxa"/>
            <w:vAlign w:val="bottom"/>
          </w:tcPr>
          <w:p>
            <w:pPr>
              <w:ind w:left="100"/>
              <w:spacing w:after="0"/>
              <w:rPr>
                <w:sz w:val="20"/>
                <w:szCs w:val="20"/>
                <w:color w:val="auto"/>
              </w:rPr>
            </w:pPr>
            <w:r>
              <w:rPr>
                <w:rFonts w:ascii="Arial" w:cs="Arial" w:eastAsia="Arial" w:hAnsi="Arial"/>
                <w:sz w:val="12"/>
                <w:szCs w:val="12"/>
                <w:color w:val="auto"/>
              </w:rPr>
              <w:t>Pension and postretirement benefit costs,</w:t>
            </w: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3"/>
        </w:trPr>
        <w:tc>
          <w:tcPr>
            <w:tcW w:w="6000" w:type="dxa"/>
            <w:vAlign w:val="bottom"/>
            <w:shd w:val="clear" w:color="auto" w:fill="B7E5FF"/>
          </w:tcPr>
          <w:p>
            <w:pPr>
              <w:ind w:left="100"/>
              <w:spacing w:after="0"/>
              <w:rPr>
                <w:sz w:val="20"/>
                <w:szCs w:val="20"/>
                <w:color w:val="auto"/>
              </w:rPr>
            </w:pPr>
            <w:r>
              <w:rPr>
                <w:rFonts w:ascii="Arial" w:cs="Arial" w:eastAsia="Arial" w:hAnsi="Arial"/>
                <w:sz w:val="12"/>
                <w:szCs w:val="12"/>
                <w:color w:val="auto"/>
              </w:rPr>
              <w:t>non-service components (d)</w:t>
            </w:r>
          </w:p>
        </w:tc>
        <w:tc>
          <w:tcPr>
            <w:tcW w:w="780" w:type="dxa"/>
            <w:vAlign w:val="bottom"/>
            <w:shd w:val="clear" w:color="auto" w:fill="B7E5FF"/>
          </w:tcPr>
          <w:p>
            <w:pPr>
              <w:spacing w:after="0"/>
              <w:rPr>
                <w:sz w:val="13"/>
                <w:szCs w:val="13"/>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895</w:t>
            </w:r>
          </w:p>
        </w:tc>
        <w:tc>
          <w:tcPr>
            <w:tcW w:w="100" w:type="dxa"/>
            <w:vAlign w:val="bottom"/>
            <w:shd w:val="clear" w:color="auto" w:fill="B7E5FF"/>
          </w:tcPr>
          <w:p>
            <w:pPr>
              <w:spacing w:after="0"/>
              <w:rPr>
                <w:sz w:val="13"/>
                <w:szCs w:val="13"/>
                <w:color w:val="auto"/>
              </w:rPr>
            </w:pPr>
          </w:p>
        </w:tc>
        <w:tc>
          <w:tcPr>
            <w:tcW w:w="520" w:type="dxa"/>
            <w:vAlign w:val="bottom"/>
            <w:shd w:val="clear" w:color="auto" w:fill="B7E5FF"/>
          </w:tcPr>
          <w:p>
            <w:pPr>
              <w:spacing w:after="0"/>
              <w:rPr>
                <w:sz w:val="13"/>
                <w:szCs w:val="13"/>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569</w:t>
            </w:r>
          </w:p>
        </w:tc>
        <w:tc>
          <w:tcPr>
            <w:tcW w:w="120" w:type="dxa"/>
            <w:vAlign w:val="bottom"/>
            <w:shd w:val="clear" w:color="auto" w:fill="B7E5FF"/>
          </w:tcPr>
          <w:p>
            <w:pPr>
              <w:spacing w:after="0"/>
              <w:rPr>
                <w:sz w:val="13"/>
                <w:szCs w:val="13"/>
                <w:color w:val="auto"/>
              </w:rPr>
            </w:pPr>
          </w:p>
        </w:tc>
        <w:tc>
          <w:tcPr>
            <w:tcW w:w="300" w:type="dxa"/>
            <w:vAlign w:val="bottom"/>
            <w:shd w:val="clear" w:color="auto" w:fill="B7E5FF"/>
          </w:tcPr>
          <w:p>
            <w:pPr>
              <w:spacing w:after="0"/>
              <w:rPr>
                <w:sz w:val="13"/>
                <w:szCs w:val="13"/>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1,791</w:t>
            </w:r>
          </w:p>
        </w:tc>
        <w:tc>
          <w:tcPr>
            <w:tcW w:w="100" w:type="dxa"/>
            <w:vAlign w:val="bottom"/>
            <w:shd w:val="clear" w:color="auto" w:fill="B7E5FF"/>
          </w:tcPr>
          <w:p>
            <w:pPr>
              <w:spacing w:after="0"/>
              <w:rPr>
                <w:sz w:val="13"/>
                <w:szCs w:val="13"/>
                <w:color w:val="auto"/>
              </w:rPr>
            </w:pPr>
          </w:p>
        </w:tc>
        <w:tc>
          <w:tcPr>
            <w:tcW w:w="500" w:type="dxa"/>
            <w:vAlign w:val="bottom"/>
            <w:shd w:val="clear" w:color="auto" w:fill="B7E5FF"/>
          </w:tcPr>
          <w:p>
            <w:pPr>
              <w:spacing w:after="0"/>
              <w:rPr>
                <w:sz w:val="13"/>
                <w:szCs w:val="13"/>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1,145</w:t>
            </w:r>
          </w:p>
        </w:tc>
      </w:tr>
      <w:tr>
        <w:trPr>
          <w:trHeight w:val="153"/>
        </w:trPr>
        <w:tc>
          <w:tcPr>
            <w:tcW w:w="6000" w:type="dxa"/>
            <w:vAlign w:val="bottom"/>
          </w:tcPr>
          <w:p>
            <w:pPr>
              <w:ind w:left="100"/>
              <w:spacing w:after="0"/>
              <w:rPr>
                <w:sz w:val="20"/>
                <w:szCs w:val="20"/>
                <w:color w:val="auto"/>
              </w:rPr>
            </w:pPr>
            <w:r>
              <w:rPr>
                <w:rFonts w:ascii="Arial" w:cs="Arial" w:eastAsia="Arial" w:hAnsi="Arial"/>
                <w:sz w:val="12"/>
                <w:szCs w:val="12"/>
                <w:color w:val="auto"/>
              </w:rPr>
              <w:t>Charges related to the settlement of a non-core equipment</w:t>
            </w: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3"/>
        </w:trPr>
        <w:tc>
          <w:tcPr>
            <w:tcW w:w="6000" w:type="dxa"/>
            <w:vAlign w:val="bottom"/>
            <w:shd w:val="clear" w:color="auto" w:fill="B7E5FF"/>
          </w:tcPr>
          <w:p>
            <w:pPr>
              <w:ind w:left="100"/>
              <w:spacing w:after="0"/>
              <w:rPr>
                <w:sz w:val="20"/>
                <w:szCs w:val="20"/>
                <w:color w:val="auto"/>
              </w:rPr>
            </w:pPr>
            <w:r>
              <w:rPr>
                <w:rFonts w:ascii="Arial" w:cs="Arial" w:eastAsia="Arial" w:hAnsi="Arial"/>
                <w:sz w:val="12"/>
                <w:szCs w:val="12"/>
                <w:color w:val="auto"/>
              </w:rPr>
              <w:t>sale (b)</w:t>
            </w:r>
          </w:p>
        </w:tc>
        <w:tc>
          <w:tcPr>
            <w:tcW w:w="780" w:type="dxa"/>
            <w:vAlign w:val="bottom"/>
            <w:shd w:val="clear" w:color="auto" w:fill="B7E5FF"/>
          </w:tcPr>
          <w:p>
            <w:pPr>
              <w:spacing w:after="0"/>
              <w:rPr>
                <w:sz w:val="13"/>
                <w:szCs w:val="13"/>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384</w:t>
            </w:r>
          </w:p>
        </w:tc>
        <w:tc>
          <w:tcPr>
            <w:tcW w:w="100" w:type="dxa"/>
            <w:vAlign w:val="bottom"/>
            <w:shd w:val="clear" w:color="auto" w:fill="B7E5FF"/>
          </w:tcPr>
          <w:p>
            <w:pPr>
              <w:spacing w:after="0"/>
              <w:rPr>
                <w:sz w:val="13"/>
                <w:szCs w:val="13"/>
                <w:color w:val="auto"/>
              </w:rPr>
            </w:pPr>
          </w:p>
        </w:tc>
        <w:tc>
          <w:tcPr>
            <w:tcW w:w="520" w:type="dxa"/>
            <w:vAlign w:val="bottom"/>
            <w:shd w:val="clear" w:color="auto" w:fill="B7E5FF"/>
          </w:tcPr>
          <w:p>
            <w:pPr>
              <w:spacing w:after="0"/>
              <w:rPr>
                <w:sz w:val="13"/>
                <w:szCs w:val="13"/>
                <w:color w:val="auto"/>
              </w:rPr>
            </w:pPr>
          </w:p>
        </w:tc>
        <w:tc>
          <w:tcPr>
            <w:tcW w:w="88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shd w:val="clear" w:color="auto" w:fill="B7E5FF"/>
          </w:tcPr>
          <w:p>
            <w:pPr>
              <w:spacing w:after="0"/>
              <w:rPr>
                <w:sz w:val="13"/>
                <w:szCs w:val="13"/>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384</w:t>
            </w:r>
          </w:p>
        </w:tc>
        <w:tc>
          <w:tcPr>
            <w:tcW w:w="100" w:type="dxa"/>
            <w:vAlign w:val="bottom"/>
            <w:shd w:val="clear" w:color="auto" w:fill="B7E5FF"/>
          </w:tcPr>
          <w:p>
            <w:pPr>
              <w:spacing w:after="0"/>
              <w:rPr>
                <w:sz w:val="13"/>
                <w:szCs w:val="13"/>
                <w:color w:val="auto"/>
              </w:rPr>
            </w:pPr>
          </w:p>
        </w:tc>
        <w:tc>
          <w:tcPr>
            <w:tcW w:w="500" w:type="dxa"/>
            <w:vAlign w:val="bottom"/>
            <w:shd w:val="clear" w:color="auto" w:fill="B7E5FF"/>
          </w:tcPr>
          <w:p>
            <w:pPr>
              <w:spacing w:after="0"/>
              <w:rPr>
                <w:sz w:val="13"/>
                <w:szCs w:val="13"/>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6000" w:type="dxa"/>
            <w:vAlign w:val="bottom"/>
          </w:tcPr>
          <w:p>
            <w:pPr>
              <w:ind w:left="100"/>
              <w:spacing w:after="0"/>
              <w:rPr>
                <w:sz w:val="20"/>
                <w:szCs w:val="20"/>
                <w:color w:val="auto"/>
              </w:rPr>
            </w:pPr>
            <w:r>
              <w:rPr>
                <w:rFonts w:ascii="Arial" w:cs="Arial" w:eastAsia="Arial" w:hAnsi="Arial"/>
                <w:sz w:val="12"/>
                <w:szCs w:val="12"/>
                <w:color w:val="auto"/>
              </w:rPr>
              <w:t>Currency conversion impacts of</w:t>
            </w: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3"/>
        </w:trPr>
        <w:tc>
          <w:tcPr>
            <w:tcW w:w="6000" w:type="dxa"/>
            <w:vAlign w:val="bottom"/>
            <w:shd w:val="clear" w:color="auto" w:fill="B7E5FF"/>
          </w:tcPr>
          <w:p>
            <w:pPr>
              <w:ind w:left="100"/>
              <w:spacing w:after="0"/>
              <w:rPr>
                <w:sz w:val="20"/>
                <w:szCs w:val="20"/>
                <w:color w:val="auto"/>
              </w:rPr>
            </w:pPr>
            <w:r>
              <w:rPr>
                <w:rFonts w:ascii="Arial" w:cs="Arial" w:eastAsia="Arial" w:hAnsi="Arial"/>
                <w:sz w:val="12"/>
                <w:szCs w:val="12"/>
                <w:color w:val="auto"/>
              </w:rPr>
              <w:t>hyper-inflationary economies (e)</w:t>
            </w:r>
          </w:p>
        </w:tc>
        <w:tc>
          <w:tcPr>
            <w:tcW w:w="780" w:type="dxa"/>
            <w:vAlign w:val="bottom"/>
            <w:tcBorders>
              <w:bottom w:val="single" w:sz="8" w:color="auto"/>
            </w:tcBorders>
            <w:shd w:val="clear" w:color="auto" w:fill="B7E5FF"/>
          </w:tcPr>
          <w:p>
            <w:pPr>
              <w:spacing w:after="0"/>
              <w:rPr>
                <w:sz w:val="13"/>
                <w:szCs w:val="13"/>
                <w:color w:val="auto"/>
              </w:rPr>
            </w:pPr>
          </w:p>
        </w:tc>
        <w:tc>
          <w:tcPr>
            <w:tcW w:w="5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(31)</w:t>
            </w:r>
          </w:p>
        </w:tc>
        <w:tc>
          <w:tcPr>
            <w:tcW w:w="100" w:type="dxa"/>
            <w:vAlign w:val="bottom"/>
            <w:shd w:val="clear" w:color="auto" w:fill="B7E5FF"/>
          </w:tcPr>
          <w:p>
            <w:pPr>
              <w:spacing w:after="0"/>
              <w:rPr>
                <w:sz w:val="13"/>
                <w:szCs w:val="13"/>
                <w:color w:val="auto"/>
              </w:rPr>
            </w:pPr>
          </w:p>
        </w:tc>
        <w:tc>
          <w:tcPr>
            <w:tcW w:w="520" w:type="dxa"/>
            <w:vAlign w:val="bottom"/>
            <w:tcBorders>
              <w:bottom w:val="single" w:sz="8" w:color="auto"/>
            </w:tcBorders>
            <w:shd w:val="clear" w:color="auto" w:fill="B7E5FF"/>
          </w:tcPr>
          <w:p>
            <w:pPr>
              <w:spacing w:after="0"/>
              <w:rPr>
                <w:sz w:val="13"/>
                <w:szCs w:val="13"/>
                <w:color w:val="auto"/>
              </w:rPr>
            </w:pPr>
          </w:p>
        </w:tc>
        <w:tc>
          <w:tcPr>
            <w:tcW w:w="7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26</w:t>
            </w:r>
          </w:p>
        </w:tc>
        <w:tc>
          <w:tcPr>
            <w:tcW w:w="120" w:type="dxa"/>
            <w:vAlign w:val="bottom"/>
            <w:shd w:val="clear" w:color="auto" w:fill="B7E5FF"/>
          </w:tcPr>
          <w:p>
            <w:pPr>
              <w:spacing w:after="0"/>
              <w:rPr>
                <w:sz w:val="13"/>
                <w:szCs w:val="13"/>
                <w:color w:val="auto"/>
              </w:rPr>
            </w:pPr>
          </w:p>
        </w:tc>
        <w:tc>
          <w:tcPr>
            <w:tcW w:w="300" w:type="dxa"/>
            <w:vAlign w:val="bottom"/>
            <w:tcBorders>
              <w:bottom w:val="single" w:sz="8" w:color="auto"/>
            </w:tcBorders>
            <w:shd w:val="clear" w:color="auto" w:fill="B7E5FF"/>
          </w:tcPr>
          <w:p>
            <w:pPr>
              <w:spacing w:after="0"/>
              <w:rPr>
                <w:sz w:val="13"/>
                <w:szCs w:val="13"/>
                <w:color w:val="auto"/>
              </w:rPr>
            </w:pP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163</w:t>
            </w:r>
          </w:p>
        </w:tc>
        <w:tc>
          <w:tcPr>
            <w:tcW w:w="100" w:type="dxa"/>
            <w:vAlign w:val="bottom"/>
            <w:shd w:val="clear" w:color="auto" w:fill="B7E5FF"/>
          </w:tcPr>
          <w:p>
            <w:pPr>
              <w:spacing w:after="0"/>
              <w:rPr>
                <w:sz w:val="13"/>
                <w:szCs w:val="13"/>
                <w:color w:val="auto"/>
              </w:rPr>
            </w:pPr>
          </w:p>
        </w:tc>
        <w:tc>
          <w:tcPr>
            <w:tcW w:w="500" w:type="dxa"/>
            <w:vAlign w:val="bottom"/>
            <w:tcBorders>
              <w:bottom w:val="single" w:sz="8" w:color="auto"/>
            </w:tcBorders>
            <w:shd w:val="clear" w:color="auto" w:fill="B7E5FF"/>
          </w:tcPr>
          <w:p>
            <w:pPr>
              <w:spacing w:after="0"/>
              <w:rPr>
                <w:sz w:val="13"/>
                <w:szCs w:val="13"/>
                <w:color w:val="auto"/>
              </w:rPr>
            </w:pPr>
          </w:p>
        </w:tc>
        <w:tc>
          <w:tcPr>
            <w:tcW w:w="8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244</w:t>
            </w:r>
          </w:p>
        </w:tc>
      </w:tr>
      <w:tr>
        <w:trPr>
          <w:trHeight w:val="140"/>
        </w:trPr>
        <w:tc>
          <w:tcPr>
            <w:tcW w:w="6000" w:type="dxa"/>
            <w:vAlign w:val="bottom"/>
            <w:tcBorders>
              <w:bottom w:val="single" w:sz="8" w:color="B7E5FF"/>
            </w:tcBorders>
          </w:tcPr>
          <w:p>
            <w:pPr>
              <w:spacing w:after="0" w:line="133" w:lineRule="exact"/>
              <w:rPr>
                <w:sz w:val="20"/>
                <w:szCs w:val="20"/>
                <w:color w:val="auto"/>
              </w:rPr>
            </w:pPr>
            <w:r>
              <w:rPr>
                <w:rFonts w:ascii="Arial" w:cs="Arial" w:eastAsia="Arial" w:hAnsi="Arial"/>
                <w:sz w:val="12"/>
                <w:szCs w:val="12"/>
                <w:color w:val="auto"/>
              </w:rPr>
              <w:t>Adjusted EBITDA</w:t>
            </w:r>
          </w:p>
        </w:tc>
        <w:tc>
          <w:tcPr>
            <w:tcW w:w="78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31,429</w:t>
            </w:r>
          </w:p>
        </w:tc>
        <w:tc>
          <w:tcPr>
            <w:tcW w:w="100" w:type="dxa"/>
            <w:vAlign w:val="bottom"/>
            <w:tcBorders>
              <w:bottom w:val="single" w:sz="8" w:color="B7E5FF"/>
            </w:tcBorders>
          </w:tcPr>
          <w:p>
            <w:pPr>
              <w:spacing w:after="0"/>
              <w:rPr>
                <w:sz w:val="12"/>
                <w:szCs w:val="12"/>
                <w:color w:val="auto"/>
              </w:rPr>
            </w:pPr>
          </w:p>
        </w:tc>
        <w:tc>
          <w:tcPr>
            <w:tcW w:w="520" w:type="dxa"/>
            <w:vAlign w:val="bottom"/>
            <w:tcBorders>
              <w:bottom w:val="single" w:sz="8" w:color="auto"/>
            </w:tcBorders>
          </w:tcPr>
          <w:p>
            <w:pPr>
              <w:jc w:val="right"/>
              <w:ind w:right="380"/>
              <w:spacing w:after="0" w:line="133" w:lineRule="exact"/>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32,187</w:t>
            </w:r>
          </w:p>
        </w:tc>
        <w:tc>
          <w:tcPr>
            <w:tcW w:w="120" w:type="dxa"/>
            <w:vAlign w:val="bottom"/>
            <w:tcBorders>
              <w:bottom w:val="single" w:sz="8" w:color="B7E5FF"/>
            </w:tcBorders>
          </w:tcPr>
          <w:p>
            <w:pPr>
              <w:spacing w:after="0"/>
              <w:rPr>
                <w:sz w:val="12"/>
                <w:szCs w:val="12"/>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61,064</w:t>
            </w:r>
          </w:p>
        </w:tc>
        <w:tc>
          <w:tcPr>
            <w:tcW w:w="100" w:type="dxa"/>
            <w:vAlign w:val="bottom"/>
            <w:tcBorders>
              <w:bottom w:val="single" w:sz="8" w:color="B7E5FF"/>
            </w:tcBorders>
          </w:tcPr>
          <w:p>
            <w:pPr>
              <w:spacing w:after="0"/>
              <w:rPr>
                <w:sz w:val="12"/>
                <w:szCs w:val="12"/>
                <w:color w:val="auto"/>
              </w:rPr>
            </w:pPr>
          </w:p>
        </w:tc>
        <w:tc>
          <w:tcPr>
            <w:tcW w:w="500" w:type="dxa"/>
            <w:vAlign w:val="bottom"/>
            <w:tcBorders>
              <w:bottom w:val="single" w:sz="8" w:color="auto"/>
            </w:tcBorders>
          </w:tcPr>
          <w:p>
            <w:pPr>
              <w:jc w:val="right"/>
              <w:ind w:right="360"/>
              <w:spacing w:after="0" w:line="133" w:lineRule="exact"/>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63,100</w:t>
            </w:r>
          </w:p>
        </w:tc>
      </w:tr>
      <w:tr>
        <w:trPr>
          <w:trHeight w:val="144"/>
        </w:trPr>
        <w:tc>
          <w:tcPr>
            <w:tcW w:w="6000" w:type="dxa"/>
            <w:vAlign w:val="bottom"/>
            <w:shd w:val="clear" w:color="auto" w:fill="B7E5FF"/>
          </w:tcPr>
          <w:p>
            <w:pPr>
              <w:spacing w:after="0" w:line="135" w:lineRule="exact"/>
              <w:rPr>
                <w:sz w:val="20"/>
                <w:szCs w:val="20"/>
                <w:color w:val="auto"/>
              </w:rPr>
            </w:pPr>
            <w:r>
              <w:rPr>
                <w:rFonts w:ascii="Arial" w:cs="Arial" w:eastAsia="Arial" w:hAnsi="Arial"/>
                <w:sz w:val="12"/>
                <w:szCs w:val="12"/>
                <w:color w:val="auto"/>
              </w:rPr>
              <w:t>Adjusted EBITDA margin (%) (g)</w:t>
            </w:r>
          </w:p>
        </w:tc>
        <w:tc>
          <w:tcPr>
            <w:tcW w:w="780" w:type="dxa"/>
            <w:vAlign w:val="bottom"/>
            <w:shd w:val="clear" w:color="auto" w:fill="B7E5FF"/>
          </w:tcPr>
          <w:p>
            <w:pPr>
              <w:spacing w:after="0"/>
              <w:rPr>
                <w:sz w:val="12"/>
                <w:szCs w:val="12"/>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15.3%</w:t>
            </w:r>
          </w:p>
        </w:tc>
        <w:tc>
          <w:tcPr>
            <w:tcW w:w="10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14.5%</w:t>
            </w:r>
          </w:p>
        </w:tc>
        <w:tc>
          <w:tcPr>
            <w:tcW w:w="120" w:type="dxa"/>
            <w:vAlign w:val="bottom"/>
            <w:shd w:val="clear" w:color="auto" w:fill="B7E5FF"/>
          </w:tcPr>
          <w:p>
            <w:pPr>
              <w:spacing w:after="0"/>
              <w:rPr>
                <w:sz w:val="12"/>
                <w:szCs w:val="12"/>
                <w:color w:val="auto"/>
              </w:rPr>
            </w:pPr>
          </w:p>
        </w:tc>
        <w:tc>
          <w:tcPr>
            <w:tcW w:w="300" w:type="dxa"/>
            <w:vAlign w:val="bottom"/>
            <w:shd w:val="clear" w:color="auto" w:fill="B7E5FF"/>
          </w:tcPr>
          <w:p>
            <w:pPr>
              <w:spacing w:after="0"/>
              <w:rPr>
                <w:sz w:val="12"/>
                <w:szCs w:val="12"/>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14.6%</w:t>
            </w:r>
          </w:p>
        </w:tc>
        <w:tc>
          <w:tcPr>
            <w:tcW w:w="10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14.5%</w:t>
            </w:r>
          </w:p>
        </w:tc>
      </w:tr>
      <w:tr>
        <w:trPr>
          <w:trHeight w:val="153"/>
        </w:trPr>
        <w:tc>
          <w:tcPr>
            <w:tcW w:w="6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3"/>
        </w:trPr>
        <w:tc>
          <w:tcPr>
            <w:tcW w:w="6000" w:type="dxa"/>
            <w:vAlign w:val="bottom"/>
            <w:shd w:val="clear" w:color="auto" w:fill="B7E5FF"/>
          </w:tcPr>
          <w:p>
            <w:pPr>
              <w:spacing w:after="0"/>
              <w:rPr>
                <w:sz w:val="20"/>
                <w:szCs w:val="20"/>
                <w:color w:val="auto"/>
              </w:rPr>
            </w:pPr>
            <w:r>
              <w:rPr>
                <w:rFonts w:ascii="Arial" w:cs="Arial" w:eastAsia="Arial" w:hAnsi="Arial"/>
                <w:sz w:val="12"/>
                <w:szCs w:val="12"/>
                <w:color w:val="auto"/>
              </w:rPr>
              <w:t>Adjusted EBITDA</w:t>
            </w:r>
          </w:p>
        </w:tc>
        <w:tc>
          <w:tcPr>
            <w:tcW w:w="780" w:type="dxa"/>
            <w:vAlign w:val="bottom"/>
            <w:shd w:val="clear" w:color="auto" w:fill="B7E5FF"/>
          </w:tcPr>
          <w:p>
            <w:pPr>
              <w:jc w:val="right"/>
              <w:ind w:right="668"/>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31,429</w:t>
            </w:r>
          </w:p>
        </w:tc>
        <w:tc>
          <w:tcPr>
            <w:tcW w:w="100" w:type="dxa"/>
            <w:vAlign w:val="bottom"/>
            <w:shd w:val="clear" w:color="auto" w:fill="B7E5FF"/>
          </w:tcPr>
          <w:p>
            <w:pPr>
              <w:spacing w:after="0"/>
              <w:rPr>
                <w:sz w:val="13"/>
                <w:szCs w:val="13"/>
                <w:color w:val="auto"/>
              </w:rPr>
            </w:pPr>
          </w:p>
        </w:tc>
        <w:tc>
          <w:tcPr>
            <w:tcW w:w="520" w:type="dxa"/>
            <w:vAlign w:val="bottom"/>
            <w:shd w:val="clear" w:color="auto" w:fill="B7E5FF"/>
          </w:tcPr>
          <w:p>
            <w:pPr>
              <w:jc w:val="right"/>
              <w:ind w:right="38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32,187</w:t>
            </w:r>
          </w:p>
        </w:tc>
        <w:tc>
          <w:tcPr>
            <w:tcW w:w="120" w:type="dxa"/>
            <w:vAlign w:val="bottom"/>
            <w:shd w:val="clear" w:color="auto" w:fill="B7E5FF"/>
          </w:tcPr>
          <w:p>
            <w:pPr>
              <w:spacing w:after="0"/>
              <w:rPr>
                <w:sz w:val="13"/>
                <w:szCs w:val="13"/>
                <w:color w:val="auto"/>
              </w:rPr>
            </w:pPr>
          </w:p>
        </w:tc>
        <w:tc>
          <w:tcPr>
            <w:tcW w:w="300" w:type="dxa"/>
            <w:vAlign w:val="bottom"/>
            <w:shd w:val="clear" w:color="auto" w:fill="B7E5FF"/>
          </w:tcPr>
          <w:p>
            <w:pPr>
              <w:jc w:val="right"/>
              <w:ind w:right="19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61,064</w:t>
            </w:r>
          </w:p>
        </w:tc>
        <w:tc>
          <w:tcPr>
            <w:tcW w:w="100" w:type="dxa"/>
            <w:vAlign w:val="bottom"/>
            <w:shd w:val="clear" w:color="auto" w:fill="B7E5FF"/>
          </w:tcPr>
          <w:p>
            <w:pPr>
              <w:spacing w:after="0"/>
              <w:rPr>
                <w:sz w:val="13"/>
                <w:szCs w:val="13"/>
                <w:color w:val="auto"/>
              </w:rPr>
            </w:pPr>
          </w:p>
        </w:tc>
        <w:tc>
          <w:tcPr>
            <w:tcW w:w="500" w:type="dxa"/>
            <w:vAlign w:val="bottom"/>
            <w:shd w:val="clear" w:color="auto" w:fill="B7E5FF"/>
          </w:tcPr>
          <w:p>
            <w:pPr>
              <w:jc w:val="right"/>
              <w:ind w:right="360"/>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63,100</w:t>
            </w:r>
          </w:p>
        </w:tc>
      </w:tr>
      <w:tr>
        <w:trPr>
          <w:trHeight w:val="153"/>
        </w:trPr>
        <w:tc>
          <w:tcPr>
            <w:tcW w:w="6000" w:type="dxa"/>
            <w:vAlign w:val="bottom"/>
          </w:tcPr>
          <w:p>
            <w:pPr>
              <w:ind w:left="100"/>
              <w:spacing w:after="0"/>
              <w:rPr>
                <w:sz w:val="20"/>
                <w:szCs w:val="20"/>
                <w:color w:val="auto"/>
              </w:rPr>
            </w:pPr>
            <w:r>
              <w:rPr>
                <w:rFonts w:ascii="Arial" w:cs="Arial" w:eastAsia="Arial" w:hAnsi="Arial"/>
                <w:sz w:val="12"/>
                <w:szCs w:val="12"/>
                <w:color w:val="auto"/>
              </w:rPr>
              <w:t>Less: Depreciation and amortization</w:t>
            </w:r>
          </w:p>
        </w:tc>
        <w:tc>
          <w:tcPr>
            <w:tcW w:w="7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4,843</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4,981</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9,702</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10,028</w:t>
            </w:r>
          </w:p>
        </w:tc>
      </w:tr>
      <w:tr>
        <w:trPr>
          <w:trHeight w:val="153"/>
        </w:trPr>
        <w:tc>
          <w:tcPr>
            <w:tcW w:w="6000" w:type="dxa"/>
            <w:vAlign w:val="bottom"/>
            <w:shd w:val="clear" w:color="auto" w:fill="B7E5FF"/>
          </w:tcPr>
          <w:p>
            <w:pPr>
              <w:ind w:left="100"/>
              <w:spacing w:after="0"/>
              <w:rPr>
                <w:sz w:val="20"/>
                <w:szCs w:val="20"/>
                <w:color w:val="auto"/>
              </w:rPr>
            </w:pPr>
            <w:r>
              <w:rPr>
                <w:rFonts w:ascii="Arial" w:cs="Arial" w:eastAsia="Arial" w:hAnsi="Arial"/>
                <w:sz w:val="12"/>
                <w:szCs w:val="12"/>
                <w:color w:val="auto"/>
              </w:rPr>
              <w:t>Less: Interest expense, net - adjusted (a)</w:t>
            </w:r>
          </w:p>
        </w:tc>
        <w:tc>
          <w:tcPr>
            <w:tcW w:w="780" w:type="dxa"/>
            <w:vAlign w:val="bottom"/>
            <w:shd w:val="clear" w:color="auto" w:fill="B7E5FF"/>
          </w:tcPr>
          <w:p>
            <w:pPr>
              <w:spacing w:after="0"/>
              <w:rPr>
                <w:sz w:val="13"/>
                <w:szCs w:val="13"/>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(130)</w:t>
            </w:r>
          </w:p>
        </w:tc>
        <w:tc>
          <w:tcPr>
            <w:tcW w:w="100" w:type="dxa"/>
            <w:vAlign w:val="bottom"/>
            <w:shd w:val="clear" w:color="auto" w:fill="B7E5FF"/>
          </w:tcPr>
          <w:p>
            <w:pPr>
              <w:spacing w:after="0"/>
              <w:rPr>
                <w:sz w:val="13"/>
                <w:szCs w:val="13"/>
                <w:color w:val="auto"/>
              </w:rPr>
            </w:pPr>
          </w:p>
        </w:tc>
        <w:tc>
          <w:tcPr>
            <w:tcW w:w="520" w:type="dxa"/>
            <w:vAlign w:val="bottom"/>
            <w:shd w:val="clear" w:color="auto" w:fill="B7E5FF"/>
          </w:tcPr>
          <w:p>
            <w:pPr>
              <w:spacing w:after="0"/>
              <w:rPr>
                <w:sz w:val="13"/>
                <w:szCs w:val="13"/>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167</w:t>
            </w:r>
          </w:p>
        </w:tc>
        <w:tc>
          <w:tcPr>
            <w:tcW w:w="120" w:type="dxa"/>
            <w:vAlign w:val="bottom"/>
            <w:shd w:val="clear" w:color="auto" w:fill="B7E5FF"/>
          </w:tcPr>
          <w:p>
            <w:pPr>
              <w:spacing w:after="0"/>
              <w:rPr>
                <w:sz w:val="13"/>
                <w:szCs w:val="13"/>
                <w:color w:val="auto"/>
              </w:rPr>
            </w:pPr>
          </w:p>
        </w:tc>
        <w:tc>
          <w:tcPr>
            <w:tcW w:w="300" w:type="dxa"/>
            <w:vAlign w:val="bottom"/>
            <w:shd w:val="clear" w:color="auto" w:fill="B7E5FF"/>
          </w:tcPr>
          <w:p>
            <w:pPr>
              <w:spacing w:after="0"/>
              <w:rPr>
                <w:sz w:val="13"/>
                <w:szCs w:val="13"/>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2"/>
                <w:szCs w:val="12"/>
                <w:color w:val="auto"/>
              </w:rPr>
              <w:t>(216)</w:t>
            </w:r>
          </w:p>
        </w:tc>
        <w:tc>
          <w:tcPr>
            <w:tcW w:w="100" w:type="dxa"/>
            <w:vAlign w:val="bottom"/>
            <w:shd w:val="clear" w:color="auto" w:fill="B7E5FF"/>
          </w:tcPr>
          <w:p>
            <w:pPr>
              <w:spacing w:after="0"/>
              <w:rPr>
                <w:sz w:val="13"/>
                <w:szCs w:val="13"/>
                <w:color w:val="auto"/>
              </w:rPr>
            </w:pPr>
          </w:p>
        </w:tc>
        <w:tc>
          <w:tcPr>
            <w:tcW w:w="500" w:type="dxa"/>
            <w:vAlign w:val="bottom"/>
            <w:shd w:val="clear" w:color="auto" w:fill="B7E5FF"/>
          </w:tcPr>
          <w:p>
            <w:pPr>
              <w:spacing w:after="0"/>
              <w:rPr>
                <w:sz w:val="13"/>
                <w:szCs w:val="13"/>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506</w:t>
            </w:r>
          </w:p>
        </w:tc>
      </w:tr>
      <w:tr>
        <w:trPr>
          <w:trHeight w:val="153"/>
        </w:trPr>
        <w:tc>
          <w:tcPr>
            <w:tcW w:w="6000" w:type="dxa"/>
            <w:vAlign w:val="bottom"/>
          </w:tcPr>
          <w:p>
            <w:pPr>
              <w:ind w:left="100"/>
              <w:spacing w:after="0"/>
              <w:rPr>
                <w:sz w:val="20"/>
                <w:szCs w:val="20"/>
                <w:color w:val="auto"/>
              </w:rPr>
            </w:pPr>
            <w:r>
              <w:rPr>
                <w:rFonts w:ascii="Arial" w:cs="Arial" w:eastAsia="Arial" w:hAnsi="Arial"/>
                <w:sz w:val="12"/>
                <w:szCs w:val="12"/>
                <w:color w:val="auto"/>
              </w:rPr>
              <w:t>Less: Taxes on income before equity in net income</w:t>
            </w: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3"/>
        </w:trPr>
        <w:tc>
          <w:tcPr>
            <w:tcW w:w="6000" w:type="dxa"/>
            <w:vAlign w:val="bottom"/>
            <w:shd w:val="clear" w:color="auto" w:fill="B7E5FF"/>
          </w:tcPr>
          <w:p>
            <w:pPr>
              <w:ind w:left="100"/>
              <w:spacing w:after="0"/>
              <w:rPr>
                <w:sz w:val="20"/>
                <w:szCs w:val="20"/>
                <w:color w:val="auto"/>
              </w:rPr>
            </w:pPr>
            <w:r>
              <w:rPr>
                <w:rFonts w:ascii="Arial" w:cs="Arial" w:eastAsia="Arial" w:hAnsi="Arial"/>
                <w:sz w:val="12"/>
                <w:szCs w:val="12"/>
                <w:color w:val="auto"/>
              </w:rPr>
              <w:t>of associated companies - adjusted (f)(h)</w:t>
            </w:r>
          </w:p>
        </w:tc>
        <w:tc>
          <w:tcPr>
            <w:tcW w:w="780" w:type="dxa"/>
            <w:vAlign w:val="bottom"/>
            <w:tcBorders>
              <w:bottom w:val="single" w:sz="8" w:color="auto"/>
            </w:tcBorders>
            <w:shd w:val="clear" w:color="auto" w:fill="B7E5FF"/>
          </w:tcPr>
          <w:p>
            <w:pPr>
              <w:spacing w:after="0"/>
              <w:rPr>
                <w:sz w:val="13"/>
                <w:szCs w:val="13"/>
                <w:color w:val="auto"/>
              </w:rPr>
            </w:pPr>
          </w:p>
        </w:tc>
        <w:tc>
          <w:tcPr>
            <w:tcW w:w="5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5,787</w:t>
            </w:r>
          </w:p>
        </w:tc>
        <w:tc>
          <w:tcPr>
            <w:tcW w:w="100" w:type="dxa"/>
            <w:vAlign w:val="bottom"/>
            <w:shd w:val="clear" w:color="auto" w:fill="B7E5FF"/>
          </w:tcPr>
          <w:p>
            <w:pPr>
              <w:spacing w:after="0"/>
              <w:rPr>
                <w:sz w:val="13"/>
                <w:szCs w:val="13"/>
                <w:color w:val="auto"/>
              </w:rPr>
            </w:pPr>
          </w:p>
        </w:tc>
        <w:tc>
          <w:tcPr>
            <w:tcW w:w="520" w:type="dxa"/>
            <w:vAlign w:val="bottom"/>
            <w:tcBorders>
              <w:bottom w:val="single" w:sz="8" w:color="auto"/>
            </w:tcBorders>
            <w:shd w:val="clear" w:color="auto" w:fill="B7E5FF"/>
          </w:tcPr>
          <w:p>
            <w:pPr>
              <w:spacing w:after="0"/>
              <w:rPr>
                <w:sz w:val="13"/>
                <w:szCs w:val="13"/>
                <w:color w:val="auto"/>
              </w:rPr>
            </w:pPr>
          </w:p>
        </w:tc>
        <w:tc>
          <w:tcPr>
            <w:tcW w:w="7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5,768</w:t>
            </w:r>
          </w:p>
        </w:tc>
        <w:tc>
          <w:tcPr>
            <w:tcW w:w="120" w:type="dxa"/>
            <w:vAlign w:val="bottom"/>
            <w:shd w:val="clear" w:color="auto" w:fill="B7E5FF"/>
          </w:tcPr>
          <w:p>
            <w:pPr>
              <w:spacing w:after="0"/>
              <w:rPr>
                <w:sz w:val="13"/>
                <w:szCs w:val="13"/>
                <w:color w:val="auto"/>
              </w:rPr>
            </w:pPr>
          </w:p>
        </w:tc>
        <w:tc>
          <w:tcPr>
            <w:tcW w:w="300" w:type="dxa"/>
            <w:vAlign w:val="bottom"/>
            <w:tcBorders>
              <w:bottom w:val="single" w:sz="8" w:color="auto"/>
            </w:tcBorders>
            <w:shd w:val="clear" w:color="auto" w:fill="B7E5FF"/>
          </w:tcPr>
          <w:p>
            <w:pPr>
              <w:spacing w:after="0"/>
              <w:rPr>
                <w:sz w:val="13"/>
                <w:szCs w:val="13"/>
                <w:color w:val="auto"/>
              </w:rPr>
            </w:pP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11,827</w:t>
            </w:r>
          </w:p>
        </w:tc>
        <w:tc>
          <w:tcPr>
            <w:tcW w:w="100" w:type="dxa"/>
            <w:vAlign w:val="bottom"/>
            <w:shd w:val="clear" w:color="auto" w:fill="B7E5FF"/>
          </w:tcPr>
          <w:p>
            <w:pPr>
              <w:spacing w:after="0"/>
              <w:rPr>
                <w:sz w:val="13"/>
                <w:szCs w:val="13"/>
                <w:color w:val="auto"/>
              </w:rPr>
            </w:pPr>
          </w:p>
        </w:tc>
        <w:tc>
          <w:tcPr>
            <w:tcW w:w="500" w:type="dxa"/>
            <w:vAlign w:val="bottom"/>
            <w:tcBorders>
              <w:bottom w:val="single" w:sz="8" w:color="auto"/>
            </w:tcBorders>
            <w:shd w:val="clear" w:color="auto" w:fill="B7E5FF"/>
          </w:tcPr>
          <w:p>
            <w:pPr>
              <w:spacing w:after="0"/>
              <w:rPr>
                <w:sz w:val="13"/>
                <w:szCs w:val="13"/>
                <w:color w:val="auto"/>
              </w:rPr>
            </w:pPr>
          </w:p>
        </w:tc>
        <w:tc>
          <w:tcPr>
            <w:tcW w:w="8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12,427</w:t>
            </w:r>
          </w:p>
        </w:tc>
      </w:tr>
      <w:tr>
        <w:trPr>
          <w:trHeight w:val="140"/>
        </w:trPr>
        <w:tc>
          <w:tcPr>
            <w:tcW w:w="6000" w:type="dxa"/>
            <w:vAlign w:val="bottom"/>
          </w:tcPr>
          <w:p>
            <w:pPr>
              <w:spacing w:after="0" w:line="133" w:lineRule="exact"/>
              <w:rPr>
                <w:sz w:val="20"/>
                <w:szCs w:val="20"/>
                <w:color w:val="auto"/>
              </w:rPr>
            </w:pPr>
            <w:r>
              <w:rPr>
                <w:rFonts w:ascii="Arial" w:cs="Arial" w:eastAsia="Arial" w:hAnsi="Arial"/>
                <w:sz w:val="12"/>
                <w:szCs w:val="12"/>
                <w:color w:val="auto"/>
              </w:rPr>
              <w:t>Non-GAAP net income</w:t>
            </w:r>
          </w:p>
        </w:tc>
        <w:tc>
          <w:tcPr>
            <w:tcW w:w="78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20,929</w:t>
            </w:r>
          </w:p>
        </w:tc>
        <w:tc>
          <w:tcPr>
            <w:tcW w:w="100" w:type="dxa"/>
            <w:vAlign w:val="bottom"/>
          </w:tcPr>
          <w:p>
            <w:pPr>
              <w:spacing w:after="0"/>
              <w:rPr>
                <w:sz w:val="12"/>
                <w:szCs w:val="12"/>
                <w:color w:val="auto"/>
              </w:rPr>
            </w:pPr>
          </w:p>
        </w:tc>
        <w:tc>
          <w:tcPr>
            <w:tcW w:w="520" w:type="dxa"/>
            <w:vAlign w:val="bottom"/>
            <w:tcBorders>
              <w:bottom w:val="single" w:sz="8" w:color="auto"/>
            </w:tcBorders>
          </w:tcPr>
          <w:p>
            <w:pPr>
              <w:jc w:val="right"/>
              <w:ind w:right="380"/>
              <w:spacing w:after="0" w:line="133" w:lineRule="exact"/>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21,271</w:t>
            </w:r>
          </w:p>
        </w:tc>
        <w:tc>
          <w:tcPr>
            <w:tcW w:w="120" w:type="dxa"/>
            <w:vAlign w:val="bottom"/>
          </w:tcPr>
          <w:p>
            <w:pPr>
              <w:spacing w:after="0"/>
              <w:rPr>
                <w:sz w:val="12"/>
                <w:szCs w:val="12"/>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39,751</w:t>
            </w:r>
          </w:p>
        </w:tc>
        <w:tc>
          <w:tcPr>
            <w:tcW w:w="100" w:type="dxa"/>
            <w:vAlign w:val="bottom"/>
          </w:tcPr>
          <w:p>
            <w:pPr>
              <w:spacing w:after="0"/>
              <w:rPr>
                <w:sz w:val="12"/>
                <w:szCs w:val="12"/>
                <w:color w:val="auto"/>
              </w:rPr>
            </w:pPr>
          </w:p>
        </w:tc>
        <w:tc>
          <w:tcPr>
            <w:tcW w:w="500" w:type="dxa"/>
            <w:vAlign w:val="bottom"/>
            <w:tcBorders>
              <w:bottom w:val="single" w:sz="8" w:color="auto"/>
            </w:tcBorders>
          </w:tcPr>
          <w:p>
            <w:pPr>
              <w:jc w:val="right"/>
              <w:ind w:right="360"/>
              <w:spacing w:after="0" w:line="133" w:lineRule="exact"/>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40,139</w:t>
            </w:r>
          </w:p>
        </w:tc>
      </w:tr>
    </w:tbl>
    <w:p>
      <w:pPr>
        <w:spacing w:after="0" w:line="200" w:lineRule="exact"/>
        <w:rPr>
          <w:sz w:val="20"/>
          <w:szCs w:val="20"/>
          <w:color w:val="auto"/>
        </w:rPr>
      </w:pPr>
    </w:p>
    <w:p>
      <w:pPr>
        <w:spacing w:after="0" w:line="246"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5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gridSpan w:val="3"/>
          </w:tcPr>
          <w:p>
            <w:pPr>
              <w:jc w:val="right"/>
              <w:spacing w:after="0"/>
              <w:rPr>
                <w:sz w:val="20"/>
                <w:szCs w:val="20"/>
                <w:color w:val="auto"/>
              </w:rPr>
            </w:pPr>
            <w:r>
              <w:rPr>
                <w:rFonts w:ascii="Arial" w:cs="Arial" w:eastAsia="Arial" w:hAnsi="Arial"/>
                <w:sz w:val="12"/>
                <w:szCs w:val="12"/>
                <w:b w:val="1"/>
                <w:bCs w:val="1"/>
                <w:color w:val="auto"/>
                <w:w w:val="92"/>
              </w:rPr>
              <w:t>Three Months Ended</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gridSpan w:val="3"/>
          </w:tcPr>
          <w:p>
            <w:pPr>
              <w:jc w:val="right"/>
              <w:ind w:right="10"/>
              <w:spacing w:after="0"/>
              <w:rPr>
                <w:sz w:val="20"/>
                <w:szCs w:val="20"/>
                <w:color w:val="auto"/>
              </w:rPr>
            </w:pPr>
            <w:r>
              <w:rPr>
                <w:rFonts w:ascii="Arial" w:cs="Arial" w:eastAsia="Arial" w:hAnsi="Arial"/>
                <w:sz w:val="12"/>
                <w:szCs w:val="12"/>
                <w:b w:val="1"/>
                <w:bCs w:val="1"/>
                <w:color w:val="auto"/>
              </w:rPr>
              <w:t>Six Months Ended</w:t>
            </w:r>
          </w:p>
        </w:tc>
        <w:tc>
          <w:tcPr>
            <w:tcW w:w="860" w:type="dxa"/>
            <w:vAlign w:val="bottom"/>
          </w:tcPr>
          <w:p>
            <w:pPr>
              <w:spacing w:after="0"/>
              <w:rPr>
                <w:sz w:val="13"/>
                <w:szCs w:val="13"/>
                <w:color w:val="auto"/>
              </w:rPr>
            </w:pPr>
          </w:p>
        </w:tc>
      </w:tr>
      <w:tr>
        <w:trPr>
          <w:trHeight w:val="157"/>
        </w:trPr>
        <w:tc>
          <w:tcPr>
            <w:tcW w:w="58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2"/>
                <w:szCs w:val="12"/>
                <w:b w:val="1"/>
                <w:bCs w:val="1"/>
                <w:color w:val="auto"/>
              </w:rPr>
              <w:t>June 30,</w:t>
            </w: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2"/>
                <w:szCs w:val="12"/>
                <w:b w:val="1"/>
                <w:bCs w:val="1"/>
                <w:color w:val="auto"/>
              </w:rPr>
              <w:t>June 30,</w:t>
            </w:r>
          </w:p>
        </w:tc>
        <w:tc>
          <w:tcPr>
            <w:tcW w:w="860" w:type="dxa"/>
            <w:vAlign w:val="bottom"/>
            <w:tcBorders>
              <w:bottom w:val="single" w:sz="8" w:color="auto"/>
            </w:tcBorders>
          </w:tcPr>
          <w:p>
            <w:pPr>
              <w:spacing w:after="0"/>
              <w:rPr>
                <w:sz w:val="13"/>
                <w:szCs w:val="13"/>
                <w:color w:val="auto"/>
              </w:rPr>
            </w:pPr>
          </w:p>
        </w:tc>
      </w:tr>
      <w:tr>
        <w:trPr>
          <w:trHeight w:val="133"/>
        </w:trPr>
        <w:tc>
          <w:tcPr>
            <w:tcW w:w="5880" w:type="dxa"/>
            <w:vAlign w:val="bottom"/>
            <w:tcBorders>
              <w:bottom w:val="single" w:sz="8" w:color="B7E5FF"/>
            </w:tcBorders>
          </w:tcPr>
          <w:p>
            <w:pPr>
              <w:spacing w:after="0"/>
              <w:rPr>
                <w:sz w:val="11"/>
                <w:szCs w:val="11"/>
                <w:color w:val="auto"/>
              </w:rPr>
            </w:pPr>
          </w:p>
        </w:tc>
        <w:tc>
          <w:tcPr>
            <w:tcW w:w="7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2019</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B7E5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480"/>
              <w:spacing w:after="0" w:line="133" w:lineRule="exact"/>
              <w:rPr>
                <w:sz w:val="20"/>
                <w:szCs w:val="20"/>
                <w:color w:val="auto"/>
              </w:rPr>
            </w:pPr>
            <w:r>
              <w:rPr>
                <w:rFonts w:ascii="Arial" w:cs="Arial" w:eastAsia="Arial" w:hAnsi="Arial"/>
                <w:sz w:val="12"/>
                <w:szCs w:val="12"/>
                <w:b w:val="1"/>
                <w:bCs w:val="1"/>
                <w:color w:val="auto"/>
                <w:w w:val="89"/>
              </w:rPr>
              <w:t>2018</w:t>
            </w:r>
          </w:p>
        </w:tc>
        <w:tc>
          <w:tcPr>
            <w:tcW w:w="120" w:type="dxa"/>
            <w:vAlign w:val="bottom"/>
            <w:tcBorders>
              <w:bottom w:val="single" w:sz="8" w:color="B7E5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80"/>
              <w:spacing w:after="0" w:line="133" w:lineRule="exact"/>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B7E5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00"/>
              <w:spacing w:after="0" w:line="133" w:lineRule="exact"/>
              <w:rPr>
                <w:sz w:val="20"/>
                <w:szCs w:val="20"/>
                <w:color w:val="auto"/>
              </w:rPr>
            </w:pPr>
            <w:r>
              <w:rPr>
                <w:rFonts w:ascii="Arial" w:cs="Arial" w:eastAsia="Arial" w:hAnsi="Arial"/>
                <w:sz w:val="12"/>
                <w:szCs w:val="12"/>
                <w:b w:val="1"/>
                <w:bCs w:val="1"/>
                <w:color w:val="auto"/>
              </w:rPr>
              <w:t>2018</w:t>
            </w:r>
          </w:p>
        </w:tc>
      </w:tr>
      <w:tr>
        <w:trPr>
          <w:trHeight w:val="133"/>
        </w:trPr>
        <w:tc>
          <w:tcPr>
            <w:tcW w:w="5880" w:type="dxa"/>
            <w:vAlign w:val="bottom"/>
            <w:shd w:val="clear" w:color="auto" w:fill="B7E5FF"/>
          </w:tcPr>
          <w:p>
            <w:pPr>
              <w:spacing w:after="0" w:line="133" w:lineRule="exact"/>
              <w:rPr>
                <w:sz w:val="20"/>
                <w:szCs w:val="20"/>
                <w:color w:val="auto"/>
              </w:rPr>
            </w:pPr>
            <w:r>
              <w:rPr>
                <w:rFonts w:ascii="Arial" w:cs="Arial" w:eastAsia="Arial" w:hAnsi="Arial"/>
                <w:sz w:val="12"/>
                <w:szCs w:val="12"/>
                <w:color w:val="auto"/>
              </w:rPr>
              <w:t>GAAP earnings per diluted share attributable to</w:t>
            </w:r>
          </w:p>
        </w:tc>
        <w:tc>
          <w:tcPr>
            <w:tcW w:w="780" w:type="dxa"/>
            <w:vAlign w:val="bottom"/>
            <w:shd w:val="clear" w:color="auto" w:fill="B7E5FF"/>
          </w:tcPr>
          <w:p>
            <w:pPr>
              <w:spacing w:after="0"/>
              <w:rPr>
                <w:sz w:val="11"/>
                <w:szCs w:val="11"/>
                <w:color w:val="auto"/>
              </w:rPr>
            </w:pPr>
          </w:p>
        </w:tc>
        <w:tc>
          <w:tcPr>
            <w:tcW w:w="520" w:type="dxa"/>
            <w:vAlign w:val="bottom"/>
            <w:shd w:val="clear" w:color="auto" w:fill="B7E5FF"/>
          </w:tcPr>
          <w:p>
            <w:pPr>
              <w:spacing w:after="0"/>
              <w:rPr>
                <w:sz w:val="11"/>
                <w:szCs w:val="11"/>
                <w:color w:val="auto"/>
              </w:rPr>
            </w:pPr>
          </w:p>
        </w:tc>
        <w:tc>
          <w:tcPr>
            <w:tcW w:w="100" w:type="dxa"/>
            <w:vAlign w:val="bottom"/>
            <w:shd w:val="clear" w:color="auto" w:fill="B7E5FF"/>
          </w:tcPr>
          <w:p>
            <w:pPr>
              <w:spacing w:after="0"/>
              <w:rPr>
                <w:sz w:val="11"/>
                <w:szCs w:val="11"/>
                <w:color w:val="auto"/>
              </w:rPr>
            </w:pPr>
          </w:p>
        </w:tc>
        <w:tc>
          <w:tcPr>
            <w:tcW w:w="520" w:type="dxa"/>
            <w:vAlign w:val="bottom"/>
            <w:shd w:val="clear" w:color="auto" w:fill="B7E5FF"/>
          </w:tcPr>
          <w:p>
            <w:pPr>
              <w:spacing w:after="0"/>
              <w:rPr>
                <w:sz w:val="11"/>
                <w:szCs w:val="11"/>
                <w:color w:val="auto"/>
              </w:rPr>
            </w:pPr>
          </w:p>
        </w:tc>
        <w:tc>
          <w:tcPr>
            <w:tcW w:w="800" w:type="dxa"/>
            <w:vAlign w:val="bottom"/>
            <w:shd w:val="clear" w:color="auto" w:fill="B7E5FF"/>
          </w:tcPr>
          <w:p>
            <w:pPr>
              <w:spacing w:after="0"/>
              <w:rPr>
                <w:sz w:val="11"/>
                <w:szCs w:val="11"/>
                <w:color w:val="auto"/>
              </w:rPr>
            </w:pPr>
          </w:p>
        </w:tc>
        <w:tc>
          <w:tcPr>
            <w:tcW w:w="120" w:type="dxa"/>
            <w:vAlign w:val="bottom"/>
            <w:shd w:val="clear" w:color="auto" w:fill="B7E5FF"/>
          </w:tcPr>
          <w:p>
            <w:pPr>
              <w:spacing w:after="0"/>
              <w:rPr>
                <w:sz w:val="11"/>
                <w:szCs w:val="11"/>
                <w:color w:val="auto"/>
              </w:rPr>
            </w:pPr>
          </w:p>
        </w:tc>
        <w:tc>
          <w:tcPr>
            <w:tcW w:w="300" w:type="dxa"/>
            <w:vAlign w:val="bottom"/>
            <w:shd w:val="clear" w:color="auto" w:fill="B7E5FF"/>
          </w:tcPr>
          <w:p>
            <w:pPr>
              <w:spacing w:after="0"/>
              <w:rPr>
                <w:sz w:val="11"/>
                <w:szCs w:val="11"/>
                <w:color w:val="auto"/>
              </w:rPr>
            </w:pPr>
          </w:p>
        </w:tc>
        <w:tc>
          <w:tcPr>
            <w:tcW w:w="1000" w:type="dxa"/>
            <w:vAlign w:val="bottom"/>
            <w:shd w:val="clear" w:color="auto" w:fill="B7E5FF"/>
          </w:tcPr>
          <w:p>
            <w:pPr>
              <w:spacing w:after="0"/>
              <w:rPr>
                <w:sz w:val="11"/>
                <w:szCs w:val="11"/>
                <w:color w:val="auto"/>
              </w:rPr>
            </w:pPr>
          </w:p>
        </w:tc>
        <w:tc>
          <w:tcPr>
            <w:tcW w:w="120" w:type="dxa"/>
            <w:vAlign w:val="bottom"/>
            <w:shd w:val="clear" w:color="auto" w:fill="B7E5FF"/>
          </w:tcPr>
          <w:p>
            <w:pPr>
              <w:spacing w:after="0"/>
              <w:rPr>
                <w:sz w:val="11"/>
                <w:szCs w:val="11"/>
                <w:color w:val="auto"/>
              </w:rPr>
            </w:pPr>
          </w:p>
        </w:tc>
        <w:tc>
          <w:tcPr>
            <w:tcW w:w="480" w:type="dxa"/>
            <w:vAlign w:val="bottom"/>
            <w:shd w:val="clear" w:color="auto" w:fill="B7E5FF"/>
          </w:tcPr>
          <w:p>
            <w:pPr>
              <w:spacing w:after="0"/>
              <w:rPr>
                <w:sz w:val="11"/>
                <w:szCs w:val="11"/>
                <w:color w:val="auto"/>
              </w:rPr>
            </w:pPr>
          </w:p>
        </w:tc>
        <w:tc>
          <w:tcPr>
            <w:tcW w:w="860" w:type="dxa"/>
            <w:vAlign w:val="bottom"/>
            <w:shd w:val="clear" w:color="auto" w:fill="B7E5FF"/>
          </w:tcPr>
          <w:p>
            <w:pPr>
              <w:spacing w:after="0"/>
              <w:rPr>
                <w:sz w:val="11"/>
                <w:szCs w:val="11"/>
                <w:color w:val="auto"/>
              </w:rPr>
            </w:pPr>
          </w:p>
        </w:tc>
      </w:tr>
      <w:tr>
        <w:trPr>
          <w:trHeight w:val="153"/>
        </w:trPr>
        <w:tc>
          <w:tcPr>
            <w:tcW w:w="5880" w:type="dxa"/>
            <w:vAlign w:val="bottom"/>
          </w:tcPr>
          <w:p>
            <w:pPr>
              <w:ind w:left="100"/>
              <w:spacing w:after="0"/>
              <w:rPr>
                <w:sz w:val="20"/>
                <w:szCs w:val="20"/>
                <w:color w:val="auto"/>
              </w:rPr>
            </w:pPr>
            <w:r>
              <w:rPr>
                <w:rFonts w:ascii="Arial" w:cs="Arial" w:eastAsia="Arial" w:hAnsi="Arial"/>
                <w:sz w:val="12"/>
                <w:szCs w:val="12"/>
                <w:color w:val="auto"/>
              </w:rPr>
              <w:t>Quaker Chemical Corporation common shareholders</w:t>
            </w:r>
          </w:p>
        </w:tc>
        <w:tc>
          <w:tcPr>
            <w:tcW w:w="780" w:type="dxa"/>
            <w:vAlign w:val="bottom"/>
          </w:tcPr>
          <w:p>
            <w:pPr>
              <w:jc w:val="right"/>
              <w:ind w:right="667"/>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1.17</w:t>
            </w:r>
          </w:p>
        </w:tc>
        <w:tc>
          <w:tcPr>
            <w:tcW w:w="100" w:type="dxa"/>
            <w:vAlign w:val="bottom"/>
          </w:tcPr>
          <w:p>
            <w:pPr>
              <w:spacing w:after="0"/>
              <w:rPr>
                <w:sz w:val="13"/>
                <w:szCs w:val="13"/>
                <w:color w:val="auto"/>
              </w:rPr>
            </w:pPr>
          </w:p>
        </w:tc>
        <w:tc>
          <w:tcPr>
            <w:tcW w:w="520" w:type="dxa"/>
            <w:vAlign w:val="bottom"/>
          </w:tcPr>
          <w:p>
            <w:pPr>
              <w:jc w:val="right"/>
              <w:ind w:right="380"/>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1.44</w:t>
            </w:r>
          </w:p>
        </w:tc>
        <w:tc>
          <w:tcPr>
            <w:tcW w:w="120" w:type="dxa"/>
            <w:vAlign w:val="bottom"/>
          </w:tcPr>
          <w:p>
            <w:pPr>
              <w:spacing w:after="0"/>
              <w:rPr>
                <w:sz w:val="13"/>
                <w:szCs w:val="13"/>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2.20</w:t>
            </w:r>
          </w:p>
        </w:tc>
        <w:tc>
          <w:tcPr>
            <w:tcW w:w="120" w:type="dxa"/>
            <w:vAlign w:val="bottom"/>
          </w:tcPr>
          <w:p>
            <w:pPr>
              <w:spacing w:after="0"/>
              <w:rPr>
                <w:sz w:val="13"/>
                <w:szCs w:val="13"/>
                <w:color w:val="auto"/>
              </w:rPr>
            </w:pPr>
          </w:p>
        </w:tc>
        <w:tc>
          <w:tcPr>
            <w:tcW w:w="480" w:type="dxa"/>
            <w:vAlign w:val="bottom"/>
          </w:tcPr>
          <w:p>
            <w:pPr>
              <w:jc w:val="right"/>
              <w:ind w:right="37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2.40</w:t>
            </w:r>
          </w:p>
        </w:tc>
      </w:tr>
      <w:tr>
        <w:trPr>
          <w:trHeight w:val="153"/>
        </w:trPr>
        <w:tc>
          <w:tcPr>
            <w:tcW w:w="5880" w:type="dxa"/>
            <w:vAlign w:val="bottom"/>
            <w:shd w:val="clear" w:color="auto" w:fill="B7E5FF"/>
          </w:tcPr>
          <w:p>
            <w:pPr>
              <w:ind w:left="100"/>
              <w:spacing w:after="0"/>
              <w:rPr>
                <w:sz w:val="20"/>
                <w:szCs w:val="20"/>
                <w:color w:val="auto"/>
              </w:rPr>
            </w:pPr>
            <w:r>
              <w:rPr>
                <w:rFonts w:ascii="Arial" w:cs="Arial" w:eastAsia="Arial" w:hAnsi="Arial"/>
                <w:sz w:val="12"/>
                <w:szCs w:val="12"/>
                <w:color w:val="auto"/>
              </w:rPr>
              <w:t>Equity income in a captive insurance company</w:t>
            </w:r>
          </w:p>
        </w:tc>
        <w:tc>
          <w:tcPr>
            <w:tcW w:w="780" w:type="dxa"/>
            <w:vAlign w:val="bottom"/>
            <w:shd w:val="clear" w:color="auto" w:fill="B7E5FF"/>
          </w:tcPr>
          <w:p>
            <w:pPr>
              <w:spacing w:after="0"/>
              <w:rPr>
                <w:sz w:val="13"/>
                <w:szCs w:val="13"/>
                <w:color w:val="auto"/>
              </w:rPr>
            </w:pPr>
          </w:p>
        </w:tc>
        <w:tc>
          <w:tcPr>
            <w:tcW w:w="520" w:type="dxa"/>
            <w:vAlign w:val="bottom"/>
            <w:shd w:val="clear" w:color="auto" w:fill="B7E5FF"/>
          </w:tcPr>
          <w:p>
            <w:pPr>
              <w:spacing w:after="0"/>
              <w:rPr>
                <w:sz w:val="13"/>
                <w:szCs w:val="13"/>
                <w:color w:val="auto"/>
              </w:rPr>
            </w:pPr>
          </w:p>
        </w:tc>
        <w:tc>
          <w:tcPr>
            <w:tcW w:w="100" w:type="dxa"/>
            <w:vAlign w:val="bottom"/>
            <w:shd w:val="clear" w:color="auto" w:fill="B7E5FF"/>
          </w:tcPr>
          <w:p>
            <w:pPr>
              <w:spacing w:after="0"/>
              <w:rPr>
                <w:sz w:val="13"/>
                <w:szCs w:val="13"/>
                <w:color w:val="auto"/>
              </w:rPr>
            </w:pPr>
          </w:p>
        </w:tc>
        <w:tc>
          <w:tcPr>
            <w:tcW w:w="520" w:type="dxa"/>
            <w:vAlign w:val="bottom"/>
            <w:shd w:val="clear" w:color="auto" w:fill="B7E5FF"/>
          </w:tcPr>
          <w:p>
            <w:pPr>
              <w:spacing w:after="0"/>
              <w:rPr>
                <w:sz w:val="13"/>
                <w:szCs w:val="13"/>
                <w:color w:val="auto"/>
              </w:rPr>
            </w:pPr>
          </w:p>
        </w:tc>
        <w:tc>
          <w:tcPr>
            <w:tcW w:w="800" w:type="dxa"/>
            <w:vAlign w:val="bottom"/>
            <w:shd w:val="clear" w:color="auto" w:fill="B7E5FF"/>
          </w:tcPr>
          <w:p>
            <w:pPr>
              <w:spacing w:after="0"/>
              <w:rPr>
                <w:sz w:val="13"/>
                <w:szCs w:val="13"/>
                <w:color w:val="auto"/>
              </w:rPr>
            </w:pPr>
          </w:p>
        </w:tc>
        <w:tc>
          <w:tcPr>
            <w:tcW w:w="120" w:type="dxa"/>
            <w:vAlign w:val="bottom"/>
            <w:shd w:val="clear" w:color="auto" w:fill="B7E5FF"/>
          </w:tcPr>
          <w:p>
            <w:pPr>
              <w:spacing w:after="0"/>
              <w:rPr>
                <w:sz w:val="13"/>
                <w:szCs w:val="13"/>
                <w:color w:val="auto"/>
              </w:rPr>
            </w:pPr>
          </w:p>
        </w:tc>
        <w:tc>
          <w:tcPr>
            <w:tcW w:w="300" w:type="dxa"/>
            <w:vAlign w:val="bottom"/>
            <w:shd w:val="clear" w:color="auto" w:fill="B7E5FF"/>
          </w:tcPr>
          <w:p>
            <w:pPr>
              <w:spacing w:after="0"/>
              <w:rPr>
                <w:sz w:val="13"/>
                <w:szCs w:val="13"/>
                <w:color w:val="auto"/>
              </w:rPr>
            </w:pPr>
          </w:p>
        </w:tc>
        <w:tc>
          <w:tcPr>
            <w:tcW w:w="1000" w:type="dxa"/>
            <w:vAlign w:val="bottom"/>
            <w:shd w:val="clear" w:color="auto" w:fill="B7E5FF"/>
          </w:tcPr>
          <w:p>
            <w:pPr>
              <w:spacing w:after="0"/>
              <w:rPr>
                <w:sz w:val="13"/>
                <w:szCs w:val="13"/>
                <w:color w:val="auto"/>
              </w:rPr>
            </w:pPr>
          </w:p>
        </w:tc>
        <w:tc>
          <w:tcPr>
            <w:tcW w:w="120" w:type="dxa"/>
            <w:vAlign w:val="bottom"/>
            <w:shd w:val="clear" w:color="auto" w:fill="B7E5FF"/>
          </w:tcPr>
          <w:p>
            <w:pPr>
              <w:spacing w:after="0"/>
              <w:rPr>
                <w:sz w:val="13"/>
                <w:szCs w:val="13"/>
                <w:color w:val="auto"/>
              </w:rPr>
            </w:pPr>
          </w:p>
        </w:tc>
        <w:tc>
          <w:tcPr>
            <w:tcW w:w="480" w:type="dxa"/>
            <w:vAlign w:val="bottom"/>
            <w:shd w:val="clear" w:color="auto" w:fill="B7E5FF"/>
          </w:tcPr>
          <w:p>
            <w:pPr>
              <w:spacing w:after="0"/>
              <w:rPr>
                <w:sz w:val="13"/>
                <w:szCs w:val="13"/>
                <w:color w:val="auto"/>
              </w:rPr>
            </w:pPr>
          </w:p>
        </w:tc>
        <w:tc>
          <w:tcPr>
            <w:tcW w:w="860" w:type="dxa"/>
            <w:vAlign w:val="bottom"/>
            <w:shd w:val="clear" w:color="auto" w:fill="B7E5FF"/>
          </w:tcPr>
          <w:p>
            <w:pPr>
              <w:spacing w:after="0"/>
              <w:rPr>
                <w:sz w:val="13"/>
                <w:szCs w:val="13"/>
                <w:color w:val="auto"/>
              </w:rPr>
            </w:pPr>
          </w:p>
        </w:tc>
      </w:tr>
      <w:tr>
        <w:trPr>
          <w:trHeight w:val="153"/>
        </w:trPr>
        <w:tc>
          <w:tcPr>
            <w:tcW w:w="5880" w:type="dxa"/>
            <w:vAlign w:val="bottom"/>
          </w:tcPr>
          <w:p>
            <w:pPr>
              <w:ind w:left="100"/>
              <w:spacing w:after="0"/>
              <w:rPr>
                <w:sz w:val="20"/>
                <w:szCs w:val="20"/>
                <w:color w:val="auto"/>
              </w:rPr>
            </w:pPr>
            <w:r>
              <w:rPr>
                <w:rFonts w:ascii="Arial" w:cs="Arial" w:eastAsia="Arial" w:hAnsi="Arial"/>
                <w:sz w:val="12"/>
                <w:szCs w:val="12"/>
                <w:color w:val="auto"/>
              </w:rPr>
              <w:t>per diluted share (c)</w:t>
            </w:r>
          </w:p>
        </w:tc>
        <w:tc>
          <w:tcPr>
            <w:tcW w:w="7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(0.03)</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(0.08)</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(0.06)</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(0.05)</w:t>
            </w:r>
          </w:p>
        </w:tc>
      </w:tr>
      <w:tr>
        <w:trPr>
          <w:trHeight w:val="153"/>
        </w:trPr>
        <w:tc>
          <w:tcPr>
            <w:tcW w:w="5880" w:type="dxa"/>
            <w:vAlign w:val="bottom"/>
            <w:shd w:val="clear" w:color="auto" w:fill="B7E5FF"/>
          </w:tcPr>
          <w:p>
            <w:pPr>
              <w:ind w:left="100"/>
              <w:spacing w:after="0"/>
              <w:rPr>
                <w:sz w:val="20"/>
                <w:szCs w:val="20"/>
                <w:color w:val="auto"/>
              </w:rPr>
            </w:pPr>
            <w:r>
              <w:rPr>
                <w:rFonts w:ascii="Arial" w:cs="Arial" w:eastAsia="Arial" w:hAnsi="Arial"/>
                <w:sz w:val="12"/>
                <w:szCs w:val="12"/>
                <w:color w:val="auto"/>
              </w:rPr>
              <w:t>Houghton combination and other acquisition-related</w:t>
            </w:r>
          </w:p>
        </w:tc>
        <w:tc>
          <w:tcPr>
            <w:tcW w:w="780" w:type="dxa"/>
            <w:vAlign w:val="bottom"/>
            <w:shd w:val="clear" w:color="auto" w:fill="B7E5FF"/>
          </w:tcPr>
          <w:p>
            <w:pPr>
              <w:spacing w:after="0"/>
              <w:rPr>
                <w:sz w:val="13"/>
                <w:szCs w:val="13"/>
                <w:color w:val="auto"/>
              </w:rPr>
            </w:pPr>
          </w:p>
        </w:tc>
        <w:tc>
          <w:tcPr>
            <w:tcW w:w="520" w:type="dxa"/>
            <w:vAlign w:val="bottom"/>
            <w:shd w:val="clear" w:color="auto" w:fill="B7E5FF"/>
          </w:tcPr>
          <w:p>
            <w:pPr>
              <w:spacing w:after="0"/>
              <w:rPr>
                <w:sz w:val="13"/>
                <w:szCs w:val="13"/>
                <w:color w:val="auto"/>
              </w:rPr>
            </w:pPr>
          </w:p>
        </w:tc>
        <w:tc>
          <w:tcPr>
            <w:tcW w:w="100" w:type="dxa"/>
            <w:vAlign w:val="bottom"/>
            <w:shd w:val="clear" w:color="auto" w:fill="B7E5FF"/>
          </w:tcPr>
          <w:p>
            <w:pPr>
              <w:spacing w:after="0"/>
              <w:rPr>
                <w:sz w:val="13"/>
                <w:szCs w:val="13"/>
                <w:color w:val="auto"/>
              </w:rPr>
            </w:pPr>
          </w:p>
        </w:tc>
        <w:tc>
          <w:tcPr>
            <w:tcW w:w="520" w:type="dxa"/>
            <w:vAlign w:val="bottom"/>
            <w:shd w:val="clear" w:color="auto" w:fill="B7E5FF"/>
          </w:tcPr>
          <w:p>
            <w:pPr>
              <w:spacing w:after="0"/>
              <w:rPr>
                <w:sz w:val="13"/>
                <w:szCs w:val="13"/>
                <w:color w:val="auto"/>
              </w:rPr>
            </w:pPr>
          </w:p>
        </w:tc>
        <w:tc>
          <w:tcPr>
            <w:tcW w:w="800" w:type="dxa"/>
            <w:vAlign w:val="bottom"/>
            <w:shd w:val="clear" w:color="auto" w:fill="B7E5FF"/>
          </w:tcPr>
          <w:p>
            <w:pPr>
              <w:spacing w:after="0"/>
              <w:rPr>
                <w:sz w:val="13"/>
                <w:szCs w:val="13"/>
                <w:color w:val="auto"/>
              </w:rPr>
            </w:pPr>
          </w:p>
        </w:tc>
        <w:tc>
          <w:tcPr>
            <w:tcW w:w="120" w:type="dxa"/>
            <w:vAlign w:val="bottom"/>
            <w:shd w:val="clear" w:color="auto" w:fill="B7E5FF"/>
          </w:tcPr>
          <w:p>
            <w:pPr>
              <w:spacing w:after="0"/>
              <w:rPr>
                <w:sz w:val="13"/>
                <w:szCs w:val="13"/>
                <w:color w:val="auto"/>
              </w:rPr>
            </w:pPr>
          </w:p>
        </w:tc>
        <w:tc>
          <w:tcPr>
            <w:tcW w:w="300" w:type="dxa"/>
            <w:vAlign w:val="bottom"/>
            <w:shd w:val="clear" w:color="auto" w:fill="B7E5FF"/>
          </w:tcPr>
          <w:p>
            <w:pPr>
              <w:spacing w:after="0"/>
              <w:rPr>
                <w:sz w:val="13"/>
                <w:szCs w:val="13"/>
                <w:color w:val="auto"/>
              </w:rPr>
            </w:pPr>
          </w:p>
        </w:tc>
        <w:tc>
          <w:tcPr>
            <w:tcW w:w="1000" w:type="dxa"/>
            <w:vAlign w:val="bottom"/>
            <w:shd w:val="clear" w:color="auto" w:fill="B7E5FF"/>
          </w:tcPr>
          <w:p>
            <w:pPr>
              <w:spacing w:after="0"/>
              <w:rPr>
                <w:sz w:val="13"/>
                <w:szCs w:val="13"/>
                <w:color w:val="auto"/>
              </w:rPr>
            </w:pPr>
          </w:p>
        </w:tc>
        <w:tc>
          <w:tcPr>
            <w:tcW w:w="120" w:type="dxa"/>
            <w:vAlign w:val="bottom"/>
            <w:shd w:val="clear" w:color="auto" w:fill="B7E5FF"/>
          </w:tcPr>
          <w:p>
            <w:pPr>
              <w:spacing w:after="0"/>
              <w:rPr>
                <w:sz w:val="13"/>
                <w:szCs w:val="13"/>
                <w:color w:val="auto"/>
              </w:rPr>
            </w:pPr>
          </w:p>
        </w:tc>
        <w:tc>
          <w:tcPr>
            <w:tcW w:w="480" w:type="dxa"/>
            <w:vAlign w:val="bottom"/>
            <w:shd w:val="clear" w:color="auto" w:fill="B7E5FF"/>
          </w:tcPr>
          <w:p>
            <w:pPr>
              <w:spacing w:after="0"/>
              <w:rPr>
                <w:sz w:val="13"/>
                <w:szCs w:val="13"/>
                <w:color w:val="auto"/>
              </w:rPr>
            </w:pPr>
          </w:p>
        </w:tc>
        <w:tc>
          <w:tcPr>
            <w:tcW w:w="860" w:type="dxa"/>
            <w:vAlign w:val="bottom"/>
            <w:shd w:val="clear" w:color="auto" w:fill="B7E5FF"/>
          </w:tcPr>
          <w:p>
            <w:pPr>
              <w:spacing w:after="0"/>
              <w:rPr>
                <w:sz w:val="13"/>
                <w:szCs w:val="13"/>
                <w:color w:val="auto"/>
              </w:rPr>
            </w:pPr>
          </w:p>
        </w:tc>
      </w:tr>
      <w:tr>
        <w:trPr>
          <w:trHeight w:val="153"/>
        </w:trPr>
        <w:tc>
          <w:tcPr>
            <w:tcW w:w="5880" w:type="dxa"/>
            <w:vAlign w:val="bottom"/>
          </w:tcPr>
          <w:p>
            <w:pPr>
              <w:ind w:left="100"/>
              <w:spacing w:after="0"/>
              <w:rPr>
                <w:sz w:val="20"/>
                <w:szCs w:val="20"/>
                <w:color w:val="auto"/>
              </w:rPr>
            </w:pPr>
            <w:r>
              <w:rPr>
                <w:rFonts w:ascii="Arial" w:cs="Arial" w:eastAsia="Arial" w:hAnsi="Arial"/>
                <w:sz w:val="12"/>
                <w:szCs w:val="12"/>
                <w:color w:val="auto"/>
              </w:rPr>
              <w:t>expenses per diluted share (a)</w:t>
            </w:r>
          </w:p>
        </w:tc>
        <w:tc>
          <w:tcPr>
            <w:tcW w:w="7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0.34</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0.29</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0.69</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0.66</w:t>
            </w:r>
          </w:p>
        </w:tc>
      </w:tr>
      <w:tr>
        <w:trPr>
          <w:trHeight w:val="153"/>
        </w:trPr>
        <w:tc>
          <w:tcPr>
            <w:tcW w:w="5880" w:type="dxa"/>
            <w:vAlign w:val="bottom"/>
            <w:shd w:val="clear" w:color="auto" w:fill="B7E5FF"/>
          </w:tcPr>
          <w:p>
            <w:pPr>
              <w:ind w:left="100"/>
              <w:spacing w:after="0"/>
              <w:rPr>
                <w:sz w:val="20"/>
                <w:szCs w:val="20"/>
                <w:color w:val="auto"/>
              </w:rPr>
            </w:pPr>
            <w:r>
              <w:rPr>
                <w:rFonts w:ascii="Arial" w:cs="Arial" w:eastAsia="Arial" w:hAnsi="Arial"/>
                <w:sz w:val="12"/>
                <w:szCs w:val="12"/>
                <w:color w:val="auto"/>
              </w:rPr>
              <w:t>U.S. Transition tax adjustment per diluted share (f)</w:t>
            </w:r>
          </w:p>
        </w:tc>
        <w:tc>
          <w:tcPr>
            <w:tcW w:w="780" w:type="dxa"/>
            <w:vAlign w:val="bottom"/>
            <w:shd w:val="clear" w:color="auto" w:fill="B7E5FF"/>
          </w:tcPr>
          <w:p>
            <w:pPr>
              <w:spacing w:after="0"/>
              <w:rPr>
                <w:sz w:val="13"/>
                <w:szCs w:val="13"/>
                <w:color w:val="auto"/>
              </w:rPr>
            </w:pPr>
          </w:p>
        </w:tc>
        <w:tc>
          <w:tcPr>
            <w:tcW w:w="620" w:type="dxa"/>
            <w:vAlign w:val="bottom"/>
            <w:gridSpan w:val="2"/>
            <w:shd w:val="clear" w:color="auto" w:fill="B7E5FF"/>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shd w:val="clear" w:color="auto" w:fill="B7E5FF"/>
          </w:tcPr>
          <w:p>
            <w:pPr>
              <w:spacing w:after="0"/>
              <w:rPr>
                <w:sz w:val="13"/>
                <w:szCs w:val="13"/>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(0.09)</w:t>
            </w:r>
          </w:p>
        </w:tc>
        <w:tc>
          <w:tcPr>
            <w:tcW w:w="120" w:type="dxa"/>
            <w:vAlign w:val="bottom"/>
            <w:shd w:val="clear" w:color="auto" w:fill="B7E5FF"/>
          </w:tcPr>
          <w:p>
            <w:pPr>
              <w:spacing w:after="0"/>
              <w:rPr>
                <w:sz w:val="13"/>
                <w:szCs w:val="13"/>
                <w:color w:val="auto"/>
              </w:rPr>
            </w:pPr>
          </w:p>
        </w:tc>
        <w:tc>
          <w:tcPr>
            <w:tcW w:w="300" w:type="dxa"/>
            <w:vAlign w:val="bottom"/>
            <w:shd w:val="clear" w:color="auto" w:fill="B7E5FF"/>
          </w:tcPr>
          <w:p>
            <w:pPr>
              <w:spacing w:after="0"/>
              <w:rPr>
                <w:sz w:val="13"/>
                <w:szCs w:val="13"/>
                <w:color w:val="auto"/>
              </w:rPr>
            </w:pPr>
          </w:p>
        </w:tc>
        <w:tc>
          <w:tcPr>
            <w:tcW w:w="112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480" w:type="dxa"/>
            <w:vAlign w:val="bottom"/>
            <w:shd w:val="clear" w:color="auto" w:fill="B7E5FF"/>
          </w:tcPr>
          <w:p>
            <w:pPr>
              <w:spacing w:after="0"/>
              <w:rPr>
                <w:sz w:val="13"/>
                <w:szCs w:val="13"/>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(0.09)</w:t>
            </w:r>
          </w:p>
        </w:tc>
      </w:tr>
      <w:tr>
        <w:trPr>
          <w:trHeight w:val="153"/>
        </w:trPr>
        <w:tc>
          <w:tcPr>
            <w:tcW w:w="5880" w:type="dxa"/>
            <w:vAlign w:val="bottom"/>
          </w:tcPr>
          <w:p>
            <w:pPr>
              <w:ind w:left="100"/>
              <w:spacing w:after="0"/>
              <w:rPr>
                <w:sz w:val="20"/>
                <w:szCs w:val="20"/>
                <w:color w:val="auto"/>
              </w:rPr>
            </w:pPr>
            <w:r>
              <w:rPr>
                <w:rFonts w:ascii="Arial" w:cs="Arial" w:eastAsia="Arial" w:hAnsi="Arial"/>
                <w:sz w:val="12"/>
                <w:szCs w:val="12"/>
                <w:color w:val="auto"/>
              </w:rPr>
              <w:t>Pension and postretirement benefit costs,</w:t>
            </w: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3"/>
        </w:trPr>
        <w:tc>
          <w:tcPr>
            <w:tcW w:w="5880" w:type="dxa"/>
            <w:vAlign w:val="bottom"/>
            <w:shd w:val="clear" w:color="auto" w:fill="B7E5FF"/>
          </w:tcPr>
          <w:p>
            <w:pPr>
              <w:ind w:left="100"/>
              <w:spacing w:after="0"/>
              <w:rPr>
                <w:sz w:val="20"/>
                <w:szCs w:val="20"/>
                <w:color w:val="auto"/>
              </w:rPr>
            </w:pPr>
            <w:r>
              <w:rPr>
                <w:rFonts w:ascii="Arial" w:cs="Arial" w:eastAsia="Arial" w:hAnsi="Arial"/>
                <w:sz w:val="12"/>
                <w:szCs w:val="12"/>
                <w:color w:val="auto"/>
              </w:rPr>
              <w:t>non-service components per diluted share (d)</w:t>
            </w:r>
          </w:p>
        </w:tc>
        <w:tc>
          <w:tcPr>
            <w:tcW w:w="780" w:type="dxa"/>
            <w:vAlign w:val="bottom"/>
            <w:shd w:val="clear" w:color="auto" w:fill="B7E5FF"/>
          </w:tcPr>
          <w:p>
            <w:pPr>
              <w:spacing w:after="0"/>
              <w:rPr>
                <w:sz w:val="13"/>
                <w:szCs w:val="13"/>
                <w:color w:val="auto"/>
              </w:rPr>
            </w:pPr>
          </w:p>
        </w:tc>
        <w:tc>
          <w:tcPr>
            <w:tcW w:w="5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0.06</w:t>
            </w:r>
          </w:p>
        </w:tc>
        <w:tc>
          <w:tcPr>
            <w:tcW w:w="100" w:type="dxa"/>
            <w:vAlign w:val="bottom"/>
            <w:shd w:val="clear" w:color="auto" w:fill="B7E5FF"/>
          </w:tcPr>
          <w:p>
            <w:pPr>
              <w:spacing w:after="0"/>
              <w:rPr>
                <w:sz w:val="13"/>
                <w:szCs w:val="13"/>
                <w:color w:val="auto"/>
              </w:rPr>
            </w:pPr>
          </w:p>
        </w:tc>
        <w:tc>
          <w:tcPr>
            <w:tcW w:w="520" w:type="dxa"/>
            <w:vAlign w:val="bottom"/>
            <w:shd w:val="clear" w:color="auto" w:fill="B7E5FF"/>
          </w:tcPr>
          <w:p>
            <w:pPr>
              <w:spacing w:after="0"/>
              <w:rPr>
                <w:sz w:val="13"/>
                <w:szCs w:val="13"/>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0.03</w:t>
            </w:r>
          </w:p>
        </w:tc>
        <w:tc>
          <w:tcPr>
            <w:tcW w:w="120" w:type="dxa"/>
            <w:vAlign w:val="bottom"/>
            <w:shd w:val="clear" w:color="auto" w:fill="B7E5FF"/>
          </w:tcPr>
          <w:p>
            <w:pPr>
              <w:spacing w:after="0"/>
              <w:rPr>
                <w:sz w:val="13"/>
                <w:szCs w:val="13"/>
                <w:color w:val="auto"/>
              </w:rPr>
            </w:pPr>
          </w:p>
        </w:tc>
        <w:tc>
          <w:tcPr>
            <w:tcW w:w="300" w:type="dxa"/>
            <w:vAlign w:val="bottom"/>
            <w:shd w:val="clear" w:color="auto" w:fill="B7E5FF"/>
          </w:tcPr>
          <w:p>
            <w:pPr>
              <w:spacing w:after="0"/>
              <w:rPr>
                <w:sz w:val="13"/>
                <w:szCs w:val="13"/>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0.11</w:t>
            </w:r>
          </w:p>
        </w:tc>
        <w:tc>
          <w:tcPr>
            <w:tcW w:w="120" w:type="dxa"/>
            <w:vAlign w:val="bottom"/>
            <w:shd w:val="clear" w:color="auto" w:fill="B7E5FF"/>
          </w:tcPr>
          <w:p>
            <w:pPr>
              <w:spacing w:after="0"/>
              <w:rPr>
                <w:sz w:val="13"/>
                <w:szCs w:val="13"/>
                <w:color w:val="auto"/>
              </w:rPr>
            </w:pPr>
          </w:p>
        </w:tc>
        <w:tc>
          <w:tcPr>
            <w:tcW w:w="480" w:type="dxa"/>
            <w:vAlign w:val="bottom"/>
            <w:shd w:val="clear" w:color="auto" w:fill="B7E5FF"/>
          </w:tcPr>
          <w:p>
            <w:pPr>
              <w:spacing w:after="0"/>
              <w:rPr>
                <w:sz w:val="13"/>
                <w:szCs w:val="13"/>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0.06</w:t>
            </w:r>
          </w:p>
        </w:tc>
      </w:tr>
      <w:tr>
        <w:trPr>
          <w:trHeight w:val="153"/>
        </w:trPr>
        <w:tc>
          <w:tcPr>
            <w:tcW w:w="5880" w:type="dxa"/>
            <w:vAlign w:val="bottom"/>
          </w:tcPr>
          <w:p>
            <w:pPr>
              <w:ind w:left="100"/>
              <w:spacing w:after="0"/>
              <w:rPr>
                <w:sz w:val="20"/>
                <w:szCs w:val="20"/>
                <w:color w:val="auto"/>
              </w:rPr>
            </w:pPr>
            <w:r>
              <w:rPr>
                <w:rFonts w:ascii="Arial" w:cs="Arial" w:eastAsia="Arial" w:hAnsi="Arial"/>
                <w:sz w:val="12"/>
                <w:szCs w:val="12"/>
                <w:color w:val="auto"/>
              </w:rPr>
              <w:t>Charges related to the settlement of a non-core equipment</w:t>
            </w: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3"/>
        </w:trPr>
        <w:tc>
          <w:tcPr>
            <w:tcW w:w="5880" w:type="dxa"/>
            <w:vAlign w:val="bottom"/>
            <w:shd w:val="clear" w:color="auto" w:fill="B7E5FF"/>
          </w:tcPr>
          <w:p>
            <w:pPr>
              <w:ind w:left="100"/>
              <w:spacing w:after="0"/>
              <w:rPr>
                <w:sz w:val="20"/>
                <w:szCs w:val="20"/>
                <w:color w:val="auto"/>
              </w:rPr>
            </w:pPr>
            <w:r>
              <w:rPr>
                <w:rFonts w:ascii="Arial" w:cs="Arial" w:eastAsia="Arial" w:hAnsi="Arial"/>
                <w:sz w:val="12"/>
                <w:szCs w:val="12"/>
                <w:color w:val="auto"/>
              </w:rPr>
              <w:t>sale per diluted share (b)</w:t>
            </w:r>
          </w:p>
        </w:tc>
        <w:tc>
          <w:tcPr>
            <w:tcW w:w="780" w:type="dxa"/>
            <w:vAlign w:val="bottom"/>
            <w:shd w:val="clear" w:color="auto" w:fill="B7E5FF"/>
          </w:tcPr>
          <w:p>
            <w:pPr>
              <w:spacing w:after="0"/>
              <w:rPr>
                <w:sz w:val="13"/>
                <w:szCs w:val="13"/>
                <w:color w:val="auto"/>
              </w:rPr>
            </w:pPr>
          </w:p>
        </w:tc>
        <w:tc>
          <w:tcPr>
            <w:tcW w:w="520" w:type="dxa"/>
            <w:vAlign w:val="bottom"/>
            <w:shd w:val="clear" w:color="auto" w:fill="B7E5FF"/>
          </w:tcPr>
          <w:p>
            <w:pPr>
              <w:jc w:val="right"/>
              <w:spacing w:after="0"/>
              <w:rPr>
                <w:sz w:val="20"/>
                <w:szCs w:val="20"/>
                <w:color w:val="auto"/>
              </w:rPr>
            </w:pPr>
            <w:r>
              <w:rPr>
                <w:rFonts w:ascii="Arial" w:cs="Arial" w:eastAsia="Arial" w:hAnsi="Arial"/>
                <w:sz w:val="12"/>
                <w:szCs w:val="12"/>
                <w:color w:val="auto"/>
              </w:rPr>
              <w:t>0.02</w:t>
            </w:r>
          </w:p>
        </w:tc>
        <w:tc>
          <w:tcPr>
            <w:tcW w:w="100" w:type="dxa"/>
            <w:vAlign w:val="bottom"/>
            <w:shd w:val="clear" w:color="auto" w:fill="B7E5FF"/>
          </w:tcPr>
          <w:p>
            <w:pPr>
              <w:spacing w:after="0"/>
              <w:rPr>
                <w:sz w:val="13"/>
                <w:szCs w:val="13"/>
                <w:color w:val="auto"/>
              </w:rPr>
            </w:pPr>
          </w:p>
        </w:tc>
        <w:tc>
          <w:tcPr>
            <w:tcW w:w="520" w:type="dxa"/>
            <w:vAlign w:val="bottom"/>
            <w:shd w:val="clear" w:color="auto" w:fill="B7E5FF"/>
          </w:tcPr>
          <w:p>
            <w:pPr>
              <w:spacing w:after="0"/>
              <w:rPr>
                <w:sz w:val="13"/>
                <w:szCs w:val="13"/>
                <w:color w:val="auto"/>
              </w:rPr>
            </w:pPr>
          </w:p>
        </w:tc>
        <w:tc>
          <w:tcPr>
            <w:tcW w:w="920" w:type="dxa"/>
            <w:vAlign w:val="bottom"/>
            <w:gridSpan w:val="2"/>
            <w:shd w:val="clear" w:color="auto" w:fill="B7E5FF"/>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shd w:val="clear" w:color="auto" w:fill="B7E5FF"/>
          </w:tcPr>
          <w:p>
            <w:pPr>
              <w:spacing w:after="0"/>
              <w:rPr>
                <w:sz w:val="13"/>
                <w:szCs w:val="13"/>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2"/>
                <w:szCs w:val="12"/>
                <w:color w:val="auto"/>
              </w:rPr>
              <w:t>0.02</w:t>
            </w:r>
          </w:p>
        </w:tc>
        <w:tc>
          <w:tcPr>
            <w:tcW w:w="120" w:type="dxa"/>
            <w:vAlign w:val="bottom"/>
            <w:shd w:val="clear" w:color="auto" w:fill="B7E5FF"/>
          </w:tcPr>
          <w:p>
            <w:pPr>
              <w:spacing w:after="0"/>
              <w:rPr>
                <w:sz w:val="13"/>
                <w:szCs w:val="13"/>
                <w:color w:val="auto"/>
              </w:rPr>
            </w:pPr>
          </w:p>
        </w:tc>
        <w:tc>
          <w:tcPr>
            <w:tcW w:w="480" w:type="dxa"/>
            <w:vAlign w:val="bottom"/>
            <w:shd w:val="clear" w:color="auto" w:fill="B7E5FF"/>
          </w:tcPr>
          <w:p>
            <w:pPr>
              <w:spacing w:after="0"/>
              <w:rPr>
                <w:sz w:val="13"/>
                <w:szCs w:val="13"/>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5880" w:type="dxa"/>
            <w:vAlign w:val="bottom"/>
          </w:tcPr>
          <w:p>
            <w:pPr>
              <w:ind w:left="100"/>
              <w:spacing w:after="0"/>
              <w:rPr>
                <w:sz w:val="20"/>
                <w:szCs w:val="20"/>
                <w:color w:val="auto"/>
              </w:rPr>
            </w:pPr>
            <w:r>
              <w:rPr>
                <w:rFonts w:ascii="Arial" w:cs="Arial" w:eastAsia="Arial" w:hAnsi="Arial"/>
                <w:sz w:val="12"/>
                <w:szCs w:val="12"/>
                <w:color w:val="auto"/>
              </w:rPr>
              <w:t>Currency conversion impacts of hyper-inflationary</w:t>
            </w: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3"/>
        </w:trPr>
        <w:tc>
          <w:tcPr>
            <w:tcW w:w="5880" w:type="dxa"/>
            <w:vAlign w:val="bottom"/>
            <w:shd w:val="clear" w:color="auto" w:fill="B7E5FF"/>
          </w:tcPr>
          <w:p>
            <w:pPr>
              <w:ind w:left="100"/>
              <w:spacing w:after="0"/>
              <w:rPr>
                <w:sz w:val="20"/>
                <w:szCs w:val="20"/>
                <w:color w:val="auto"/>
              </w:rPr>
            </w:pPr>
            <w:r>
              <w:rPr>
                <w:rFonts w:ascii="Arial" w:cs="Arial" w:eastAsia="Arial" w:hAnsi="Arial"/>
                <w:sz w:val="12"/>
                <w:szCs w:val="12"/>
                <w:color w:val="auto"/>
              </w:rPr>
              <w:t>economies per diluted share (e)</w:t>
            </w:r>
          </w:p>
        </w:tc>
        <w:tc>
          <w:tcPr>
            <w:tcW w:w="780" w:type="dxa"/>
            <w:vAlign w:val="bottom"/>
            <w:tcBorders>
              <w:bottom w:val="single" w:sz="8" w:color="auto"/>
            </w:tcBorders>
            <w:shd w:val="clear" w:color="auto" w:fill="B7E5FF"/>
          </w:tcPr>
          <w:p>
            <w:pPr>
              <w:spacing w:after="0"/>
              <w:rPr>
                <w:sz w:val="13"/>
                <w:szCs w:val="13"/>
                <w:color w:val="auto"/>
              </w:rPr>
            </w:pPr>
          </w:p>
        </w:tc>
        <w:tc>
          <w:tcPr>
            <w:tcW w:w="5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(0.00)</w:t>
            </w:r>
          </w:p>
        </w:tc>
        <w:tc>
          <w:tcPr>
            <w:tcW w:w="100" w:type="dxa"/>
            <w:vAlign w:val="bottom"/>
            <w:shd w:val="clear" w:color="auto" w:fill="B7E5FF"/>
          </w:tcPr>
          <w:p>
            <w:pPr>
              <w:spacing w:after="0"/>
              <w:rPr>
                <w:sz w:val="13"/>
                <w:szCs w:val="13"/>
                <w:color w:val="auto"/>
              </w:rPr>
            </w:pPr>
          </w:p>
        </w:tc>
        <w:tc>
          <w:tcPr>
            <w:tcW w:w="520" w:type="dxa"/>
            <w:vAlign w:val="bottom"/>
            <w:tcBorders>
              <w:bottom w:val="single" w:sz="8" w:color="auto"/>
            </w:tcBorders>
            <w:shd w:val="clear" w:color="auto" w:fill="B7E5FF"/>
          </w:tcPr>
          <w:p>
            <w:pPr>
              <w:spacing w:after="0"/>
              <w:rPr>
                <w:sz w:val="13"/>
                <w:szCs w:val="13"/>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0.00</w:t>
            </w:r>
          </w:p>
        </w:tc>
        <w:tc>
          <w:tcPr>
            <w:tcW w:w="120" w:type="dxa"/>
            <w:vAlign w:val="bottom"/>
            <w:shd w:val="clear" w:color="auto" w:fill="B7E5FF"/>
          </w:tcPr>
          <w:p>
            <w:pPr>
              <w:spacing w:after="0"/>
              <w:rPr>
                <w:sz w:val="13"/>
                <w:szCs w:val="13"/>
                <w:color w:val="auto"/>
              </w:rPr>
            </w:pPr>
          </w:p>
        </w:tc>
        <w:tc>
          <w:tcPr>
            <w:tcW w:w="300" w:type="dxa"/>
            <w:vAlign w:val="bottom"/>
            <w:tcBorders>
              <w:bottom w:val="single" w:sz="8" w:color="auto"/>
            </w:tcBorders>
            <w:shd w:val="clear" w:color="auto" w:fill="B7E5FF"/>
          </w:tcPr>
          <w:p>
            <w:pPr>
              <w:spacing w:after="0"/>
              <w:rPr>
                <w:sz w:val="13"/>
                <w:szCs w:val="13"/>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0.01</w:t>
            </w:r>
          </w:p>
        </w:tc>
        <w:tc>
          <w:tcPr>
            <w:tcW w:w="120" w:type="dxa"/>
            <w:vAlign w:val="bottom"/>
            <w:shd w:val="clear" w:color="auto" w:fill="B7E5FF"/>
          </w:tcPr>
          <w:p>
            <w:pPr>
              <w:spacing w:after="0"/>
              <w:rPr>
                <w:sz w:val="13"/>
                <w:szCs w:val="13"/>
                <w:color w:val="auto"/>
              </w:rPr>
            </w:pPr>
          </w:p>
        </w:tc>
        <w:tc>
          <w:tcPr>
            <w:tcW w:w="480" w:type="dxa"/>
            <w:vAlign w:val="bottom"/>
            <w:tcBorders>
              <w:bottom w:val="single" w:sz="8" w:color="auto"/>
            </w:tcBorders>
            <w:shd w:val="clear" w:color="auto" w:fill="B7E5FF"/>
          </w:tcPr>
          <w:p>
            <w:pPr>
              <w:spacing w:after="0"/>
              <w:rPr>
                <w:sz w:val="13"/>
                <w:szCs w:val="13"/>
                <w:color w:val="auto"/>
              </w:rPr>
            </w:pPr>
          </w:p>
        </w:tc>
        <w:tc>
          <w:tcPr>
            <w:tcW w:w="8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2"/>
                <w:szCs w:val="12"/>
                <w:color w:val="auto"/>
              </w:rPr>
              <w:t>0.02</w:t>
            </w:r>
          </w:p>
        </w:tc>
      </w:tr>
      <w:tr>
        <w:trPr>
          <w:trHeight w:val="140"/>
        </w:trPr>
        <w:tc>
          <w:tcPr>
            <w:tcW w:w="5880" w:type="dxa"/>
            <w:vAlign w:val="bottom"/>
          </w:tcPr>
          <w:p>
            <w:pPr>
              <w:spacing w:after="0" w:line="133" w:lineRule="exact"/>
              <w:rPr>
                <w:sz w:val="20"/>
                <w:szCs w:val="20"/>
                <w:color w:val="auto"/>
              </w:rPr>
            </w:pPr>
            <w:r>
              <w:rPr>
                <w:rFonts w:ascii="Arial" w:cs="Arial" w:eastAsia="Arial" w:hAnsi="Arial"/>
                <w:sz w:val="12"/>
                <w:szCs w:val="12"/>
                <w:color w:val="auto"/>
              </w:rPr>
              <w:t>Non-GAAP earnings per diluted share (i)</w:t>
            </w:r>
          </w:p>
        </w:tc>
        <w:tc>
          <w:tcPr>
            <w:tcW w:w="780" w:type="dxa"/>
            <w:vAlign w:val="bottom"/>
            <w:tcBorders>
              <w:bottom w:val="single" w:sz="8" w:color="auto"/>
            </w:tcBorders>
          </w:tcPr>
          <w:p>
            <w:pPr>
              <w:jc w:val="right"/>
              <w:ind w:right="667"/>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1.56</w:t>
            </w:r>
          </w:p>
        </w:tc>
        <w:tc>
          <w:tcPr>
            <w:tcW w:w="100" w:type="dxa"/>
            <w:vAlign w:val="bottom"/>
          </w:tcPr>
          <w:p>
            <w:pPr>
              <w:spacing w:after="0"/>
              <w:rPr>
                <w:sz w:val="12"/>
                <w:szCs w:val="12"/>
                <w:color w:val="auto"/>
              </w:rPr>
            </w:pPr>
          </w:p>
        </w:tc>
        <w:tc>
          <w:tcPr>
            <w:tcW w:w="520" w:type="dxa"/>
            <w:vAlign w:val="bottom"/>
            <w:tcBorders>
              <w:bottom w:val="single" w:sz="8" w:color="auto"/>
            </w:tcBorders>
          </w:tcPr>
          <w:p>
            <w:pPr>
              <w:jc w:val="right"/>
              <w:ind w:right="380"/>
              <w:spacing w:after="0" w:line="133" w:lineRule="exact"/>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1.59</w:t>
            </w:r>
          </w:p>
        </w:tc>
        <w:tc>
          <w:tcPr>
            <w:tcW w:w="120" w:type="dxa"/>
            <w:vAlign w:val="bottom"/>
          </w:tcPr>
          <w:p>
            <w:pPr>
              <w:spacing w:after="0"/>
              <w:rPr>
                <w:sz w:val="12"/>
                <w:szCs w:val="12"/>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2.97</w:t>
            </w:r>
          </w:p>
        </w:tc>
        <w:tc>
          <w:tcPr>
            <w:tcW w:w="120" w:type="dxa"/>
            <w:vAlign w:val="bottom"/>
          </w:tcPr>
          <w:p>
            <w:pPr>
              <w:spacing w:after="0"/>
              <w:rPr>
                <w:sz w:val="12"/>
                <w:szCs w:val="12"/>
                <w:color w:val="auto"/>
              </w:rPr>
            </w:pPr>
          </w:p>
        </w:tc>
        <w:tc>
          <w:tcPr>
            <w:tcW w:w="480" w:type="dxa"/>
            <w:vAlign w:val="bottom"/>
            <w:tcBorders>
              <w:bottom w:val="single" w:sz="8" w:color="auto"/>
            </w:tcBorders>
          </w:tcPr>
          <w:p>
            <w:pPr>
              <w:jc w:val="right"/>
              <w:ind w:right="37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3.00</w:t>
            </w:r>
          </w:p>
        </w:tc>
      </w:tr>
    </w:tbl>
    <w:p>
      <w:pPr>
        <w:spacing w:after="0" w:line="54" w:lineRule="exact"/>
        <w:rPr>
          <w:sz w:val="20"/>
          <w:szCs w:val="20"/>
          <w:color w:val="auto"/>
        </w:rPr>
      </w:pPr>
    </w:p>
    <w:p>
      <w:pPr>
        <w:ind w:left="428" w:hanging="428"/>
        <w:spacing w:after="0" w:line="290" w:lineRule="auto"/>
        <w:tabs>
          <w:tab w:leader="none" w:pos="212" w:val="left"/>
        </w:tabs>
        <w:numPr>
          <w:ilvl w:val="0"/>
          <w:numId w:val="4"/>
        </w:numPr>
        <w:rPr>
          <w:rFonts w:ascii="Arial" w:cs="Arial" w:eastAsia="Arial" w:hAnsi="Arial"/>
          <w:sz w:val="11"/>
          <w:szCs w:val="11"/>
          <w:color w:val="auto"/>
        </w:rPr>
      </w:pPr>
      <w:r>
        <w:rPr>
          <w:rFonts w:ascii="Arial" w:cs="Arial" w:eastAsia="Arial" w:hAnsi="Arial"/>
          <w:sz w:val="11"/>
          <w:szCs w:val="11"/>
          <w:color w:val="auto"/>
        </w:rPr>
        <w:t>Houghton combination and other acquisition-related expenses include certain legal, financial, and other advisory and consultant costs incurred in connection with due diligence, regulatory approvals and integration planning, as well as certain one-time labor costs associated with the Company’s acquisition-related activities. These costs are not indicative of the future operating performance of the Company. Approximately $2.3 million and $3.5 million in the three and six months ended June 30, 2019, respectively, and $0.9 million and $2.7 million in the three and six months ended June 30, 2018, respectively, of these pre-tax costs were considered non-deductible for the purpose of determining the Company’s effective tax rate, and, therefore, taxes on income before equity in net income of associated companies - adjusted reflects the impact of these items. During both the three and</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177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8"/>
          </w:cols>
          <w:pgMar w:left="212" w:top="127" w:right="199" w:bottom="1440" w:gutter="0" w:footer="0" w:header="0"/>
        </w:sectPr>
      </w:pPr>
    </w:p>
    <w:bookmarkStart w:id="28" w:name="page29"/>
    <w:bookmarkEnd w:id="28"/>
    <w:p>
      <w:pPr>
        <w:jc w:val="center"/>
        <w:ind w:right="-7"/>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Management’s Discussion and Analysis</w:t>
      </w:r>
    </w:p>
    <w:p>
      <w:pPr>
        <w:spacing w:after="0" w:line="222" w:lineRule="exact"/>
        <w:rPr>
          <w:sz w:val="20"/>
          <w:szCs w:val="20"/>
          <w:color w:val="auto"/>
        </w:rPr>
      </w:pPr>
    </w:p>
    <w:p>
      <w:pPr>
        <w:jc w:val="both"/>
        <w:ind w:left="428" w:hanging="215"/>
        <w:spacing w:after="0" w:line="259" w:lineRule="auto"/>
        <w:rPr>
          <w:sz w:val="20"/>
          <w:szCs w:val="20"/>
          <w:color w:val="auto"/>
        </w:rPr>
      </w:pPr>
      <w:r>
        <w:rPr>
          <w:rFonts w:ascii="Arial" w:cs="Arial" w:eastAsia="Arial" w:hAnsi="Arial"/>
          <w:sz w:val="12"/>
          <w:szCs w:val="12"/>
          <w:color w:val="auto"/>
        </w:rPr>
        <w:t>six months ended June 30, 2019 and 2018, the Company incurred $0.9 and $1.7 million, respectively, of ticking fees to maintain the bank commitment related to the Combination. These interest costs are included in the caption Interest expense, net in the reconciliation of net income attributable to the Company to EBITDA, but are excluded from Interest expense, net – adjusted in the reconciliation of adjusted EBITDA to non-GAAP net income attributable to the Company. Also, included in the caption Houghton combination and other acquisition-related expenses for the three and six months ended June 30, 2018 is a $0.6 million gain on the sale of an available-for-sale asset. See Note 2 of Notes to Condensed Consolidated Financial Statements, which appears in Item 1 of this Report.</w:t>
      </w:r>
    </w:p>
    <w:p>
      <w:pPr>
        <w:spacing w:after="0" w:line="35" w:lineRule="exact"/>
        <w:rPr>
          <w:sz w:val="20"/>
          <w:szCs w:val="20"/>
          <w:color w:val="auto"/>
        </w:rPr>
      </w:pPr>
    </w:p>
    <w:p>
      <w:pPr>
        <w:ind w:left="428" w:right="40" w:hanging="428"/>
        <w:spacing w:after="0" w:line="276" w:lineRule="auto"/>
        <w:tabs>
          <w:tab w:leader="none" w:pos="212" w:val="left"/>
        </w:tabs>
        <w:numPr>
          <w:ilvl w:val="0"/>
          <w:numId w:val="5"/>
        </w:numPr>
        <w:rPr>
          <w:rFonts w:ascii="Arial" w:cs="Arial" w:eastAsia="Arial" w:hAnsi="Arial"/>
          <w:sz w:val="12"/>
          <w:szCs w:val="12"/>
          <w:color w:val="auto"/>
        </w:rPr>
      </w:pPr>
      <w:r>
        <w:rPr>
          <w:rFonts w:ascii="Arial" w:cs="Arial" w:eastAsia="Arial" w:hAnsi="Arial"/>
          <w:sz w:val="12"/>
          <w:szCs w:val="12"/>
          <w:color w:val="auto"/>
        </w:rPr>
        <w:t>Charges related to the settlement of a non-core equipment sale represents the pre-tax charge related to a one-time, uncommon, customer settlement associated with a prior sale of non-core equipment. These charges are not indicative of the future operating performance of the Company.</w:t>
      </w:r>
    </w:p>
    <w:p>
      <w:pPr>
        <w:spacing w:after="0" w:line="33" w:lineRule="exact"/>
        <w:rPr>
          <w:rFonts w:ascii="Arial" w:cs="Arial" w:eastAsia="Arial" w:hAnsi="Arial"/>
          <w:sz w:val="12"/>
          <w:szCs w:val="12"/>
          <w:color w:val="auto"/>
        </w:rPr>
      </w:pPr>
    </w:p>
    <w:p>
      <w:pPr>
        <w:ind w:left="428" w:right="120" w:hanging="428"/>
        <w:spacing w:after="0" w:line="263" w:lineRule="auto"/>
        <w:tabs>
          <w:tab w:leader="none" w:pos="212" w:val="left"/>
        </w:tabs>
        <w:numPr>
          <w:ilvl w:val="0"/>
          <w:numId w:val="5"/>
        </w:numPr>
        <w:rPr>
          <w:rFonts w:ascii="Arial" w:cs="Arial" w:eastAsia="Arial" w:hAnsi="Arial"/>
          <w:sz w:val="12"/>
          <w:szCs w:val="12"/>
          <w:color w:val="auto"/>
        </w:rPr>
      </w:pPr>
      <w:r>
        <w:rPr>
          <w:rFonts w:ascii="Arial" w:cs="Arial" w:eastAsia="Arial" w:hAnsi="Arial"/>
          <w:sz w:val="12"/>
          <w:szCs w:val="12"/>
          <w:color w:val="auto"/>
        </w:rPr>
        <w:t>Equity income in a captive insurance company represents the after-tax income attributable to the Company’s interest in Primex, Ltd. (“Primex”), a captive insurance company. The Company holds a 33% investment in and has significant influence over Primex, and therefore accounts for this interest under the equity method of accounting. The income attributable to Primex is not indicative of the future operating performance of the Company and is not considered core to the Company’s operations.</w:t>
      </w:r>
    </w:p>
    <w:p>
      <w:pPr>
        <w:spacing w:after="0" w:line="50" w:lineRule="exact"/>
        <w:rPr>
          <w:rFonts w:ascii="Arial" w:cs="Arial" w:eastAsia="Arial" w:hAnsi="Arial"/>
          <w:sz w:val="12"/>
          <w:szCs w:val="12"/>
          <w:color w:val="auto"/>
        </w:rPr>
      </w:pPr>
    </w:p>
    <w:p>
      <w:pPr>
        <w:ind w:left="428" w:hanging="428"/>
        <w:spacing w:after="0" w:line="276" w:lineRule="auto"/>
        <w:tabs>
          <w:tab w:leader="none" w:pos="212" w:val="left"/>
        </w:tabs>
        <w:numPr>
          <w:ilvl w:val="0"/>
          <w:numId w:val="5"/>
        </w:numPr>
        <w:rPr>
          <w:rFonts w:ascii="Arial" w:cs="Arial" w:eastAsia="Arial" w:hAnsi="Arial"/>
          <w:sz w:val="12"/>
          <w:szCs w:val="12"/>
          <w:color w:val="auto"/>
        </w:rPr>
      </w:pPr>
      <w:r>
        <w:rPr>
          <w:rFonts w:ascii="Arial" w:cs="Arial" w:eastAsia="Arial" w:hAnsi="Arial"/>
          <w:sz w:val="12"/>
          <w:szCs w:val="12"/>
          <w:color w:val="auto"/>
        </w:rPr>
        <w:t>Pension and postretirement benefit costs, non-service components represent the pre-tax, non-service component of the Company’s pension and postretirement net periodic benefit cost in each period. These costs are not indicative of the future operating performance of the Company. See Note 8 of Notes to Condensed Consolidated Financial Statements, which appears in Item 1 of this Report.</w:t>
      </w:r>
    </w:p>
    <w:p>
      <w:pPr>
        <w:spacing w:after="0" w:line="42" w:lineRule="exact"/>
        <w:rPr>
          <w:rFonts w:ascii="Arial" w:cs="Arial" w:eastAsia="Arial" w:hAnsi="Arial"/>
          <w:sz w:val="12"/>
          <w:szCs w:val="12"/>
          <w:color w:val="auto"/>
        </w:rPr>
      </w:pPr>
    </w:p>
    <w:p>
      <w:pPr>
        <w:ind w:left="428" w:right="60" w:hanging="428"/>
        <w:spacing w:after="0" w:line="254" w:lineRule="auto"/>
        <w:tabs>
          <w:tab w:leader="none" w:pos="212" w:val="left"/>
        </w:tabs>
        <w:numPr>
          <w:ilvl w:val="0"/>
          <w:numId w:val="5"/>
        </w:numPr>
        <w:rPr>
          <w:rFonts w:ascii="Arial" w:cs="Arial" w:eastAsia="Arial" w:hAnsi="Arial"/>
          <w:sz w:val="12"/>
          <w:szCs w:val="12"/>
          <w:color w:val="auto"/>
        </w:rPr>
      </w:pPr>
      <w:r>
        <w:rPr>
          <w:rFonts w:ascii="Arial" w:cs="Arial" w:eastAsia="Arial" w:hAnsi="Arial"/>
          <w:sz w:val="12"/>
          <w:szCs w:val="12"/>
          <w:color w:val="auto"/>
        </w:rPr>
        <w:t>Currency conversion impacts of hyper-inflationary economies represents the foreign currency remeasurement impacts associated with the Company’s affiliates whose local economies are designated as hyper-inflationary under U.S. GAAP. An entity which operates within an economy deemed to be hyper-inflationary under U.S. GAAP is required to remeasure its monetary assets and liabilities to the applicable published exchange rates and record the associated gains or losses resulting from the remeasurement directly to the Condensed Consolidated Statements of Income. Venezuela’s economy has been considered hyper-inflationary under U.S. GAAP since 2010 while Argentina’s economy has been considered hyper-inflationary beginning July 1, 2018. During the three and six months ended June 30, 2019, the Company incurred non-deductible, pre-tax charges related to the Company’s Argentina affiliate. During the three months and six ended June 30, 2018, the Company incurred after-tax charges related to the Company’s Venezuela affiliate. The charges incurred related to the immediate recognition of foreign currency remeasurement in the Condensed Consolidated Statements of Income associated with these entities are not indicative of the future operating performance of the Company. See Note 1 of Notes to Condensed Consolidated Financial Statements, which appears in Item 1 of this Report.</w:t>
      </w:r>
    </w:p>
    <w:p>
      <w:pPr>
        <w:spacing w:after="0" w:line="58" w:lineRule="exact"/>
        <w:rPr>
          <w:rFonts w:ascii="Arial" w:cs="Arial" w:eastAsia="Arial" w:hAnsi="Arial"/>
          <w:sz w:val="12"/>
          <w:szCs w:val="12"/>
          <w:color w:val="auto"/>
        </w:rPr>
      </w:pPr>
    </w:p>
    <w:p>
      <w:pPr>
        <w:ind w:left="428" w:right="40" w:hanging="428"/>
        <w:spacing w:after="0" w:line="304" w:lineRule="auto"/>
        <w:tabs>
          <w:tab w:leader="none" w:pos="212" w:val="left"/>
        </w:tabs>
        <w:numPr>
          <w:ilvl w:val="0"/>
          <w:numId w:val="5"/>
        </w:numPr>
        <w:rPr>
          <w:rFonts w:ascii="Arial" w:cs="Arial" w:eastAsia="Arial" w:hAnsi="Arial"/>
          <w:sz w:val="10"/>
          <w:szCs w:val="10"/>
          <w:color w:val="auto"/>
        </w:rPr>
      </w:pPr>
      <w:r>
        <w:rPr>
          <w:rFonts w:ascii="Arial" w:cs="Arial" w:eastAsia="Arial" w:hAnsi="Arial"/>
          <w:sz w:val="10"/>
          <w:szCs w:val="10"/>
          <w:color w:val="auto"/>
        </w:rPr>
        <w:t>U.S. Transition tax adjustment represents the tax benefit recorded by the Company as a result of changes to the Company’s initial fourth quarter of 2017 estimate of the one-time charge on deemed repatriation of undistributed earnings associated with the U.S. Tax Cuts and Jobs Act in December 2017. Specifically, the Company adjusted the amount estimated for the U.S. state impact of the gross deemed repatriation Transition tax on previously untaxed accumulated and current earnings and profits of certain of the Company’s foreign subsidiaries. The U.S. Transition tax adjustment was based on guidance issued during the second quarter of 2018 by various state taxing authorities and was the result of a specific one-time event and is not indicative of future operating performance of the Company. U.S. Transition tax adjustment is included within the caption Taxes on income before equity in net income of associated companies in the reconciliation of Net income attributable to Quaker Chemical Corporation to Adjusted EBITDA, but is excluded from the caption Taxes on income before equity in net income of associated companies</w:t>
      </w:r>
    </w:p>
    <w:p>
      <w:pPr>
        <w:spacing w:after="0" w:line="1" w:lineRule="exact"/>
        <w:rPr>
          <w:rFonts w:ascii="Arial" w:cs="Arial" w:eastAsia="Arial" w:hAnsi="Arial"/>
          <w:sz w:val="10"/>
          <w:szCs w:val="10"/>
          <w:color w:val="auto"/>
        </w:rPr>
      </w:pPr>
    </w:p>
    <w:p>
      <w:pPr>
        <w:ind w:left="428"/>
        <w:spacing w:after="0"/>
        <w:rPr>
          <w:rFonts w:ascii="Arial" w:cs="Arial" w:eastAsia="Arial" w:hAnsi="Arial"/>
          <w:sz w:val="10"/>
          <w:szCs w:val="10"/>
          <w:color w:val="auto"/>
        </w:rPr>
      </w:pPr>
      <w:r>
        <w:rPr>
          <w:rFonts w:ascii="Arial" w:cs="Arial" w:eastAsia="Arial" w:hAnsi="Arial"/>
          <w:sz w:val="11"/>
          <w:szCs w:val="11"/>
          <w:color w:val="auto"/>
        </w:rPr>
        <w:t>– adjusted in the reconciliation of adjusted EBITDA to non-GAAP net income attributable to the Company. See Note 10 of Notes to Condensed Consolidated Financial Statements, which appears in Item 1 of this Report.</w:t>
      </w:r>
    </w:p>
    <w:p>
      <w:pPr>
        <w:spacing w:after="0" w:line="80" w:lineRule="exact"/>
        <w:rPr>
          <w:rFonts w:ascii="Arial" w:cs="Arial" w:eastAsia="Arial" w:hAnsi="Arial"/>
          <w:sz w:val="10"/>
          <w:szCs w:val="10"/>
          <w:color w:val="auto"/>
        </w:rPr>
      </w:pPr>
    </w:p>
    <w:p>
      <w:pPr>
        <w:ind w:left="208" w:hanging="208"/>
        <w:spacing w:after="0"/>
        <w:tabs>
          <w:tab w:leader="none" w:pos="208"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Company calculates adjusted EBITDA margin and non-GAAP operating margin as the percentage of adjusted EBITDA and non-GAAP operating income to consolidated net sales.</w:t>
      </w:r>
    </w:p>
    <w:p>
      <w:pPr>
        <w:spacing w:after="0" w:line="78" w:lineRule="exact"/>
        <w:rPr>
          <w:rFonts w:ascii="Arial" w:cs="Arial" w:eastAsia="Arial" w:hAnsi="Arial"/>
          <w:sz w:val="12"/>
          <w:szCs w:val="12"/>
          <w:color w:val="auto"/>
        </w:rPr>
      </w:pPr>
    </w:p>
    <w:p>
      <w:pPr>
        <w:ind w:left="428" w:right="20" w:hanging="428"/>
        <w:spacing w:after="0" w:line="254" w:lineRule="auto"/>
        <w:tabs>
          <w:tab w:leader="none" w:pos="212" w:val="left"/>
        </w:tabs>
        <w:numPr>
          <w:ilvl w:val="0"/>
          <w:numId w:val="5"/>
        </w:numPr>
        <w:rPr>
          <w:rFonts w:ascii="Arial" w:cs="Arial" w:eastAsia="Arial" w:hAnsi="Arial"/>
          <w:sz w:val="12"/>
          <w:szCs w:val="12"/>
          <w:color w:val="auto"/>
        </w:rPr>
      </w:pPr>
      <w:r>
        <w:rPr>
          <w:rFonts w:ascii="Arial" w:cs="Arial" w:eastAsia="Arial" w:hAnsi="Arial"/>
          <w:sz w:val="12"/>
          <w:szCs w:val="12"/>
          <w:color w:val="auto"/>
        </w:rPr>
        <w:t>Taxes on income before equity in net income of associated companies – adjusted presents the impact of any current and deferred income tax expense (benefit), as applicable, of the reconciling items presented in the reconciliation of net income attributable to Quaker Chemical Corporation to adjusted EBITDA, which was determined utilizing the applicable rates in the taxing jurisdictions in which these adjustments occurred, subject to deductibility. Houghton combination and other acquisition-related expenses described in (a) resulted in incremental taxes of $0.7 million and $1.6 million for the three and six months ended June 30, 2019, respectively and $0.8 and $1.8 million for the three and six months ended June 30, 2018, respectively. Charges related to the settlement of a non-core equipment sale described in (b) resulted in incremental taxes of $0.1 million for both the three and six months ended June 30, 2019. Pension and postretirement benefit costs, non-service components described in (d) resulted in incremental taxes of $0.2 million and $0.4 million for the three and six months ended June 30, 2019, respectively, and $0.2 million and $0.3 million for the three and six months ended June 30, 2018, respectively. In addition, U.S. Transition tax adjustment described in (f) resulted in incremental taxes of $1.2 million for both the three and six months ended June 30, 2018.</w:t>
      </w:r>
    </w:p>
    <w:p>
      <w:pPr>
        <w:spacing w:after="0" w:line="5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177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8"/>
          </w:cols>
          <w:pgMar w:left="212" w:top="127" w:right="199" w:bottom="1440" w:gutter="0" w:footer="0" w:header="0"/>
        </w:sectPr>
      </w:pPr>
    </w:p>
    <w:bookmarkStart w:id="29" w:name="page30"/>
    <w:bookmarkEnd w:id="29"/>
    <w:p>
      <w:pPr>
        <w:jc w:val="center"/>
        <w:ind w:right="-27"/>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ind w:right="-27"/>
        <w:spacing w:after="0"/>
        <w:rPr>
          <w:sz w:val="20"/>
          <w:szCs w:val="20"/>
          <w:color w:val="auto"/>
        </w:rPr>
      </w:pPr>
      <w:r>
        <w:rPr>
          <w:rFonts w:ascii="Arial" w:cs="Arial" w:eastAsia="Arial" w:hAnsi="Arial"/>
          <w:sz w:val="12"/>
          <w:szCs w:val="12"/>
          <w:b w:val="1"/>
          <w:bCs w:val="1"/>
          <w:color w:val="auto"/>
        </w:rPr>
        <w:t>Management’s Discussion and Analysis</w:t>
      </w:r>
    </w:p>
    <w:p>
      <w:pPr>
        <w:spacing w:after="0" w:line="231" w:lineRule="exact"/>
        <w:rPr>
          <w:sz w:val="20"/>
          <w:szCs w:val="20"/>
          <w:color w:val="auto"/>
        </w:rPr>
      </w:pPr>
    </w:p>
    <w:p>
      <w:pPr>
        <w:ind w:left="428" w:right="20" w:hanging="428"/>
        <w:spacing w:after="0" w:line="276" w:lineRule="auto"/>
        <w:tabs>
          <w:tab w:leader="none" w:pos="212"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Company calculates non-GAAP earnings per diluted share as non-GAAP net income attributable to the Company per weighted average diluted shares outstanding using the “two-class share method” to calculate such in each given period.</w:t>
      </w:r>
    </w:p>
    <w:p>
      <w:pPr>
        <w:spacing w:after="0" w:line="43"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Operations</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Consolidated Operations Review – Comparison of the Second Quarter of 2019 with the Second Quarter of 2018</w:t>
      </w:r>
    </w:p>
    <w:p>
      <w:pPr>
        <w:spacing w:after="0" w:line="78" w:lineRule="exact"/>
        <w:rPr>
          <w:sz w:val="20"/>
          <w:szCs w:val="20"/>
          <w:color w:val="auto"/>
        </w:rPr>
      </w:pPr>
    </w:p>
    <w:p>
      <w:pPr>
        <w:ind w:left="8" w:right="100" w:firstLine="216"/>
        <w:spacing w:after="0" w:line="276" w:lineRule="auto"/>
        <w:rPr>
          <w:sz w:val="20"/>
          <w:szCs w:val="20"/>
          <w:color w:val="auto"/>
        </w:rPr>
      </w:pPr>
      <w:r>
        <w:rPr>
          <w:rFonts w:ascii="Arial" w:cs="Arial" w:eastAsia="Arial" w:hAnsi="Arial"/>
          <w:sz w:val="12"/>
          <w:szCs w:val="12"/>
          <w:color w:val="auto"/>
        </w:rPr>
        <w:t>Net sales were $205.9 million in the second quarter of 2019 compared to $222.0 million in the second quarter of 2018. The net sales decrease of $16.1 million or 7% quarter-over-quarter was driven by a negative impact from foreign currency translation of 3% or $6.6 million, a decrease in sales volumes of 3% and lower selling price and product mix of 1%.</w:t>
      </w:r>
    </w:p>
    <w:p>
      <w:pPr>
        <w:spacing w:after="0" w:line="43" w:lineRule="exact"/>
        <w:rPr>
          <w:sz w:val="20"/>
          <w:szCs w:val="20"/>
          <w:color w:val="auto"/>
        </w:rPr>
      </w:pPr>
    </w:p>
    <w:p>
      <w:pPr>
        <w:ind w:left="8" w:right="280" w:firstLine="216"/>
        <w:spacing w:after="0" w:line="276" w:lineRule="auto"/>
        <w:rPr>
          <w:sz w:val="20"/>
          <w:szCs w:val="20"/>
          <w:color w:val="auto"/>
        </w:rPr>
      </w:pPr>
      <w:r>
        <w:rPr>
          <w:rFonts w:ascii="Arial" w:cs="Arial" w:eastAsia="Arial" w:hAnsi="Arial"/>
          <w:sz w:val="12"/>
          <w:szCs w:val="12"/>
          <w:color w:val="auto"/>
        </w:rPr>
        <w:t>Costs of goods sold (“COGS”) in the second quarter of 2019 of $130.7 million decreased $10.3 million or 7% from $141.0 million in the second quarter of 2018. The decrease in COGS was primarily due to the positive impact of foreign currency translation, product mix and the decrease in product volumes, noted above.</w:t>
      </w:r>
    </w:p>
    <w:p>
      <w:pPr>
        <w:spacing w:after="0" w:line="43" w:lineRule="exact"/>
        <w:rPr>
          <w:sz w:val="20"/>
          <w:szCs w:val="20"/>
          <w:color w:val="auto"/>
        </w:rPr>
      </w:pPr>
    </w:p>
    <w:p>
      <w:pPr>
        <w:ind w:left="8" w:right="300" w:firstLine="216"/>
        <w:spacing w:after="0" w:line="276" w:lineRule="auto"/>
        <w:rPr>
          <w:sz w:val="20"/>
          <w:szCs w:val="20"/>
          <w:color w:val="auto"/>
        </w:rPr>
      </w:pPr>
      <w:r>
        <w:rPr>
          <w:rFonts w:ascii="Arial" w:cs="Arial" w:eastAsia="Arial" w:hAnsi="Arial"/>
          <w:sz w:val="12"/>
          <w:szCs w:val="12"/>
          <w:color w:val="auto"/>
        </w:rPr>
        <w:t>Gross profit in the second quarter of 2019 decreased $5.8 million or 7% from the second quarter of 2018. The decrease in gross profit was primarily due to the decrease in net sales, noted above. The Company’s gross margin was 36.5% in both the second quarters of 2019 and 2018, respectively.</w:t>
      </w:r>
    </w:p>
    <w:p>
      <w:pPr>
        <w:spacing w:after="0" w:line="43" w:lineRule="exact"/>
        <w:rPr>
          <w:sz w:val="20"/>
          <w:szCs w:val="20"/>
          <w:color w:val="auto"/>
        </w:rPr>
      </w:pPr>
    </w:p>
    <w:p>
      <w:pPr>
        <w:ind w:left="8" w:right="300" w:firstLine="216"/>
        <w:spacing w:after="0" w:line="375" w:lineRule="auto"/>
        <w:rPr>
          <w:sz w:val="20"/>
          <w:szCs w:val="20"/>
          <w:color w:val="auto"/>
        </w:rPr>
      </w:pPr>
      <w:r>
        <w:rPr>
          <w:rFonts w:ascii="Arial" w:cs="Arial" w:eastAsia="Arial" w:hAnsi="Arial"/>
          <w:sz w:val="10"/>
          <w:szCs w:val="10"/>
          <w:color w:val="auto"/>
        </w:rPr>
        <w:t>SG&amp;A in the second quarter of 2019 decreased $4.1 million compared to the second quarter of 2018 primarily due to the positive impact from foreign currency translation as well as lower incentive compensation and other labor-related costs quarter-over-quarter. These decreases to SG&amp;A quarter-over-quarter were partially offset by a second quarter of 2019 non-core equipment settlement charge, described in the Non-GAAP Measures of this Item, above.</w:t>
      </w:r>
    </w:p>
    <w:p>
      <w:pPr>
        <w:spacing w:after="0" w:line="1" w:lineRule="exact"/>
        <w:rPr>
          <w:sz w:val="20"/>
          <w:szCs w:val="20"/>
          <w:color w:val="auto"/>
        </w:rPr>
      </w:pPr>
    </w:p>
    <w:p>
      <w:pPr>
        <w:ind w:left="8" w:right="280" w:firstLine="216"/>
        <w:spacing w:after="0" w:line="323" w:lineRule="auto"/>
        <w:rPr>
          <w:sz w:val="20"/>
          <w:szCs w:val="20"/>
          <w:color w:val="auto"/>
        </w:rPr>
      </w:pPr>
      <w:r>
        <w:rPr>
          <w:rFonts w:ascii="Arial" w:cs="Arial" w:eastAsia="Arial" w:hAnsi="Arial"/>
          <w:sz w:val="11"/>
          <w:szCs w:val="11"/>
          <w:color w:val="auto"/>
        </w:rPr>
        <w:t>During the second quarter of 2019, the Company incurred $4.6 million of Houghton combination and other acquisition-related expenses, primarily for legal, financial and other advisory and consultant expenses for its acquisition-related activities. Comparatively, the Company incurred $4.3 million of similar acquisition-related expenses during the second quarter of 2018. See the Non-GAAP Measures section of this Item, above.</w:t>
      </w:r>
    </w:p>
    <w:p>
      <w:pPr>
        <w:spacing w:after="0" w:line="20" w:lineRule="exact"/>
        <w:rPr>
          <w:sz w:val="20"/>
          <w:szCs w:val="20"/>
          <w:color w:val="auto"/>
        </w:rPr>
      </w:pPr>
    </w:p>
    <w:p>
      <w:pPr>
        <w:ind w:left="8" w:right="120" w:firstLine="216"/>
        <w:spacing w:after="0" w:line="323" w:lineRule="auto"/>
        <w:rPr>
          <w:sz w:val="20"/>
          <w:szCs w:val="20"/>
          <w:color w:val="auto"/>
        </w:rPr>
      </w:pPr>
      <w:r>
        <w:rPr>
          <w:rFonts w:ascii="Arial" w:cs="Arial" w:eastAsia="Arial" w:hAnsi="Arial"/>
          <w:sz w:val="11"/>
          <w:szCs w:val="11"/>
          <w:color w:val="auto"/>
        </w:rPr>
        <w:t>Operating income in the second quarter of 2019 was $20.5 million compared to $22.6 million in the second quarter of 2018. Excluding Houghton combination and other acquisition-related expenses as well as other non-core items in SG&amp;A, the Company’s current quarter non-GAAP operating income decreased to $25.5 million compared to $26.9 million in the prior year, primarily due to the negative impact from foreign currency translation.</w:t>
      </w:r>
    </w:p>
    <w:p>
      <w:pPr>
        <w:spacing w:after="0" w:line="20" w:lineRule="exact"/>
        <w:rPr>
          <w:sz w:val="20"/>
          <w:szCs w:val="20"/>
          <w:color w:val="auto"/>
        </w:rPr>
      </w:pPr>
    </w:p>
    <w:p>
      <w:pPr>
        <w:jc w:val="both"/>
        <w:ind w:left="8" w:right="40" w:firstLine="216"/>
        <w:spacing w:after="0" w:line="263" w:lineRule="auto"/>
        <w:rPr>
          <w:sz w:val="20"/>
          <w:szCs w:val="20"/>
          <w:color w:val="auto"/>
        </w:rPr>
      </w:pPr>
      <w:r>
        <w:rPr>
          <w:rFonts w:ascii="Arial" w:cs="Arial" w:eastAsia="Arial" w:hAnsi="Arial"/>
          <w:sz w:val="12"/>
          <w:szCs w:val="12"/>
          <w:color w:val="auto"/>
        </w:rPr>
        <w:t>The Company had other income, net, of less than $0.1 million in the second quarter of 2019 compared to $0.3 million in the second quarter of 2018. The quarter-over-quarter change was primarily driven by an increase in non-service pension and postretirement benefit costs and a prior year gain on the sale of an available-for-sale asset described in the Non-GAAP Measures section of this Item, above, partially offset by lower foreign currency transaction losses globally and higher receipts of local municipality-related grants in one of the Company’s regions in the current quarter.</w:t>
      </w:r>
    </w:p>
    <w:p>
      <w:pPr>
        <w:spacing w:after="0" w:line="51" w:lineRule="exact"/>
        <w:rPr>
          <w:sz w:val="20"/>
          <w:szCs w:val="20"/>
          <w:color w:val="auto"/>
        </w:rPr>
      </w:pPr>
    </w:p>
    <w:p>
      <w:pPr>
        <w:ind w:left="208"/>
        <w:spacing w:after="0"/>
        <w:rPr>
          <w:sz w:val="20"/>
          <w:szCs w:val="20"/>
          <w:color w:val="auto"/>
        </w:rPr>
      </w:pPr>
      <w:r>
        <w:rPr>
          <w:rFonts w:ascii="Arial" w:cs="Arial" w:eastAsia="Arial" w:hAnsi="Arial"/>
          <w:sz w:val="10"/>
          <w:szCs w:val="10"/>
          <w:color w:val="auto"/>
        </w:rPr>
        <w:t>Interest expense decreased $0.3 million in the second quarter of 2019 compared to the second quarter of 2018, primarily due to lower average outstanding borrowings on the Company’s existing credit facility during the current quarter.</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2"/>
          <w:szCs w:val="12"/>
          <w:color w:val="auto"/>
        </w:rPr>
        <w:t>Interest income was relatively consistent quarter-over-quarter.</w:t>
      </w:r>
    </w:p>
    <w:p>
      <w:pPr>
        <w:spacing w:after="0" w:line="69" w:lineRule="exact"/>
        <w:rPr>
          <w:sz w:val="20"/>
          <w:szCs w:val="20"/>
          <w:color w:val="auto"/>
        </w:rPr>
      </w:pPr>
    </w:p>
    <w:p>
      <w:pPr>
        <w:ind w:left="8" w:right="20" w:firstLine="216"/>
        <w:spacing w:after="0" w:line="280" w:lineRule="auto"/>
        <w:rPr>
          <w:sz w:val="20"/>
          <w:szCs w:val="20"/>
          <w:color w:val="auto"/>
        </w:rPr>
      </w:pPr>
      <w:r>
        <w:rPr>
          <w:rFonts w:ascii="Arial" w:cs="Arial" w:eastAsia="Arial" w:hAnsi="Arial"/>
          <w:sz w:val="11"/>
          <w:szCs w:val="11"/>
          <w:color w:val="auto"/>
        </w:rPr>
        <w:t>The Company’s effective tax rates for the second quarters of 2019 and 2018 were 24.2% and 16.8%, respectively. These effective tax rates include the impacts of Houghton combination and other acquisition-related non-deductible costs in all periods presented. In addition, the Company’s second quarter of 2018 effective tax rate includes a $1.2 million U.S. Transition tax adjustment. Excluding the impact of these expenses and all other non-core items in each quarter, described in the Non-GAAP Measures section of this Item, above, the Company estimates that its second quarters of 2019 and 2018 effective tax rates would have been approximately 22% and 21%, respectively. The Company’s higher second quarter of 2019 effective tax rate was largely driven by higher current quarter tax expense related to the Company recording earnings in one of its subsidiaries at a higher statutory tax rate of 25% during the second quarter of 2019 while it awaits recertification of a concessionary 15% tax rate. The concessionary 15% tax rate was available to the Company’s subsidiary during all quarters of 2018. Partially offsetting this increase to the Company’s effective tax rate for the second quarter of 2019 was a favorable impact from a shift in earnings to entities with lower effective tax rates compared to the second quarter of 2018. The Company expects continued volatility in its effective tax rates due to several factors, including the timing of tax audits and the expiration of applicable statutes of limitations as they relate to uncertain tax positions, the unpredictability of the timing and amount of certain incentives in various tax jurisdictions, the treatment of certain acquisition-related costs and the timing and amount of certain share-based compensation-related tax benefits, among other factors.</w:t>
      </w:r>
    </w:p>
    <w:p>
      <w:pPr>
        <w:spacing w:after="0" w:line="44" w:lineRule="exact"/>
        <w:rPr>
          <w:sz w:val="20"/>
          <w:szCs w:val="20"/>
          <w:color w:val="auto"/>
        </w:rPr>
      </w:pPr>
    </w:p>
    <w:p>
      <w:pPr>
        <w:ind w:left="8" w:right="100" w:firstLine="216"/>
        <w:spacing w:after="0" w:line="276" w:lineRule="auto"/>
        <w:rPr>
          <w:sz w:val="20"/>
          <w:szCs w:val="20"/>
          <w:color w:val="auto"/>
        </w:rPr>
      </w:pPr>
      <w:r>
        <w:rPr>
          <w:rFonts w:ascii="Arial" w:cs="Arial" w:eastAsia="Arial" w:hAnsi="Arial"/>
          <w:sz w:val="12"/>
          <w:szCs w:val="12"/>
          <w:color w:val="auto"/>
        </w:rPr>
        <w:t>Equity in net income of associated companies (“equity income”) decreased $0.6 million in the second quarter of 2019 compared to the second quarter of 2018, primarily due to lower earnings from the Company’s interest in a captive insurance company in the current quarter. See the Non-GAAP Measures section of this Item, above.</w:t>
      </w:r>
    </w:p>
    <w:p>
      <w:pPr>
        <w:spacing w:after="0" w:line="43" w:lineRule="exact"/>
        <w:rPr>
          <w:sz w:val="20"/>
          <w:szCs w:val="20"/>
          <w:color w:val="auto"/>
        </w:rPr>
      </w:pPr>
    </w:p>
    <w:p>
      <w:pPr>
        <w:ind w:left="208"/>
        <w:spacing w:after="0"/>
        <w:rPr>
          <w:sz w:val="20"/>
          <w:szCs w:val="20"/>
          <w:color w:val="auto"/>
        </w:rPr>
      </w:pPr>
      <w:r>
        <w:rPr>
          <w:rFonts w:ascii="Arial" w:cs="Arial" w:eastAsia="Arial" w:hAnsi="Arial"/>
          <w:sz w:val="12"/>
          <w:szCs w:val="12"/>
          <w:color w:val="auto"/>
        </w:rPr>
        <w:t>Net income attributable to noncontrolling interest was consistent at $0.1 million in both the second quarters of 2019 and 2018.</w:t>
      </w:r>
    </w:p>
    <w:p>
      <w:pPr>
        <w:spacing w:after="0" w:line="78" w:lineRule="exact"/>
        <w:rPr>
          <w:sz w:val="20"/>
          <w:szCs w:val="20"/>
          <w:color w:val="auto"/>
        </w:rPr>
      </w:pPr>
    </w:p>
    <w:p>
      <w:pPr>
        <w:ind w:left="5688"/>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177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8"/>
          </w:cols>
          <w:pgMar w:left="212" w:top="127" w:right="219" w:bottom="1440" w:gutter="0" w:footer="0" w:header="0"/>
        </w:sectPr>
      </w:pPr>
    </w:p>
    <w:bookmarkStart w:id="30" w:name="page31"/>
    <w:bookmarkEnd w:id="30"/>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Management’s Discussion and Analysis</w:t>
      </w:r>
    </w:p>
    <w:p>
      <w:pPr>
        <w:spacing w:after="0" w:line="159"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Foreign exchange negatively impacted the Company’s second quarter of 2019 earnings by approximately 3% or $0.04 per diluted share, primarily due to the negative impact from foreign currency translation partially offset by lower foreign exchange transaction losses quarter-over-quarter, noted above.</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Consolidated Operations Review – Comparison of the First Six Months of 2019 with the First Six Months of 2018</w:t>
      </w:r>
    </w:p>
    <w:p>
      <w:pPr>
        <w:spacing w:after="0" w:line="78" w:lineRule="exact"/>
        <w:rPr>
          <w:sz w:val="20"/>
          <w:szCs w:val="20"/>
          <w:color w:val="auto"/>
        </w:rPr>
      </w:pPr>
    </w:p>
    <w:p>
      <w:pPr>
        <w:ind w:right="300" w:firstLine="216"/>
        <w:spacing w:after="0" w:line="276" w:lineRule="auto"/>
        <w:rPr>
          <w:sz w:val="20"/>
          <w:szCs w:val="20"/>
          <w:color w:val="auto"/>
        </w:rPr>
      </w:pPr>
      <w:r>
        <w:rPr>
          <w:rFonts w:ascii="Arial" w:cs="Arial" w:eastAsia="Arial" w:hAnsi="Arial"/>
          <w:sz w:val="12"/>
          <w:szCs w:val="12"/>
          <w:color w:val="auto"/>
        </w:rPr>
        <w:t>Net sales were $417.1 million in the first six months of 2019 compared to $434.0 million in the first six months of 2018. The net sales decrease of $16.9 million or 4% year-over-year was driven by a negative impact from foreign currency translation of 4% or $16.2 million on both consistent volume levels as well as price and product mix.</w:t>
      </w:r>
    </w:p>
    <w:p>
      <w:pPr>
        <w:spacing w:after="0" w:line="43" w:lineRule="exact"/>
        <w:rPr>
          <w:sz w:val="20"/>
          <w:szCs w:val="20"/>
          <w:color w:val="auto"/>
        </w:rPr>
      </w:pPr>
    </w:p>
    <w:p>
      <w:pPr>
        <w:ind w:right="20" w:firstLine="216"/>
        <w:spacing w:after="0" w:line="276" w:lineRule="auto"/>
        <w:rPr>
          <w:sz w:val="20"/>
          <w:szCs w:val="20"/>
          <w:color w:val="auto"/>
        </w:rPr>
      </w:pPr>
      <w:r>
        <w:rPr>
          <w:rFonts w:ascii="Arial" w:cs="Arial" w:eastAsia="Arial" w:hAnsi="Arial"/>
          <w:sz w:val="12"/>
          <w:szCs w:val="12"/>
          <w:color w:val="auto"/>
        </w:rPr>
        <w:t>Costs of goods sold in the first six months of 2019 of $266.2 million decreased approximately $11.4 million or 4% from $277.6 million in the first six months of 2018. The decrease in COGS was primarily due to the positive impact of foreign currency translation and product mix.</w:t>
      </w:r>
    </w:p>
    <w:p>
      <w:pPr>
        <w:spacing w:after="0" w:line="43" w:lineRule="exact"/>
        <w:rPr>
          <w:sz w:val="20"/>
          <w:szCs w:val="20"/>
          <w:color w:val="auto"/>
        </w:rPr>
      </w:pPr>
    </w:p>
    <w:p>
      <w:pPr>
        <w:ind w:right="300" w:firstLine="216"/>
        <w:spacing w:after="0" w:line="323" w:lineRule="auto"/>
        <w:rPr>
          <w:sz w:val="20"/>
          <w:szCs w:val="20"/>
          <w:color w:val="auto"/>
        </w:rPr>
      </w:pPr>
      <w:r>
        <w:rPr>
          <w:rFonts w:ascii="Arial" w:cs="Arial" w:eastAsia="Arial" w:hAnsi="Arial"/>
          <w:sz w:val="11"/>
          <w:szCs w:val="11"/>
          <w:color w:val="auto"/>
        </w:rPr>
        <w:t>Gross profit in the first six months of 2019 decreased $5.5 million or 3% from the first six months of 2018. The decrease in gross profit was primarily due to the decrease in net sales, noted above, partially offset by a higher gross margin of 36.2% in the first six months of 2019 compared to 36.0% in the prior year. The increase in the Company’s current year gross margin was primarily due to pricing initiatives and the mix of certain products sold.</w:t>
      </w:r>
    </w:p>
    <w:p>
      <w:pPr>
        <w:spacing w:after="0" w:line="20" w:lineRule="exact"/>
        <w:rPr>
          <w:sz w:val="20"/>
          <w:szCs w:val="20"/>
          <w:color w:val="auto"/>
        </w:rPr>
      </w:pPr>
    </w:p>
    <w:p>
      <w:pPr>
        <w:ind w:right="140" w:firstLine="216"/>
        <w:spacing w:after="0" w:line="276" w:lineRule="auto"/>
        <w:rPr>
          <w:sz w:val="20"/>
          <w:szCs w:val="20"/>
          <w:color w:val="auto"/>
        </w:rPr>
      </w:pPr>
      <w:r>
        <w:rPr>
          <w:rFonts w:ascii="Arial" w:cs="Arial" w:eastAsia="Arial" w:hAnsi="Arial"/>
          <w:sz w:val="12"/>
          <w:szCs w:val="12"/>
          <w:color w:val="auto"/>
        </w:rPr>
        <w:t>SG&amp;A in the first six months of 2019 decreased $2.6 million compared to the first six months of 2018 primarily due to the positive impact from foreign currency translation offset by higher labor-related costs, including annual merit increases and a second quarter of 2019 non-core equipment settlement charge, described in the Non-GAAP Measures section of this Item, above.</w:t>
      </w:r>
    </w:p>
    <w:p>
      <w:pPr>
        <w:spacing w:after="0" w:line="43" w:lineRule="exact"/>
        <w:rPr>
          <w:sz w:val="20"/>
          <w:szCs w:val="20"/>
          <w:color w:val="auto"/>
        </w:rPr>
      </w:pPr>
    </w:p>
    <w:p>
      <w:pPr>
        <w:ind w:right="240" w:firstLine="216"/>
        <w:spacing w:after="0" w:line="323" w:lineRule="auto"/>
        <w:rPr>
          <w:sz w:val="20"/>
          <w:szCs w:val="20"/>
          <w:color w:val="auto"/>
        </w:rPr>
      </w:pPr>
      <w:r>
        <w:rPr>
          <w:rFonts w:ascii="Arial" w:cs="Arial" w:eastAsia="Arial" w:hAnsi="Arial"/>
          <w:sz w:val="11"/>
          <w:szCs w:val="11"/>
          <w:color w:val="auto"/>
        </w:rPr>
        <w:t>During the first six months of 2019, the Company incurred $9.1 million of Houghton combination and other acquisition-related expenses, primarily for legal, financial and other advisory and consultant expenses for its acquisition-related activities. Comparatively, the Company incurred $9.5 million of similar acquisition-related expenses during the first six months of 2018. See the Non-GAAP Measures section of this Item, above.</w:t>
      </w:r>
    </w:p>
    <w:p>
      <w:pPr>
        <w:spacing w:after="0" w:line="20" w:lineRule="exact"/>
        <w:rPr>
          <w:sz w:val="20"/>
          <w:szCs w:val="20"/>
          <w:color w:val="auto"/>
        </w:rPr>
      </w:pPr>
    </w:p>
    <w:p>
      <w:pPr>
        <w:jc w:val="both"/>
        <w:ind w:right="60" w:firstLine="216"/>
        <w:spacing w:after="0" w:line="263" w:lineRule="auto"/>
        <w:rPr>
          <w:sz w:val="20"/>
          <w:szCs w:val="20"/>
          <w:color w:val="auto"/>
        </w:rPr>
      </w:pPr>
      <w:r>
        <w:rPr>
          <w:rFonts w:ascii="Arial" w:cs="Arial" w:eastAsia="Arial" w:hAnsi="Arial"/>
          <w:sz w:val="12"/>
          <w:szCs w:val="12"/>
          <w:color w:val="auto"/>
        </w:rPr>
        <w:t>Operating income in the first six months of 2019 was $40.4 million compared to $42.8 million in the first six months of 2018. Excluding Houghton combination and other acquisition-related expenses as well as other non-core items in SG&amp;A, the Company’s first six months of 2019 non-GAAP operating income was $49.8 million compared to $52.3 million in the prior year due primarily to the decrease in net sales, partially offset by the higher current year gross margin and the decrease in SG&amp;A, noted above.</w:t>
      </w:r>
    </w:p>
    <w:p>
      <w:pPr>
        <w:spacing w:after="0" w:line="51" w:lineRule="exact"/>
        <w:rPr>
          <w:sz w:val="20"/>
          <w:szCs w:val="20"/>
          <w:color w:val="auto"/>
        </w:rPr>
      </w:pPr>
    </w:p>
    <w:p>
      <w:pPr>
        <w:ind w:right="300" w:firstLine="216"/>
        <w:spacing w:after="0" w:line="276" w:lineRule="auto"/>
        <w:rPr>
          <w:sz w:val="20"/>
          <w:szCs w:val="20"/>
          <w:color w:val="auto"/>
        </w:rPr>
      </w:pPr>
      <w:r>
        <w:rPr>
          <w:rFonts w:ascii="Arial" w:cs="Arial" w:eastAsia="Arial" w:hAnsi="Arial"/>
          <w:sz w:val="12"/>
          <w:szCs w:val="12"/>
          <w:color w:val="auto"/>
        </w:rPr>
        <w:t>The Company had other expense, net, of $0.6 million in the first six months of 2019 compared to $0.1 million in the first six months of 2018. The drivers of the year-over-year change were consistent with the quarterly discussion above.</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1"/>
          <w:szCs w:val="11"/>
          <w:color w:val="auto"/>
        </w:rPr>
        <w:t>Interest expense decreased $0.8 million in the first six months of 2019 compared to the first six months of 2018, primarily due to lower average outstanding borrowings on the Company’s existing credit facility during the current year.</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Interest income was relatively consistent in both the first six months of 2019 and 2018.</w:t>
      </w:r>
    </w:p>
    <w:p>
      <w:pPr>
        <w:spacing w:after="0" w:line="69" w:lineRule="exact"/>
        <w:rPr>
          <w:sz w:val="20"/>
          <w:szCs w:val="20"/>
          <w:color w:val="auto"/>
        </w:rPr>
      </w:pPr>
    </w:p>
    <w:p>
      <w:pPr>
        <w:ind w:right="20" w:firstLine="216"/>
        <w:spacing w:after="0" w:line="255" w:lineRule="auto"/>
        <w:rPr>
          <w:sz w:val="20"/>
          <w:szCs w:val="20"/>
          <w:color w:val="auto"/>
        </w:rPr>
      </w:pPr>
      <w:r>
        <w:rPr>
          <w:rFonts w:ascii="Arial" w:cs="Arial" w:eastAsia="Arial" w:hAnsi="Arial"/>
          <w:sz w:val="12"/>
          <w:szCs w:val="12"/>
          <w:color w:val="auto"/>
        </w:rPr>
        <w:t>The Company’s effective tax rates for the first six months of 2019 and 2018 were 25.4% and 22.8%, respectively. Similar to the second quarter of 2019 summary above, the Company’s first six months of 2019 and 2018 effective tax rates include the impacts of Houghton combination and other acquisition-related expenses, certain of which were non-deductible, as well as the prior year U.S. Transition tax adjustment. Excluding the impact of these expenses and all other non-core items in each period, described in the Non-GAAP Measures section of this Item, above, the Company estimates that its effective tax rates would have been approximately 23% and 24% in the first six months of 2019 and 2018, respectively. The Company’s first six months of 2019 effective tax rate was positively impacted by a shift in earnings to entities with lower effective tax rates year-over-year, offset by higher current year tax expense related to the Company recording earnings in one of its subsidiaries at a statutory tax rate of 25% during the first six months of 2019 while it awaits recertification of a concessionary 15% tax rate. The concessionary 15% tax rate was available to the Company’s subsidiary during all quarters of 2018.</w:t>
      </w:r>
    </w:p>
    <w:p>
      <w:pPr>
        <w:spacing w:after="0" w:line="57" w:lineRule="exact"/>
        <w:rPr>
          <w:sz w:val="20"/>
          <w:szCs w:val="20"/>
          <w:color w:val="auto"/>
        </w:rPr>
      </w:pPr>
    </w:p>
    <w:p>
      <w:pPr>
        <w:ind w:right="440" w:firstLine="216"/>
        <w:spacing w:after="0" w:line="276" w:lineRule="auto"/>
        <w:rPr>
          <w:sz w:val="20"/>
          <w:szCs w:val="20"/>
          <w:color w:val="auto"/>
        </w:rPr>
      </w:pPr>
      <w:r>
        <w:rPr>
          <w:rFonts w:ascii="Arial" w:cs="Arial" w:eastAsia="Arial" w:hAnsi="Arial"/>
          <w:sz w:val="12"/>
          <w:szCs w:val="12"/>
          <w:color w:val="auto"/>
        </w:rPr>
        <w:t>Equity in net income of associated companies increased $0.1 million in the first six months of 2019 compared to the first six months of 2018, primarily due to higher earnings from the Company’s interest in a captive insurance company. See the Non-GAAP Measures section of this Item, above.</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Net income attributable to noncontrolling interest was relatively consistent in both the first six months of 2019 and 2018.</w:t>
      </w:r>
    </w:p>
    <w:p>
      <w:pPr>
        <w:spacing w:after="0" w:line="78" w:lineRule="exact"/>
        <w:rPr>
          <w:sz w:val="20"/>
          <w:szCs w:val="20"/>
          <w:color w:val="auto"/>
        </w:rPr>
      </w:pPr>
    </w:p>
    <w:p>
      <w:pPr>
        <w:ind w:right="20" w:firstLine="216"/>
        <w:spacing w:after="0" w:line="276" w:lineRule="auto"/>
        <w:rPr>
          <w:sz w:val="20"/>
          <w:szCs w:val="20"/>
          <w:color w:val="auto"/>
        </w:rPr>
      </w:pPr>
      <w:r>
        <w:rPr>
          <w:rFonts w:ascii="Arial" w:cs="Arial" w:eastAsia="Arial" w:hAnsi="Arial"/>
          <w:sz w:val="12"/>
          <w:szCs w:val="12"/>
          <w:color w:val="auto"/>
        </w:rPr>
        <w:t>Foreign exchange negatively impacted the Company’s first six months of 2019 earnings by approximately 3% or $0.10 per diluted share, primarily due to the negative impact from foreign currency translation partially offset by lower foreign exchange transaction losses year-over-year, noted above.</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31" w:name="page32"/>
    <w:bookmarkEnd w:id="31"/>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Management’s Discussion and Analysis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Reportable Operating Segments Review - Comparison of the Second Quarter of 2019 with the Second Quarter of 2018</w:t>
      </w:r>
    </w:p>
    <w:p>
      <w:pPr>
        <w:spacing w:after="0" w:line="78" w:lineRule="exact"/>
        <w:rPr>
          <w:sz w:val="20"/>
          <w:szCs w:val="20"/>
          <w:color w:val="auto"/>
        </w:rPr>
      </w:pPr>
    </w:p>
    <w:p>
      <w:pPr>
        <w:ind w:right="80" w:firstLine="216"/>
        <w:spacing w:after="0" w:line="276" w:lineRule="auto"/>
        <w:rPr>
          <w:sz w:val="20"/>
          <w:szCs w:val="20"/>
          <w:color w:val="auto"/>
        </w:rPr>
      </w:pPr>
      <w:r>
        <w:rPr>
          <w:rFonts w:ascii="Arial" w:cs="Arial" w:eastAsia="Arial" w:hAnsi="Arial"/>
          <w:sz w:val="12"/>
          <w:szCs w:val="12"/>
          <w:color w:val="auto"/>
        </w:rPr>
        <w:t>The Company sells its industrial process fluids, chemical specialties and technical expertise to a wide range of industries in a global product portfolio throughout its four segments: (i) North America; (ii) EMEA; (iii) Asia/Pacific; and (iv) South America.</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North America</w:t>
      </w:r>
    </w:p>
    <w:p>
      <w:pPr>
        <w:spacing w:after="0" w:line="78" w:lineRule="exact"/>
        <w:rPr>
          <w:sz w:val="20"/>
          <w:szCs w:val="20"/>
          <w:color w:val="auto"/>
        </w:rPr>
      </w:pPr>
    </w:p>
    <w:p>
      <w:pPr>
        <w:ind w:right="40" w:firstLine="216"/>
        <w:spacing w:after="0" w:line="286" w:lineRule="auto"/>
        <w:rPr>
          <w:sz w:val="20"/>
          <w:szCs w:val="20"/>
          <w:color w:val="auto"/>
        </w:rPr>
      </w:pPr>
      <w:r>
        <w:rPr>
          <w:rFonts w:ascii="Arial" w:cs="Arial" w:eastAsia="Arial" w:hAnsi="Arial"/>
          <w:sz w:val="11"/>
          <w:szCs w:val="11"/>
          <w:color w:val="auto"/>
        </w:rPr>
        <w:t>North America represented approximately 46% of the Company’s consolidated net sales in the second quarter of 2019. The segment’s net sales were $94.4 million, a decrease of $3.0 million or 3% compared to the second quarter of 2018. The decrease in net sales was primarily due to lower volumes of 4%, partially offset by an increase in selling price and product mix of 1%. The decline in volumes compared to the second quarter of 2018 was driven by an uncommonly strong prior year period as well as current year challenges within certain of the segment’s underlying end-markets. This segment’s operating earnings, excluding indirect expenses, were $20.5 million, a decrease of $2.7 million or 12% compared to the second quarter of 2018. The decrease in operating earnings quarter-over-quarter was the result of a decrease in gross profit on the lower net sales noted above, coupled with a decrease in gross margin due to certain raw material cost increases and changes in product mix. These decreases to the segment’s current quarter operating earnings were partially offset by slightly lower labor-related SG&amp;A.</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EMEA</w:t>
      </w:r>
    </w:p>
    <w:p>
      <w:pPr>
        <w:spacing w:after="0" w:line="78" w:lineRule="exact"/>
        <w:rPr>
          <w:sz w:val="20"/>
          <w:szCs w:val="20"/>
          <w:color w:val="auto"/>
        </w:rPr>
      </w:pPr>
    </w:p>
    <w:p>
      <w:pPr>
        <w:ind w:right="60" w:firstLine="216"/>
        <w:spacing w:after="0" w:line="254" w:lineRule="auto"/>
        <w:rPr>
          <w:sz w:val="20"/>
          <w:szCs w:val="20"/>
          <w:color w:val="auto"/>
        </w:rPr>
      </w:pPr>
      <w:r>
        <w:rPr>
          <w:rFonts w:ascii="Arial" w:cs="Arial" w:eastAsia="Arial" w:hAnsi="Arial"/>
          <w:sz w:val="12"/>
          <w:szCs w:val="12"/>
          <w:color w:val="auto"/>
        </w:rPr>
        <w:t>EMEA represented approximately 26% of the Company’s consolidated net sales in the second quarter of 2019. The segment’s net sales were $53.2 million, a decrease of $7.0 million or 12% compared to the second quarter of 2018. The decrease in net sales was primarily due to the negative impact of foreign currency translation of 6%, lower volumes of 4% and decreases in selling price and product mix of 2%. The segment’s volume decrease included lower volumes associated with a specific piece of business which the Company stopped selling during 2018 primarily due to its low profitability, and also current year challenges within certain of the segment’s underlying end-markets. The foreign exchange impact was primarily due to the weakening of the euro against the U.S. dollar as this exchange rate averaged 1.12 in the second quarter of 2019 compared to 1.19 in the second quarter of 2018. This segment’s operating earnings, excluding indirect expenses, were $9.0 million, a slight decrease compared to $9.1 million in the second quarter of 2018. The decrease in operating earnings quarter-over-quarter was driven by lower gross profit on the decline in net sales, noted above, partially offset by a higher gross margin in the current quarter due to changes in product mix and the impact of pricing initiatives. EMEA also benefited from lower SG&amp;A in the second quarter of 2019 compared to the prior year quarter, primarily due to the impact of foreign currency translation.</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Asia/Pacific</w:t>
      </w:r>
    </w:p>
    <w:p>
      <w:pPr>
        <w:spacing w:after="0" w:line="78" w:lineRule="exact"/>
        <w:rPr>
          <w:sz w:val="20"/>
          <w:szCs w:val="20"/>
          <w:color w:val="auto"/>
        </w:rPr>
      </w:pPr>
    </w:p>
    <w:p>
      <w:pPr>
        <w:ind w:firstLine="216"/>
        <w:spacing w:after="0" w:line="254" w:lineRule="auto"/>
        <w:rPr>
          <w:sz w:val="20"/>
          <w:szCs w:val="20"/>
          <w:color w:val="auto"/>
        </w:rPr>
      </w:pPr>
      <w:r>
        <w:rPr>
          <w:rFonts w:ascii="Arial" w:cs="Arial" w:eastAsia="Arial" w:hAnsi="Arial"/>
          <w:sz w:val="12"/>
          <w:szCs w:val="12"/>
          <w:color w:val="auto"/>
        </w:rPr>
        <w:t>Asia/Pacific represented approximately 24% of the Company’s consolidated net sales in the second quarter of 2019. The segment’s net sales were $49.8 million, a decrease of $5.5 million or 10% compared to the second quarter of 2018. The decrease in net sales was primarily due to the negative impact of foreign currency translation of 5%, decreases in selling price and product mix of 4% and lower volumes of 1%. The slight decline in volumes compared to the second quarter of 2018 was primarily driven by an uncommonly strong prior year period which offset underlying volume growth in the current quarter despite difficult end-market conditions. The foreign exchange impact was primarily due to the weakening of the Chinese renminbi and Indian rupee against the U.S. dollar as these exchange rates averaged 6.82 and 69.58 in the second quarter of 2019 compared to 6.38 and 66.97 in the second quarter of 2018, respectively. This segment’s operating earnings, excluding indirect expenses, were $12.7 million, a decrease of $1.9 million or 13% compared to the second quarter of 2018. The decrease in operating earnings was primarily driven by lower gross profit on the decrease in net sales, noted above, on a relatively consistent gross margin in both periods. Asia/Pacific also benefited from slightly lower SG&amp;A in the second quarter of 2019 compared to the prior year quarter, which was primarily due to the impact of foreign currency translation.</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South America</w:t>
      </w:r>
    </w:p>
    <w:p>
      <w:pPr>
        <w:spacing w:after="0" w:line="78" w:lineRule="exact"/>
        <w:rPr>
          <w:sz w:val="20"/>
          <w:szCs w:val="20"/>
          <w:color w:val="auto"/>
        </w:rPr>
      </w:pPr>
    </w:p>
    <w:p>
      <w:pPr>
        <w:ind w:right="40" w:firstLine="216"/>
        <w:spacing w:after="0" w:line="254" w:lineRule="auto"/>
        <w:rPr>
          <w:sz w:val="20"/>
          <w:szCs w:val="20"/>
          <w:color w:val="auto"/>
        </w:rPr>
      </w:pPr>
      <w:r>
        <w:rPr>
          <w:rFonts w:ascii="Arial" w:cs="Arial" w:eastAsia="Arial" w:hAnsi="Arial"/>
          <w:sz w:val="12"/>
          <w:szCs w:val="12"/>
          <w:color w:val="auto"/>
        </w:rPr>
        <w:t>South America represented approximately 4% of the Company’s consolidated net sales in the second quarter of 2019. The segment’s net sales were $8.5 million, a decrease of $0.5 million or 6% compared to the second quarter of 2018. The decrease in net sales was primarily due to the negative impact of foreign currency translation of 8% and lower volumes of 5%, partially offset by an increase in selling price and product mix of 7%. The decrease in volumes compared to the prior year period was primarily due to current year challenges within certain of the segment’s underlying end-markets. The foreign exchange impact was primarily due to the weakening of the Brazilian real against the U.S. dollar as this exchange rate averaged 3.92 in the second quarter of 2019 compared to 3.60 in the second quarter of 2018. This segment’s operating earnings, excluding indirect expenses, were $1.2 million, an increase of $0.1 million compared to the second quarter of 2018. The increase in operating earnings was driven by lower SG&amp;A in the second quarter of 2019 compared to the prior year quarter, which was primarily due to the impact of foreign currency translation. The segment’s gross profit was relatively consistent in both periods, as the decrease in net sales, noted above, was offset by a higher gross margin in the current quarter due to changes in product mix and the impact of pricing initiatives, which more than offset certain raw material cost increases.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32" w:name="page33"/>
    <w:bookmarkEnd w:id="32"/>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Management’s Discussion and Analysis</w:t>
      </w:r>
    </w:p>
    <w:p>
      <w:pPr>
        <w:spacing w:after="0" w:line="159" w:lineRule="exact"/>
        <w:rPr>
          <w:sz w:val="20"/>
          <w:szCs w:val="20"/>
          <w:color w:val="auto"/>
        </w:rPr>
      </w:pPr>
    </w:p>
    <w:p>
      <w:pPr>
        <w:ind w:right="5720"/>
        <w:spacing w:after="0" w:line="375" w:lineRule="auto"/>
        <w:rPr>
          <w:sz w:val="20"/>
          <w:szCs w:val="20"/>
          <w:color w:val="auto"/>
        </w:rPr>
      </w:pPr>
      <w:r>
        <w:rPr>
          <w:rFonts w:ascii="Arial" w:cs="Arial" w:eastAsia="Arial" w:hAnsi="Arial"/>
          <w:sz w:val="12"/>
          <w:szCs w:val="12"/>
          <w:i w:val="1"/>
          <w:iCs w:val="1"/>
          <w:u w:val="single" w:color="auto"/>
          <w:color w:val="auto"/>
        </w:rPr>
        <w:t xml:space="preserve">Reportable Operating Segments Review - Comparison of the First Six Months of 2019 with the First Six Months of 2018 </w:t>
      </w:r>
      <w:r>
        <w:rPr>
          <w:rFonts w:ascii="Arial" w:cs="Arial" w:eastAsia="Arial" w:hAnsi="Arial"/>
          <w:sz w:val="12"/>
          <w:szCs w:val="12"/>
          <w:i w:val="1"/>
          <w:iCs w:val="1"/>
          <w:color w:val="auto"/>
        </w:rPr>
        <w:t>North America</w:t>
      </w:r>
    </w:p>
    <w:p>
      <w:pPr>
        <w:spacing w:after="0" w:line="1" w:lineRule="exact"/>
        <w:rPr>
          <w:sz w:val="20"/>
          <w:szCs w:val="20"/>
          <w:color w:val="auto"/>
        </w:rPr>
      </w:pPr>
    </w:p>
    <w:p>
      <w:pPr>
        <w:ind w:right="40" w:firstLine="216"/>
        <w:spacing w:after="0" w:line="255" w:lineRule="auto"/>
        <w:rPr>
          <w:sz w:val="20"/>
          <w:szCs w:val="20"/>
          <w:color w:val="auto"/>
        </w:rPr>
      </w:pPr>
      <w:r>
        <w:rPr>
          <w:rFonts w:ascii="Arial" w:cs="Arial" w:eastAsia="Arial" w:hAnsi="Arial"/>
          <w:sz w:val="12"/>
          <w:szCs w:val="12"/>
          <w:color w:val="auto"/>
        </w:rPr>
        <w:t>North America represented approximately 46% of the Company’s consolidated net sales in the first six months of 2019. The segment’s net sales were $189.6 million, an increase of $0.4 million or less than 1% compared to the first six months of 2018. The increase in net sales was primarily due to an increase in selling price and product mix of approximately 3% partially offset by lower volumes of 2%. The decline in volumes year-over-year was largely driven by lower production in certain of the segment’s end-markets. This reportable segment’s operating earnings, excluding indirect expenses, were $41.4 million, a decrease of $2.2 million or 5% compared to the first six months of 2018. The decrease during the first six months of 2019 was mainly driven by lower gross profit on a decrease in gross margin in the current year compared to the first six months of 2018, primarily driven by certain raw material cost increases and the mix of certain products sold. The decrease in gross margin was partially offset by the increase in net sales noted above, as well as slightly lower SG&amp;A in the first six months of 2019 compared to the prior year due to the Company’s discipline in managing its SG&amp;A.</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EMEA</w:t>
      </w:r>
    </w:p>
    <w:p>
      <w:pPr>
        <w:spacing w:after="0" w:line="78" w:lineRule="exact"/>
        <w:rPr>
          <w:sz w:val="20"/>
          <w:szCs w:val="20"/>
          <w:color w:val="auto"/>
        </w:rPr>
      </w:pPr>
    </w:p>
    <w:p>
      <w:pPr>
        <w:ind w:firstLine="216"/>
        <w:spacing w:after="0" w:line="281" w:lineRule="auto"/>
        <w:rPr>
          <w:sz w:val="20"/>
          <w:szCs w:val="20"/>
          <w:color w:val="auto"/>
        </w:rPr>
      </w:pPr>
      <w:r>
        <w:rPr>
          <w:rFonts w:ascii="Arial" w:cs="Arial" w:eastAsia="Arial" w:hAnsi="Arial"/>
          <w:sz w:val="11"/>
          <w:szCs w:val="11"/>
          <w:color w:val="auto"/>
        </w:rPr>
        <w:t>EMEA represented approximately 26% of the Company’s consolidated net sales in the first six months of 2019. The segment’s net sales were $109.4 million, a decrease of $12.8 million or 10% compared to the first six months of 2018. The decrease in net sales was primarily due to the negative impact of foreign currency translation of 7%, lower volumes of 2% and decreases in selling price and product mix of 1%. The year-to-date volume comparison was impacted by an atypically high sales pattern in EMEA during the first quarter of 2018 lower volumes associated with a specific piece of business which the Company stopped selling during the second quarter of 2018 primarily due to its low profitability and a decline in end-market conditions year-over-year. The foreign exchange impact was primarily due to a weakening of the euro against the U.S. dollar as this exchange rate averaged 1.13 in the first six months of 2019 compared to 1.21 in the first six months of 2018. This reportable segment’s operating earnings, excluding indirect expenses, were $17.8 million, a decrease of $1.6 million or 8% compared to the first six months of 2018. The decrease during the first six months of 2019 was the result of lower gross profit on the decreased net sales, noted above, partially offset by a higher gross margin on product mix and decreases in certain raw material costs compared to the prior year. In addition, EMEA benefited from lower SG&amp;A in the first six months of 2019 compared to the prior year, which was primarily due to the impact of foreign currency translation.</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Asia/Pacific</w:t>
      </w:r>
    </w:p>
    <w:p>
      <w:pPr>
        <w:spacing w:after="0" w:line="78" w:lineRule="exact"/>
        <w:rPr>
          <w:sz w:val="20"/>
          <w:szCs w:val="20"/>
          <w:color w:val="auto"/>
        </w:rPr>
      </w:pPr>
    </w:p>
    <w:p>
      <w:pPr>
        <w:ind w:right="80" w:firstLine="216"/>
        <w:spacing w:after="0" w:line="320" w:lineRule="auto"/>
        <w:rPr>
          <w:sz w:val="20"/>
          <w:szCs w:val="20"/>
          <w:color w:val="auto"/>
        </w:rPr>
      </w:pPr>
      <w:r>
        <w:rPr>
          <w:rFonts w:ascii="Arial" w:cs="Arial" w:eastAsia="Arial" w:hAnsi="Arial"/>
          <w:sz w:val="10"/>
          <w:szCs w:val="10"/>
          <w:color w:val="auto"/>
        </w:rPr>
        <w:t>Asia/Pacific represented approximately 24% of the Company’s consolidated net sales in the first six months of 2019. The segment’s net sales were $100.4 million, a decrease of $3.8 million or 4% compared to the first six months of 2018. The decrease in net sales was primarily due to the negative impact of foreign currency translation of 5% and decreases in selling price and product mix of 3%, partially offset by higher volumes of approximately 5%. The foreign exchange impact was primarily due to the weakening of the Chinese renminbi and Indian rupee against the U.S. dollar as these exchange rates averaged 6.78 and 70.00 in the first six months of 2019 compared to 6.37 and 65.63 in the first six months of 2018, respectively. This reportable segment’s operating earnings, excluding indirect expenses, were $25.8 million, a decrease of $1.0 million or 4% compared to the first six months of 2018. The decrease during the first six months of 2019 was the result of lower gross profit on the decreased net sales, noted above, partially offset by a slightly higher gross margin. The segment’s SG&amp;A was relatively consistent in both the first six months of 2019 and 2018.</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South America</w:t>
      </w:r>
    </w:p>
    <w:p>
      <w:pPr>
        <w:spacing w:after="0" w:line="78" w:lineRule="exact"/>
        <w:rPr>
          <w:sz w:val="20"/>
          <w:szCs w:val="20"/>
          <w:color w:val="auto"/>
        </w:rPr>
      </w:pPr>
    </w:p>
    <w:p>
      <w:pPr>
        <w:ind w:right="60" w:firstLine="216"/>
        <w:spacing w:after="0" w:line="320" w:lineRule="auto"/>
        <w:rPr>
          <w:sz w:val="20"/>
          <w:szCs w:val="20"/>
          <w:color w:val="auto"/>
        </w:rPr>
      </w:pPr>
      <w:r>
        <w:rPr>
          <w:rFonts w:ascii="Arial" w:cs="Arial" w:eastAsia="Arial" w:hAnsi="Arial"/>
          <w:sz w:val="10"/>
          <w:szCs w:val="10"/>
          <w:color w:val="auto"/>
        </w:rPr>
        <w:t>South America represented approximately 4% of the Company’s consolidated net sales in the first six months of 2019. The segment’s net sales were $17.7 million, a decrease of $0.8 million or approximately 4% compared to the first six months of 2018. The decrease in net sales was primarily due to the negative impact of foreign currency translation of 11% partially offset by increases in selling price and product mix of 6% and higher volumes of 1%. The foreign exchange impact was primarily due to the weakening of the Brazilian real against the U.S. dollar as this exchange rates averaged 3.84 in the first six months of 2019 compared to 3.41 in the first six months of 2018. This reportable segment’s operating earnings, excluding indirect expenses, were $2.4 million, an increase of $0.7 million compared to the first six months of 2018. The increase during the first six months of 2019 was the result of higher gross profit on an increase in gross margin driven by pricing initiatives, product mix and certain raw material cost changes, as well as lower SG&amp;A due to the impact of foreign currency translation, partially offset by the decrease in net sales, noted above.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33" w:name="page34"/>
    <w:bookmarkEnd w:id="33"/>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Management’s Discussion and Analysis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Factors That May Affect Our Future Results</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(Cautionary Statements Under the Private Securities Litigation Reform Act of 1995)</w:t>
      </w:r>
    </w:p>
    <w:p>
      <w:pPr>
        <w:spacing w:after="0" w:line="78" w:lineRule="exact"/>
        <w:rPr>
          <w:sz w:val="20"/>
          <w:szCs w:val="20"/>
          <w:color w:val="auto"/>
        </w:rPr>
      </w:pPr>
    </w:p>
    <w:p>
      <w:pPr>
        <w:ind w:right="120" w:firstLine="216"/>
        <w:spacing w:after="0" w:line="290" w:lineRule="auto"/>
        <w:rPr>
          <w:sz w:val="20"/>
          <w:szCs w:val="20"/>
          <w:color w:val="auto"/>
        </w:rPr>
      </w:pPr>
      <w:r>
        <w:rPr>
          <w:rFonts w:ascii="Arial" w:cs="Arial" w:eastAsia="Arial" w:hAnsi="Arial"/>
          <w:sz w:val="11"/>
          <w:szCs w:val="11"/>
          <w:color w:val="auto"/>
        </w:rPr>
        <w:t>Certain information included in this Report and other materials filed or to be filed by Quaker Chemical Corporation with the SEC (as well as information included in oral statements or other written statements made or to be made by us) contain or may contain forward-looking statements within the meaning of Section 27A of the Securities Act of 1933, as amended, and Section 21E of the Securities Exchange Act of 1934, as amended. These statements can be identified by the fact that they do not relate strictly to historical or current facts. We have based these forward-looking statements on our current expectations about future events. These forward-looking statements include statements with respect to our beliefs, plans, objectives, goals, expectations, anticipations, intentions, financial condition, results of operations, future performance and business, including:</w:t>
      </w:r>
    </w:p>
    <w:p>
      <w:pPr>
        <w:spacing w:after="0" w:line="1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potential benefits of the Combination;</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current and future results and plans; and</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statements that include the words “may,” “could,” “should,” “would,” “believe,” “expect,” “anticipate,” “estimate,” “intend,” “plan” or other similar expressions.</w:t>
      </w:r>
    </w:p>
    <w:p>
      <w:pPr>
        <w:spacing w:after="0" w:line="69" w:lineRule="exact"/>
        <w:rPr>
          <w:sz w:val="20"/>
          <w:szCs w:val="20"/>
          <w:color w:val="auto"/>
        </w:rPr>
      </w:pPr>
    </w:p>
    <w:p>
      <w:pPr>
        <w:ind w:right="220" w:firstLine="216"/>
        <w:spacing w:after="0" w:line="276" w:lineRule="auto"/>
        <w:rPr>
          <w:sz w:val="20"/>
          <w:szCs w:val="20"/>
          <w:color w:val="auto"/>
        </w:rPr>
      </w:pPr>
      <w:r>
        <w:rPr>
          <w:rFonts w:ascii="Arial" w:cs="Arial" w:eastAsia="Arial" w:hAnsi="Arial"/>
          <w:sz w:val="12"/>
          <w:szCs w:val="12"/>
          <w:color w:val="auto"/>
        </w:rPr>
        <w:t>Such statements include information relating to current and future business activities, operational matters, capital spending, and financing sources. From time to time, forward-looking statements are also included in the Company’s other periodic reports on Forms 10-K, 10-Q and 8-K, press releases, and other materials released to, or statements made to, the public.</w:t>
      </w:r>
    </w:p>
    <w:p>
      <w:pPr>
        <w:spacing w:after="0" w:line="43" w:lineRule="exact"/>
        <w:rPr>
          <w:sz w:val="20"/>
          <w:szCs w:val="20"/>
          <w:color w:val="auto"/>
        </w:rPr>
      </w:pPr>
    </w:p>
    <w:p>
      <w:pPr>
        <w:ind w:right="80" w:firstLine="216"/>
        <w:spacing w:after="0" w:line="263" w:lineRule="auto"/>
        <w:rPr>
          <w:sz w:val="20"/>
          <w:szCs w:val="20"/>
          <w:color w:val="auto"/>
        </w:rPr>
      </w:pPr>
      <w:r>
        <w:rPr>
          <w:rFonts w:ascii="Arial" w:cs="Arial" w:eastAsia="Arial" w:hAnsi="Arial"/>
          <w:sz w:val="12"/>
          <w:szCs w:val="12"/>
          <w:color w:val="auto"/>
        </w:rPr>
        <w:t>Any or all of the forward-looking statements in this Report, in the Company’s Annual Report to Shareholders for 2018 and in any other public statements we make may turn out to be wrong. This can occur as a result of inaccurate assumptions or as a consequence of known or unknown risks and uncertainties. Many factors discussed in this Report will be important in determining our future performance. Consequently, actual results may differ materially from those that might be anticipated from our forward-looking statements.</w:t>
      </w:r>
    </w:p>
    <w:p>
      <w:pPr>
        <w:spacing w:after="0" w:line="51" w:lineRule="exact"/>
        <w:rPr>
          <w:sz w:val="20"/>
          <w:szCs w:val="20"/>
          <w:color w:val="auto"/>
        </w:rPr>
      </w:pPr>
    </w:p>
    <w:p>
      <w:pPr>
        <w:ind w:firstLine="216"/>
        <w:spacing w:after="0" w:line="254" w:lineRule="auto"/>
        <w:rPr>
          <w:sz w:val="20"/>
          <w:szCs w:val="20"/>
          <w:color w:val="auto"/>
        </w:rPr>
      </w:pPr>
      <w:r>
        <w:rPr>
          <w:rFonts w:ascii="Arial" w:cs="Arial" w:eastAsia="Arial" w:hAnsi="Arial"/>
          <w:sz w:val="12"/>
          <w:szCs w:val="12"/>
          <w:color w:val="auto"/>
        </w:rPr>
        <w:t>We undertake no obligation to publicly update any forward-looking statements, whether as a result of new information, future events or otherwise. However, any further disclosures made on related subjects in Quaker’s subsequent reports on Forms 10-K, 10-Q, 8-K and other related filings should be consulted. A major risk is that demand for the Company’s products and services is largely derived from the demand for its customers’ products, which subjects the Company to uncertainties related to downturns in a customer’s business and unanticipated customer production shutdowns. Other major risks and uncertainties include, but are not limited to, significant increases in raw material costs, customer financial stability, worldwide economic and political conditions, foreign currency fluctuations, significant changes in applicable tax rates and regulations, future terrorist attacks and other acts of violence. Furthermore, the Company is subject to the same business cycles as those experienced by steel, automobile, aircraft, appliance, and durable goods manufacturers. Our forward-looking statements are subject to risks, uncertainties and assumptions about the Company and its operations that are subject to change based on various important factors, some of which are beyond our control. These risks, uncertainties, and possible inaccurate assumptions relevant to our business could cause its actual results to differ materially from expected and historical results.</w:t>
      </w:r>
    </w:p>
    <w:p>
      <w:pPr>
        <w:spacing w:after="0" w:line="5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Other factors beyond those discussed in this Report, could also adversely affect us including, but not limited to the following related to the Combination:</w:t>
      </w:r>
    </w:p>
    <w:p>
      <w:pPr>
        <w:spacing w:after="0" w:line="78" w:lineRule="exact"/>
        <w:rPr>
          <w:sz w:val="20"/>
          <w:szCs w:val="20"/>
          <w:color w:val="auto"/>
        </w:rPr>
      </w:pPr>
    </w:p>
    <w:p>
      <w:pPr>
        <w:ind w:left="420" w:right="4060"/>
        <w:spacing w:after="0" w:line="310" w:lineRule="auto"/>
        <w:rPr>
          <w:sz w:val="20"/>
          <w:szCs w:val="20"/>
          <w:color w:val="auto"/>
        </w:rPr>
      </w:pPr>
      <w:r>
        <w:rPr>
          <w:rFonts w:ascii="Arial" w:cs="Arial" w:eastAsia="Arial" w:hAnsi="Arial"/>
          <w:sz w:val="10"/>
          <w:szCs w:val="10"/>
          <w:color w:val="auto"/>
        </w:rPr>
        <w:t>potential adverse effects on Quaker Chemical Corporation’s business, properties or operations caused by the implementation of the Combination; Quaker Chemical Corporation’s ability to promptly, efficiently and effectively integrate the operations of Houghton and Quaker Chemical;</w:t>
      </w:r>
    </w:p>
    <w:p>
      <w:pPr>
        <w:ind w:left="420"/>
        <w:spacing w:after="0"/>
        <w:rPr>
          <w:sz w:val="20"/>
          <w:szCs w:val="20"/>
          <w:color w:val="auto"/>
        </w:rPr>
      </w:pPr>
      <w:r>
        <w:rPr>
          <w:rFonts w:ascii="Arial" w:cs="Arial" w:eastAsia="Arial" w:hAnsi="Arial"/>
          <w:sz w:val="12"/>
          <w:szCs w:val="12"/>
          <w:color w:val="auto"/>
        </w:rPr>
        <w:t>the ability to develop or modify financial reporting, information systems and other related financial tools to ensure overall financial integrity and adequacy of internal control procedures;</w:t>
      </w:r>
    </w:p>
    <w:p>
      <w:pPr>
        <w:spacing w:after="0" w:line="6" w:lineRule="exact"/>
        <w:rPr>
          <w:sz w:val="20"/>
          <w:szCs w:val="20"/>
          <w:color w:val="auto"/>
        </w:rPr>
      </w:pPr>
    </w:p>
    <w:p>
      <w:pPr>
        <w:ind w:left="640" w:right="120" w:hanging="215"/>
        <w:spacing w:after="0" w:line="250" w:lineRule="auto"/>
        <w:rPr>
          <w:sz w:val="20"/>
          <w:szCs w:val="20"/>
          <w:color w:val="auto"/>
        </w:rPr>
      </w:pPr>
      <w:r>
        <w:rPr>
          <w:rFonts w:ascii="Arial" w:cs="Arial" w:eastAsia="Arial" w:hAnsi="Arial"/>
          <w:sz w:val="12"/>
          <w:szCs w:val="12"/>
          <w:color w:val="auto"/>
        </w:rPr>
        <w:t>the ability to identify and take advantage of potential synergies, including cost reduction opportunities, while maintaining legacy business and other related attributes, as well as, the risk that the costs to achieve synergies may be more than anticipated;</w:t>
      </w:r>
    </w:p>
    <w:p>
      <w:pPr>
        <w:spacing w:after="0" w:line="1" w:lineRule="exact"/>
        <w:rPr>
          <w:sz w:val="20"/>
          <w:szCs w:val="20"/>
          <w:color w:val="auto"/>
        </w:rPr>
      </w:pPr>
    </w:p>
    <w:p>
      <w:pPr>
        <w:ind w:left="420" w:right="5060"/>
        <w:spacing w:after="0" w:line="290" w:lineRule="auto"/>
        <w:rPr>
          <w:sz w:val="20"/>
          <w:szCs w:val="20"/>
          <w:color w:val="auto"/>
        </w:rPr>
      </w:pPr>
      <w:r>
        <w:rPr>
          <w:rFonts w:ascii="Arial" w:cs="Arial" w:eastAsia="Arial" w:hAnsi="Arial"/>
          <w:sz w:val="11"/>
          <w:szCs w:val="11"/>
          <w:color w:val="auto"/>
        </w:rPr>
        <w:t>difficulties in managing a larger, combined company, addressing differences in business culture and retaining key personnel; risks related to each company’s distraction from ongoing business operations due to the Combination; and, the outcome of any legal proceedings that may be instituted against the companies related to the Combination.</w:t>
      </w:r>
    </w:p>
    <w:p>
      <w:pPr>
        <w:spacing w:after="0" w:line="37" w:lineRule="exact"/>
        <w:rPr>
          <w:sz w:val="20"/>
          <w:szCs w:val="20"/>
          <w:color w:val="auto"/>
        </w:rPr>
      </w:pPr>
    </w:p>
    <w:p>
      <w:pPr>
        <w:ind w:right="140" w:firstLine="216"/>
        <w:spacing w:after="0" w:line="263" w:lineRule="auto"/>
        <w:rPr>
          <w:sz w:val="20"/>
          <w:szCs w:val="20"/>
          <w:color w:val="auto"/>
        </w:rPr>
      </w:pPr>
      <w:r>
        <w:rPr>
          <w:rFonts w:ascii="Arial" w:cs="Arial" w:eastAsia="Arial" w:hAnsi="Arial"/>
          <w:sz w:val="12"/>
          <w:szCs w:val="12"/>
          <w:color w:val="auto"/>
        </w:rPr>
        <w:t>Therefore, we caution you not to place undue reliance on our forward-looking statements. For more information regarding these risks and uncertainties as well as certain additional risks that we face, refer to the Risk Factors section, which appears in Item 1A of our Form 10-K for the year ended December 31, 2018, as well as the proxy statement the Company filed on July 31, 2017 and in our quarterly and other reports filed from time to time with the SEC. This discussion is provided as permitted by the Private Securities Litigation Reform Act of 1995.</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34" w:name="page35"/>
    <w:bookmarkEnd w:id="34"/>
    <w:p>
      <w:pPr>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82"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We have evaluated the information required under this Item that was disclosed in Part II, Item 7A, of our Annual Report on Form 10-K for the year ended December 31, 2018, and we believe there has been no material change to that information.</w:t>
      </w:r>
    </w:p>
    <w:p>
      <w:pPr>
        <w:spacing w:after="0" w:line="43"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340"/>
          </w:cols>
          <w:pgMar w:left="220" w:top="271" w:right="339" w:bottom="1440" w:gutter="0" w:footer="0" w:header="0"/>
        </w:sectPr>
      </w:pPr>
    </w:p>
    <w:bookmarkStart w:id="35" w:name="page36"/>
    <w:bookmarkEnd w:id="35"/>
    <w:p>
      <w:pPr>
        <w:spacing w:after="0"/>
        <w:rPr>
          <w:sz w:val="20"/>
          <w:szCs w:val="20"/>
          <w:color w:val="auto"/>
        </w:rPr>
      </w:pPr>
      <w:r>
        <w:rPr>
          <w:rFonts w:ascii="Arial" w:cs="Arial" w:eastAsia="Arial" w:hAnsi="Arial"/>
          <w:sz w:val="12"/>
          <w:szCs w:val="12"/>
          <w:b w:val="1"/>
          <w:bCs w:val="1"/>
          <w:color w:val="auto"/>
        </w:rPr>
        <w:t>Item 4. Controls and Procedures.</w:t>
      </w:r>
    </w:p>
    <w:p>
      <w:pPr>
        <w:spacing w:after="0" w:line="82" w:lineRule="exact"/>
        <w:rPr>
          <w:sz w:val="20"/>
          <w:szCs w:val="20"/>
          <w:color w:val="auto"/>
        </w:rPr>
      </w:pPr>
    </w:p>
    <w:p>
      <w:pPr>
        <w:ind w:right="20" w:firstLine="216"/>
        <w:spacing w:after="0" w:line="279" w:lineRule="auto"/>
        <w:rPr>
          <w:sz w:val="20"/>
          <w:szCs w:val="20"/>
          <w:color w:val="auto"/>
        </w:rPr>
      </w:pPr>
      <w:r>
        <w:rPr>
          <w:rFonts w:ascii="Arial" w:cs="Arial" w:eastAsia="Arial" w:hAnsi="Arial"/>
          <w:sz w:val="11"/>
          <w:szCs w:val="11"/>
          <w:i w:val="1"/>
          <w:iCs w:val="1"/>
          <w:color w:val="auto"/>
        </w:rPr>
        <w:t xml:space="preserve">Evaluation of disclosure controls and procedures. </w:t>
      </w:r>
      <w:r>
        <w:rPr>
          <w:rFonts w:ascii="Arial" w:cs="Arial" w:eastAsia="Arial" w:hAnsi="Arial"/>
          <w:sz w:val="11"/>
          <w:szCs w:val="11"/>
          <w:color w:val="auto"/>
        </w:rPr>
        <w:t>As required by Rule 13a-15(b) under the Securities Exchange Act of 1934, as amended (the “Exchange Act”), our management, including our principal executive officer and principal</w:t>
      </w:r>
      <w:r>
        <w:rPr>
          <w:rFonts w:ascii="Arial" w:cs="Arial" w:eastAsia="Arial" w:hAnsi="Arial"/>
          <w:sz w:val="11"/>
          <w:szCs w:val="11"/>
          <w:i w:val="1"/>
          <w:iCs w:val="1"/>
          <w:color w:val="auto"/>
        </w:rPr>
        <w:t xml:space="preserve"> </w:t>
      </w:r>
      <w:r>
        <w:rPr>
          <w:rFonts w:ascii="Arial" w:cs="Arial" w:eastAsia="Arial" w:hAnsi="Arial"/>
          <w:sz w:val="11"/>
          <w:szCs w:val="11"/>
          <w:color w:val="auto"/>
        </w:rPr>
        <w:t>financial officer, has evaluated the effectiveness of our disclosure controls and procedures (as defined in Rule 13a-15(e) under the Exchange Act) as of the end of the period covered by this report. Based on that evaluation, our principal executive officer and our principal financial officer have concluded that as of the end of the period covered by this report our disclosure controls and procedures were not effective as of June 30, 2019 because of a material weakness in our internal control over financial reporting. This control deficiency was identified following an internal review by PricewaterhouseCoopers LLP, the independent registered public accounting firm of the Company, of its 2018 audit of the Company’s consolidated financial statements as reported in the Company’s Annual Report on Form 10-K for the fiscal year ended December 31, 2018, originally filed with the SEC on February 28, 2019. The Company did not design and maintain effective internal control over certain aspects of its information technology. Specifically, we did not design and maintain effective internal controls related to (i) user access controls to adequately restrict user and privileged access to certain financial applications and data to the appropriate personnel, including ensuring appropriate segregation of duties as it relates to the preparation and review of journal entries and (ii) monitoring, documenting and approving system or data changes. As of June 30, 2019, this material weakness was not remediated. This control deficiency creates a reasonable possibility that a material misstatement in our consolidated financial statements would not have been prevented or detected on a timely basis.</w:t>
      </w:r>
    </w:p>
    <w:p>
      <w:pPr>
        <w:spacing w:after="0" w:line="46" w:lineRule="exact"/>
        <w:rPr>
          <w:sz w:val="20"/>
          <w:szCs w:val="20"/>
          <w:color w:val="auto"/>
        </w:rPr>
      </w:pPr>
    </w:p>
    <w:p>
      <w:pPr>
        <w:ind w:right="60" w:firstLine="216"/>
        <w:spacing w:after="0" w:line="323" w:lineRule="auto"/>
        <w:rPr>
          <w:sz w:val="20"/>
          <w:szCs w:val="20"/>
          <w:color w:val="auto"/>
        </w:rPr>
      </w:pPr>
      <w:r>
        <w:rPr>
          <w:rFonts w:ascii="Arial" w:cs="Arial" w:eastAsia="Arial" w:hAnsi="Arial"/>
          <w:sz w:val="11"/>
          <w:szCs w:val="11"/>
          <w:color w:val="auto"/>
        </w:rPr>
        <w:t>Notwithstanding this material weakness, the Company has concluded that no material misstatements exist in the consolidated financial statements, in all material respects, the financial position of the Company as of June 30, 2019 and December 31, 2018, and the results of its operations and its cash flows for the three and six months ended June 30, 2019 and 2018, in conformity with accounting principles generally accepted in the United States of America.</w:t>
      </w:r>
    </w:p>
    <w:p>
      <w:pPr>
        <w:spacing w:after="0" w:line="20" w:lineRule="exact"/>
        <w:rPr>
          <w:sz w:val="20"/>
          <w:szCs w:val="20"/>
          <w:color w:val="auto"/>
        </w:rPr>
      </w:pPr>
    </w:p>
    <w:p>
      <w:pPr>
        <w:ind w:firstLine="216"/>
        <w:spacing w:after="0" w:line="257" w:lineRule="auto"/>
        <w:rPr>
          <w:sz w:val="20"/>
          <w:szCs w:val="20"/>
          <w:color w:val="auto"/>
        </w:rPr>
      </w:pPr>
      <w:r>
        <w:rPr>
          <w:rFonts w:ascii="Arial" w:cs="Arial" w:eastAsia="Arial" w:hAnsi="Arial"/>
          <w:sz w:val="12"/>
          <w:szCs w:val="12"/>
          <w:i w:val="1"/>
          <w:iCs w:val="1"/>
          <w:color w:val="auto"/>
        </w:rPr>
        <w:t>Plan for Remediation of Material Weakness</w:t>
      </w:r>
      <w:r>
        <w:rPr>
          <w:rFonts w:ascii="Arial" w:cs="Arial" w:eastAsia="Arial" w:hAnsi="Arial"/>
          <w:sz w:val="12"/>
          <w:szCs w:val="12"/>
          <w:color w:val="auto"/>
        </w:rPr>
        <w:t>. The Company and its Board of Directors are committed to maintaining a strong internal control environment. Management has evaluated the material weakness described above and has</w:t>
      </w:r>
      <w:r>
        <w:rPr>
          <w:rFonts w:ascii="Arial" w:cs="Arial" w:eastAsia="Arial" w:hAnsi="Arial"/>
          <w:sz w:val="12"/>
          <w:szCs w:val="12"/>
          <w:i w:val="1"/>
          <w:iCs w:val="1"/>
          <w:color w:val="auto"/>
        </w:rPr>
        <w:t xml:space="preserve"> </w:t>
      </w:r>
      <w:r>
        <w:rPr>
          <w:rFonts w:ascii="Arial" w:cs="Arial" w:eastAsia="Arial" w:hAnsi="Arial"/>
          <w:sz w:val="12"/>
          <w:szCs w:val="12"/>
          <w:color w:val="auto"/>
        </w:rPr>
        <w:t>made significant progress updating its design and implementation of internal controls to remediate the aforementioned control deficiency and enhance the Company’s internal control environment. The remediation plan is being implemented and includes a revised risk assessment coupled with additional controls and procedures. Management is committed to successfully implementing the remediation plan as promptly as possible, and currently plans to evaluate its updated internal controls design and determine whether the controls have operated effectively during the third quarter of 2019 in order to fully remediate the aforementioned material weakness in the Company’s internal control over financial reporting.</w:t>
      </w:r>
    </w:p>
    <w:p>
      <w:pPr>
        <w:spacing w:after="0" w:line="54" w:lineRule="exact"/>
        <w:rPr>
          <w:sz w:val="20"/>
          <w:szCs w:val="20"/>
          <w:color w:val="auto"/>
        </w:rPr>
      </w:pPr>
    </w:p>
    <w:p>
      <w:pPr>
        <w:ind w:right="40" w:firstLine="216"/>
        <w:spacing w:after="0" w:line="298" w:lineRule="auto"/>
        <w:rPr>
          <w:sz w:val="20"/>
          <w:szCs w:val="20"/>
          <w:color w:val="auto"/>
        </w:rPr>
      </w:pPr>
      <w:r>
        <w:rPr>
          <w:rFonts w:ascii="Arial" w:cs="Arial" w:eastAsia="Arial" w:hAnsi="Arial"/>
          <w:sz w:val="11"/>
          <w:szCs w:val="11"/>
          <w:i w:val="1"/>
          <w:iCs w:val="1"/>
          <w:color w:val="auto"/>
        </w:rPr>
        <w:t xml:space="preserve">Changes in internal control over financial reporting. </w:t>
      </w:r>
      <w:r>
        <w:rPr>
          <w:rFonts w:ascii="Arial" w:cs="Arial" w:eastAsia="Arial" w:hAnsi="Arial"/>
          <w:sz w:val="11"/>
          <w:szCs w:val="11"/>
          <w:color w:val="auto"/>
        </w:rPr>
        <w:t>As required by Rule 13a-15(d) under the Exchange Act, our management, including our principal executive officer and principal financial officer, has evaluated our internal control</w:t>
      </w:r>
      <w:r>
        <w:rPr>
          <w:rFonts w:ascii="Arial" w:cs="Arial" w:eastAsia="Arial" w:hAnsi="Arial"/>
          <w:sz w:val="11"/>
          <w:szCs w:val="11"/>
          <w:i w:val="1"/>
          <w:iCs w:val="1"/>
          <w:color w:val="auto"/>
        </w:rPr>
        <w:t xml:space="preserve"> </w:t>
      </w:r>
      <w:r>
        <w:rPr>
          <w:rFonts w:ascii="Arial" w:cs="Arial" w:eastAsia="Arial" w:hAnsi="Arial"/>
          <w:sz w:val="11"/>
          <w:szCs w:val="11"/>
          <w:color w:val="auto"/>
        </w:rPr>
        <w:t>over financial reporting to determine whether any changes to our internal control over financial reporting occurred during the quarter ended June 30, 2019 that have materially affected, or are reasonably likely to materially affect, our internal control over financial reporting. Based on that evaluation, no significant changes to our internal control over financial reporting occurred during the quarter ended June 30, 2019.</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271" w:right="219" w:bottom="1440" w:gutter="0" w:footer="0" w:header="0"/>
        </w:sectPr>
      </w:pPr>
    </w:p>
    <w:bookmarkStart w:id="36" w:name="page37"/>
    <w:bookmarkEnd w:id="36"/>
    <w:p>
      <w:pPr>
        <w:jc w:val="center"/>
        <w:spacing w:after="0"/>
        <w:rPr>
          <w:sz w:val="20"/>
          <w:szCs w:val="20"/>
          <w:color w:val="auto"/>
        </w:rPr>
      </w:pPr>
      <w:r>
        <w:rPr>
          <w:rFonts w:ascii="Arial" w:cs="Arial" w:eastAsia="Arial" w:hAnsi="Arial"/>
          <w:sz w:val="12"/>
          <w:szCs w:val="12"/>
          <w:b w:val="1"/>
          <w:bCs w:val="1"/>
          <w:color w:val="auto"/>
        </w:rPr>
        <w:t>PART II.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OTHER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Items 1A, 3, 4 and 5 of Part II are inapplicable and have been omitted.</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Legal Proceedings.</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Incorporated by reference is the information in Note 18 of the Notes to the Condensed Consolidated Financial Statements in Part I, Item 1, of this Report.</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Unregistered Sales of Equity Securities and Use of Proceeds.</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sets forth information concerning shares of the Company’s common stock acquired by the Company during the period covered by this report: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(c)</w:t>
            </w:r>
          </w:p>
        </w:tc>
        <w:tc>
          <w:tcPr>
            <w:tcW w:w="420" w:type="dxa"/>
            <w:vAlign w:val="bottom"/>
          </w:tcPr>
          <w:p>
            <w:pPr>
              <w:spacing w:after="0"/>
              <w:rPr>
                <w:sz w:val="13"/>
                <w:szCs w:val="13"/>
                <w:color w:val="auto"/>
              </w:rPr>
            </w:pPr>
          </w:p>
        </w:tc>
        <w:tc>
          <w:tcPr>
            <w:tcW w:w="2000" w:type="dxa"/>
            <w:vAlign w:val="bottom"/>
          </w:tcPr>
          <w:p>
            <w:pPr>
              <w:jc w:val="center"/>
              <w:ind w:right="140"/>
              <w:spacing w:after="0"/>
              <w:rPr>
                <w:sz w:val="20"/>
                <w:szCs w:val="20"/>
                <w:color w:val="auto"/>
              </w:rPr>
            </w:pPr>
            <w:r>
              <w:rPr>
                <w:rFonts w:ascii="Arial" w:cs="Arial" w:eastAsia="Arial" w:hAnsi="Arial"/>
                <w:sz w:val="12"/>
                <w:szCs w:val="12"/>
                <w:b w:val="1"/>
                <w:bCs w:val="1"/>
                <w:color w:val="auto"/>
              </w:rPr>
              <w:t>(d)</w:t>
            </w:r>
          </w:p>
        </w:tc>
      </w:tr>
      <w:tr>
        <w:trPr>
          <w:trHeight w:val="153"/>
        </w:trPr>
        <w:tc>
          <w:tcPr>
            <w:tcW w:w="2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Total Number of</w:t>
            </w:r>
          </w:p>
        </w:tc>
        <w:tc>
          <w:tcPr>
            <w:tcW w:w="420" w:type="dxa"/>
            <w:vAlign w:val="bottom"/>
          </w:tcPr>
          <w:p>
            <w:pPr>
              <w:spacing w:after="0"/>
              <w:rPr>
                <w:sz w:val="13"/>
                <w:szCs w:val="13"/>
                <w:color w:val="auto"/>
              </w:rPr>
            </w:pPr>
          </w:p>
        </w:tc>
        <w:tc>
          <w:tcPr>
            <w:tcW w:w="2000" w:type="dxa"/>
            <w:vAlign w:val="bottom"/>
          </w:tcPr>
          <w:p>
            <w:pPr>
              <w:jc w:val="center"/>
              <w:ind w:right="140"/>
              <w:spacing w:after="0"/>
              <w:rPr>
                <w:sz w:val="20"/>
                <w:szCs w:val="20"/>
                <w:color w:val="auto"/>
              </w:rPr>
            </w:pPr>
            <w:r>
              <w:rPr>
                <w:rFonts w:ascii="Arial" w:cs="Arial" w:eastAsia="Arial" w:hAnsi="Arial"/>
                <w:sz w:val="12"/>
                <w:szCs w:val="12"/>
                <w:b w:val="1"/>
                <w:bCs w:val="1"/>
                <w:color w:val="auto"/>
                <w:w w:val="93"/>
              </w:rPr>
              <w:t>Approximate Dollar</w:t>
            </w:r>
          </w:p>
        </w:tc>
      </w:tr>
      <w:tr>
        <w:trPr>
          <w:trHeight w:val="153"/>
        </w:trPr>
        <w:tc>
          <w:tcPr>
            <w:tcW w:w="2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(a)</w:t>
            </w:r>
          </w:p>
        </w:tc>
        <w:tc>
          <w:tcPr>
            <w:tcW w:w="360" w:type="dxa"/>
            <w:vAlign w:val="bottom"/>
          </w:tcPr>
          <w:p>
            <w:pPr>
              <w:spacing w:after="0"/>
              <w:rPr>
                <w:sz w:val="13"/>
                <w:szCs w:val="13"/>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rPr>
              <w:t>(b)</w:t>
            </w:r>
          </w:p>
        </w:tc>
        <w:tc>
          <w:tcPr>
            <w:tcW w:w="2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Shares Purchased</w:t>
            </w:r>
          </w:p>
        </w:tc>
        <w:tc>
          <w:tcPr>
            <w:tcW w:w="420" w:type="dxa"/>
            <w:vAlign w:val="bottom"/>
          </w:tcPr>
          <w:p>
            <w:pPr>
              <w:spacing w:after="0"/>
              <w:rPr>
                <w:sz w:val="13"/>
                <w:szCs w:val="13"/>
                <w:color w:val="auto"/>
              </w:rPr>
            </w:pPr>
          </w:p>
        </w:tc>
        <w:tc>
          <w:tcPr>
            <w:tcW w:w="2000" w:type="dxa"/>
            <w:vAlign w:val="bottom"/>
          </w:tcPr>
          <w:p>
            <w:pPr>
              <w:jc w:val="center"/>
              <w:ind w:right="140"/>
              <w:spacing w:after="0"/>
              <w:rPr>
                <w:sz w:val="20"/>
                <w:szCs w:val="20"/>
                <w:color w:val="auto"/>
              </w:rPr>
            </w:pPr>
            <w:r>
              <w:rPr>
                <w:rFonts w:ascii="Arial" w:cs="Arial" w:eastAsia="Arial" w:hAnsi="Arial"/>
                <w:sz w:val="12"/>
                <w:szCs w:val="12"/>
                <w:b w:val="1"/>
                <w:bCs w:val="1"/>
                <w:color w:val="auto"/>
                <w:w w:val="90"/>
              </w:rPr>
              <w:t>Value of Shares that</w:t>
            </w:r>
          </w:p>
        </w:tc>
      </w:tr>
      <w:tr>
        <w:trPr>
          <w:trHeight w:val="153"/>
        </w:trPr>
        <w:tc>
          <w:tcPr>
            <w:tcW w:w="2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3"/>
              </w:rPr>
              <w:t>Total Number</w:t>
            </w:r>
          </w:p>
        </w:tc>
        <w:tc>
          <w:tcPr>
            <w:tcW w:w="360" w:type="dxa"/>
            <w:vAlign w:val="bottom"/>
          </w:tcPr>
          <w:p>
            <w:pPr>
              <w:spacing w:after="0"/>
              <w:rPr>
                <w:sz w:val="13"/>
                <w:szCs w:val="13"/>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8"/>
              </w:rPr>
              <w:t>Average</w:t>
            </w:r>
          </w:p>
        </w:tc>
        <w:tc>
          <w:tcPr>
            <w:tcW w:w="2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8"/>
              </w:rPr>
              <w:t>as part of</w:t>
            </w:r>
          </w:p>
        </w:tc>
        <w:tc>
          <w:tcPr>
            <w:tcW w:w="420" w:type="dxa"/>
            <w:vAlign w:val="bottom"/>
          </w:tcPr>
          <w:p>
            <w:pPr>
              <w:spacing w:after="0"/>
              <w:rPr>
                <w:sz w:val="13"/>
                <w:szCs w:val="13"/>
                <w:color w:val="auto"/>
              </w:rPr>
            </w:pPr>
          </w:p>
        </w:tc>
        <w:tc>
          <w:tcPr>
            <w:tcW w:w="2000" w:type="dxa"/>
            <w:vAlign w:val="bottom"/>
          </w:tcPr>
          <w:p>
            <w:pPr>
              <w:jc w:val="center"/>
              <w:ind w:right="120"/>
              <w:spacing w:after="0"/>
              <w:rPr>
                <w:sz w:val="20"/>
                <w:szCs w:val="20"/>
                <w:color w:val="auto"/>
              </w:rPr>
            </w:pPr>
            <w:r>
              <w:rPr>
                <w:rFonts w:ascii="Arial" w:cs="Arial" w:eastAsia="Arial" w:hAnsi="Arial"/>
                <w:sz w:val="12"/>
                <w:szCs w:val="12"/>
                <w:b w:val="1"/>
                <w:bCs w:val="1"/>
                <w:color w:val="auto"/>
                <w:w w:val="92"/>
              </w:rPr>
              <w:t>May Yet be</w:t>
            </w:r>
          </w:p>
        </w:tc>
      </w:tr>
      <w:tr>
        <w:trPr>
          <w:trHeight w:val="153"/>
        </w:trPr>
        <w:tc>
          <w:tcPr>
            <w:tcW w:w="2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of Shares</w:t>
            </w:r>
          </w:p>
        </w:tc>
        <w:tc>
          <w:tcPr>
            <w:tcW w:w="360" w:type="dxa"/>
            <w:vAlign w:val="bottom"/>
          </w:tcPr>
          <w:p>
            <w:pPr>
              <w:spacing w:after="0"/>
              <w:rPr>
                <w:sz w:val="13"/>
                <w:szCs w:val="13"/>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9"/>
              </w:rPr>
              <w:t>Price Paid</w:t>
            </w:r>
          </w:p>
        </w:tc>
        <w:tc>
          <w:tcPr>
            <w:tcW w:w="2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Publicly Announced</w:t>
            </w:r>
          </w:p>
        </w:tc>
        <w:tc>
          <w:tcPr>
            <w:tcW w:w="420" w:type="dxa"/>
            <w:vAlign w:val="bottom"/>
          </w:tcPr>
          <w:p>
            <w:pPr>
              <w:spacing w:after="0"/>
              <w:rPr>
                <w:sz w:val="13"/>
                <w:szCs w:val="13"/>
                <w:color w:val="auto"/>
              </w:rPr>
            </w:pPr>
          </w:p>
        </w:tc>
        <w:tc>
          <w:tcPr>
            <w:tcW w:w="2000" w:type="dxa"/>
            <w:vAlign w:val="bottom"/>
          </w:tcPr>
          <w:p>
            <w:pPr>
              <w:jc w:val="center"/>
              <w:ind w:right="140"/>
              <w:spacing w:after="0"/>
              <w:rPr>
                <w:sz w:val="20"/>
                <w:szCs w:val="20"/>
                <w:color w:val="auto"/>
              </w:rPr>
            </w:pPr>
            <w:r>
              <w:rPr>
                <w:rFonts w:ascii="Arial" w:cs="Arial" w:eastAsia="Arial" w:hAnsi="Arial"/>
                <w:sz w:val="12"/>
                <w:szCs w:val="12"/>
                <w:b w:val="1"/>
                <w:bCs w:val="1"/>
                <w:color w:val="auto"/>
                <w:w w:val="89"/>
              </w:rPr>
              <w:t>Purchased Under the</w:t>
            </w:r>
          </w:p>
        </w:tc>
      </w:tr>
      <w:tr>
        <w:trPr>
          <w:trHeight w:val="157"/>
        </w:trPr>
        <w:tc>
          <w:tcPr>
            <w:tcW w:w="3220" w:type="dxa"/>
            <w:vAlign w:val="bottom"/>
            <w:gridSpan w:val="2"/>
          </w:tcPr>
          <w:p>
            <w:pPr>
              <w:ind w:left="1320"/>
              <w:spacing w:after="0"/>
              <w:rPr>
                <w:sz w:val="20"/>
                <w:szCs w:val="20"/>
                <w:color w:val="auto"/>
              </w:rPr>
            </w:pPr>
            <w:r>
              <w:rPr>
                <w:rFonts w:ascii="Arial" w:cs="Arial" w:eastAsia="Arial" w:hAnsi="Arial"/>
                <w:sz w:val="12"/>
                <w:szCs w:val="12"/>
                <w:b w:val="1"/>
                <w:bCs w:val="1"/>
                <w:color w:val="auto"/>
              </w:rPr>
              <w:t>Period</w:t>
            </w:r>
          </w:p>
        </w:tc>
        <w:tc>
          <w:tcPr>
            <w:tcW w:w="17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Purchased (1)</w:t>
            </w:r>
          </w:p>
        </w:tc>
        <w:tc>
          <w:tcPr>
            <w:tcW w:w="360" w:type="dxa"/>
            <w:vAlign w:val="bottom"/>
          </w:tcPr>
          <w:p>
            <w:pPr>
              <w:spacing w:after="0"/>
              <w:rPr>
                <w:sz w:val="13"/>
                <w:szCs w:val="13"/>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1"/>
              </w:rPr>
              <w:t>Per Share (2)</w:t>
            </w:r>
          </w:p>
        </w:tc>
        <w:tc>
          <w:tcPr>
            <w:tcW w:w="2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Plans or Programs</w:t>
            </w:r>
          </w:p>
        </w:tc>
        <w:tc>
          <w:tcPr>
            <w:tcW w:w="420" w:type="dxa"/>
            <w:vAlign w:val="bottom"/>
          </w:tcPr>
          <w:p>
            <w:pPr>
              <w:spacing w:after="0"/>
              <w:rPr>
                <w:sz w:val="13"/>
                <w:szCs w:val="13"/>
                <w:color w:val="auto"/>
              </w:rPr>
            </w:pPr>
          </w:p>
        </w:tc>
        <w:tc>
          <w:tcPr>
            <w:tcW w:w="2000" w:type="dxa"/>
            <w:vAlign w:val="bottom"/>
          </w:tcPr>
          <w:p>
            <w:pPr>
              <w:jc w:val="center"/>
              <w:ind w:right="140"/>
              <w:spacing w:after="0"/>
              <w:rPr>
                <w:sz w:val="20"/>
                <w:szCs w:val="20"/>
                <w:color w:val="auto"/>
              </w:rPr>
            </w:pPr>
            <w:r>
              <w:rPr>
                <w:rFonts w:ascii="Arial" w:cs="Arial" w:eastAsia="Arial" w:hAnsi="Arial"/>
                <w:sz w:val="12"/>
                <w:szCs w:val="12"/>
                <w:b w:val="1"/>
                <w:bCs w:val="1"/>
                <w:color w:val="auto"/>
                <w:w w:val="89"/>
              </w:rPr>
              <w:t>Plans or Programs (3)</w:t>
            </w:r>
          </w:p>
        </w:tc>
      </w:tr>
      <w:tr>
        <w:trPr>
          <w:trHeight w:val="133"/>
        </w:trPr>
        <w:tc>
          <w:tcPr>
            <w:tcW w:w="2980" w:type="dxa"/>
            <w:vAlign w:val="bottom"/>
            <w:tcBorders>
              <w:top w:val="single" w:sz="8" w:color="auto"/>
            </w:tcBorders>
            <w:shd w:val="clear" w:color="auto" w:fill="B7E5FF"/>
          </w:tcPr>
          <w:p>
            <w:pPr>
              <w:spacing w:after="0" w:line="133" w:lineRule="exact"/>
              <w:rPr>
                <w:sz w:val="20"/>
                <w:szCs w:val="20"/>
                <w:color w:val="auto"/>
              </w:rPr>
            </w:pPr>
            <w:r>
              <w:rPr>
                <w:rFonts w:ascii="Arial" w:cs="Arial" w:eastAsia="Arial" w:hAnsi="Arial"/>
                <w:sz w:val="12"/>
                <w:szCs w:val="12"/>
                <w:b w:val="1"/>
                <w:bCs w:val="1"/>
                <w:color w:val="auto"/>
              </w:rPr>
              <w:t>April 1 - April 30</w:t>
            </w:r>
          </w:p>
        </w:tc>
        <w:tc>
          <w:tcPr>
            <w:tcW w:w="240" w:type="dxa"/>
            <w:vAlign w:val="bottom"/>
            <w:tcBorders>
              <w:top w:val="single" w:sz="8" w:color="B7E5FF"/>
            </w:tcBorders>
            <w:shd w:val="clear" w:color="auto" w:fill="B7E5FF"/>
          </w:tcPr>
          <w:p>
            <w:pPr>
              <w:spacing w:after="0"/>
              <w:rPr>
                <w:sz w:val="11"/>
                <w:szCs w:val="11"/>
                <w:color w:val="auto"/>
              </w:rPr>
            </w:pPr>
          </w:p>
        </w:tc>
        <w:tc>
          <w:tcPr>
            <w:tcW w:w="1500" w:type="dxa"/>
            <w:vAlign w:val="bottom"/>
            <w:tcBorders>
              <w:top w:val="single" w:sz="8" w:color="auto"/>
            </w:tcBorders>
            <w:shd w:val="clear" w:color="auto" w:fill="B7E5FF"/>
          </w:tcPr>
          <w:p>
            <w:pPr>
              <w:jc w:val="center"/>
              <w:spacing w:after="0" w:line="133" w:lineRule="exact"/>
              <w:rPr>
                <w:sz w:val="20"/>
                <w:szCs w:val="20"/>
                <w:color w:val="auto"/>
              </w:rPr>
            </w:pPr>
            <w:r>
              <w:rPr>
                <w:rFonts w:ascii="Arial" w:cs="Arial" w:eastAsia="Arial" w:hAnsi="Arial"/>
                <w:sz w:val="12"/>
                <w:szCs w:val="12"/>
                <w:b w:val="1"/>
                <w:bCs w:val="1"/>
                <w:color w:val="auto"/>
                <w:w w:val="99"/>
              </w:rPr>
              <w:t>—</w:t>
            </w:r>
          </w:p>
        </w:tc>
        <w:tc>
          <w:tcPr>
            <w:tcW w:w="220" w:type="dxa"/>
            <w:vAlign w:val="bottom"/>
            <w:tcBorders>
              <w:top w:val="single" w:sz="8" w:color="B7E5FF"/>
            </w:tcBorders>
            <w:shd w:val="clear" w:color="auto" w:fill="B7E5FF"/>
          </w:tcPr>
          <w:p>
            <w:pPr>
              <w:spacing w:after="0"/>
              <w:rPr>
                <w:sz w:val="11"/>
                <w:szCs w:val="11"/>
                <w:color w:val="auto"/>
              </w:rPr>
            </w:pPr>
          </w:p>
        </w:tc>
        <w:tc>
          <w:tcPr>
            <w:tcW w:w="360" w:type="dxa"/>
            <w:vAlign w:val="bottom"/>
            <w:tcBorders>
              <w:top w:val="single" w:sz="8" w:color="auto"/>
            </w:tcBorders>
            <w:shd w:val="clear" w:color="auto" w:fill="B7E5FF"/>
          </w:tcPr>
          <w:p>
            <w:pPr>
              <w:jc w:val="right"/>
              <w:ind w:right="220"/>
              <w:spacing w:after="0" w:line="133" w:lineRule="exact"/>
              <w:rPr>
                <w:sz w:val="20"/>
                <w:szCs w:val="20"/>
                <w:color w:val="auto"/>
              </w:rPr>
            </w:pPr>
            <w:r>
              <w:rPr>
                <w:rFonts w:ascii="Arial" w:cs="Arial" w:eastAsia="Arial" w:hAnsi="Arial"/>
                <w:sz w:val="12"/>
                <w:szCs w:val="12"/>
                <w:b w:val="1"/>
                <w:bCs w:val="1"/>
                <w:color w:val="auto"/>
                <w:w w:val="89"/>
              </w:rPr>
              <w:t>$</w:t>
            </w:r>
          </w:p>
        </w:tc>
        <w:tc>
          <w:tcPr>
            <w:tcW w:w="1360" w:type="dxa"/>
            <w:vAlign w:val="bottom"/>
            <w:tcBorders>
              <w:top w:val="single" w:sz="8" w:color="auto"/>
            </w:tcBorders>
            <w:shd w:val="clear" w:color="auto" w:fill="B7E5FF"/>
          </w:tcPr>
          <w:p>
            <w:pPr>
              <w:jc w:val="center"/>
              <w:ind w:right="60"/>
              <w:spacing w:after="0" w:line="133" w:lineRule="exact"/>
              <w:rPr>
                <w:sz w:val="20"/>
                <w:szCs w:val="20"/>
                <w:color w:val="auto"/>
              </w:rPr>
            </w:pPr>
            <w:r>
              <w:rPr>
                <w:rFonts w:ascii="Arial" w:cs="Arial" w:eastAsia="Arial" w:hAnsi="Arial"/>
                <w:sz w:val="12"/>
                <w:szCs w:val="12"/>
                <w:b w:val="1"/>
                <w:bCs w:val="1"/>
                <w:color w:val="auto"/>
                <w:w w:val="99"/>
              </w:rPr>
              <w:t>—</w:t>
            </w:r>
          </w:p>
        </w:tc>
        <w:tc>
          <w:tcPr>
            <w:tcW w:w="240" w:type="dxa"/>
            <w:vAlign w:val="bottom"/>
            <w:tcBorders>
              <w:top w:val="single" w:sz="8" w:color="B7E5FF"/>
            </w:tcBorders>
            <w:shd w:val="clear" w:color="auto" w:fill="B7E5FF"/>
          </w:tcPr>
          <w:p>
            <w:pPr>
              <w:spacing w:after="0"/>
              <w:rPr>
                <w:sz w:val="11"/>
                <w:szCs w:val="11"/>
                <w:color w:val="auto"/>
              </w:rPr>
            </w:pPr>
          </w:p>
        </w:tc>
        <w:tc>
          <w:tcPr>
            <w:tcW w:w="1940" w:type="dxa"/>
            <w:vAlign w:val="bottom"/>
            <w:tcBorders>
              <w:top w:val="single" w:sz="8" w:color="auto"/>
            </w:tcBorders>
            <w:shd w:val="clear" w:color="auto" w:fill="B7E5FF"/>
          </w:tcPr>
          <w:p>
            <w:pPr>
              <w:jc w:val="center"/>
              <w:spacing w:after="0" w:line="133" w:lineRule="exact"/>
              <w:rPr>
                <w:sz w:val="20"/>
                <w:szCs w:val="20"/>
                <w:color w:val="auto"/>
              </w:rPr>
            </w:pPr>
            <w:r>
              <w:rPr>
                <w:rFonts w:ascii="Arial" w:cs="Arial" w:eastAsia="Arial" w:hAnsi="Arial"/>
                <w:sz w:val="12"/>
                <w:szCs w:val="12"/>
                <w:b w:val="1"/>
                <w:bCs w:val="1"/>
                <w:color w:val="auto"/>
                <w:w w:val="99"/>
              </w:rPr>
              <w:t>—</w:t>
            </w:r>
          </w:p>
        </w:tc>
        <w:tc>
          <w:tcPr>
            <w:tcW w:w="220" w:type="dxa"/>
            <w:vAlign w:val="bottom"/>
            <w:tcBorders>
              <w:top w:val="single" w:sz="8" w:color="B7E5FF"/>
            </w:tcBorders>
            <w:shd w:val="clear" w:color="auto" w:fill="B7E5FF"/>
          </w:tcPr>
          <w:p>
            <w:pPr>
              <w:spacing w:after="0"/>
              <w:rPr>
                <w:sz w:val="11"/>
                <w:szCs w:val="11"/>
                <w:color w:val="auto"/>
              </w:rPr>
            </w:pPr>
          </w:p>
        </w:tc>
        <w:tc>
          <w:tcPr>
            <w:tcW w:w="420" w:type="dxa"/>
            <w:vAlign w:val="bottom"/>
            <w:tcBorders>
              <w:top w:val="single" w:sz="8" w:color="auto"/>
            </w:tcBorders>
            <w:shd w:val="clear" w:color="auto" w:fill="B7E5FF"/>
          </w:tcPr>
          <w:p>
            <w:pPr>
              <w:jc w:val="right"/>
              <w:ind w:right="280"/>
              <w:spacing w:after="0" w:line="133" w:lineRule="exact"/>
              <w:rPr>
                <w:sz w:val="20"/>
                <w:szCs w:val="20"/>
                <w:color w:val="auto"/>
              </w:rPr>
            </w:pPr>
            <w:r>
              <w:rPr>
                <w:rFonts w:ascii="Arial" w:cs="Arial" w:eastAsia="Arial" w:hAnsi="Arial"/>
                <w:sz w:val="12"/>
                <w:szCs w:val="12"/>
                <w:b w:val="1"/>
                <w:bCs w:val="1"/>
                <w:color w:val="auto"/>
                <w:w w:val="89"/>
              </w:rPr>
              <w:t>$</w:t>
            </w:r>
          </w:p>
        </w:tc>
        <w:tc>
          <w:tcPr>
            <w:tcW w:w="2000" w:type="dxa"/>
            <w:vAlign w:val="bottom"/>
            <w:tcBorders>
              <w:top w:val="single" w:sz="8" w:color="auto"/>
            </w:tcBorders>
            <w:shd w:val="clear" w:color="auto" w:fill="B7E5FF"/>
          </w:tcPr>
          <w:p>
            <w:pPr>
              <w:jc w:val="center"/>
              <w:ind w:right="120"/>
              <w:spacing w:after="0" w:line="133" w:lineRule="exact"/>
              <w:rPr>
                <w:sz w:val="20"/>
                <w:szCs w:val="20"/>
                <w:color w:val="auto"/>
              </w:rPr>
            </w:pPr>
            <w:r>
              <w:rPr>
                <w:rFonts w:ascii="Arial" w:cs="Arial" w:eastAsia="Arial" w:hAnsi="Arial"/>
                <w:sz w:val="12"/>
                <w:szCs w:val="12"/>
                <w:b w:val="1"/>
                <w:bCs w:val="1"/>
                <w:color w:val="auto"/>
                <w:w w:val="89"/>
              </w:rPr>
              <w:t>86,865,026</w:t>
            </w:r>
          </w:p>
        </w:tc>
      </w:tr>
      <w:tr>
        <w:trPr>
          <w:trHeight w:val="153"/>
        </w:trPr>
        <w:tc>
          <w:tcPr>
            <w:tcW w:w="3220" w:type="dxa"/>
            <w:vAlign w:val="bottom"/>
            <w:gridSpan w:val="2"/>
          </w:tcPr>
          <w:p>
            <w:pPr>
              <w:spacing w:after="0"/>
              <w:rPr>
                <w:sz w:val="20"/>
                <w:szCs w:val="20"/>
                <w:color w:val="auto"/>
              </w:rPr>
            </w:pPr>
            <w:r>
              <w:rPr>
                <w:rFonts w:ascii="Arial" w:cs="Arial" w:eastAsia="Arial" w:hAnsi="Arial"/>
                <w:sz w:val="12"/>
                <w:szCs w:val="12"/>
                <w:b w:val="1"/>
                <w:bCs w:val="1"/>
                <w:color w:val="auto"/>
              </w:rPr>
              <w:t>May 1 - May 31</w:t>
            </w:r>
          </w:p>
        </w:tc>
        <w:tc>
          <w:tcPr>
            <w:tcW w:w="17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9"/>
              </w:rPr>
              <w:t>—</w:t>
            </w:r>
          </w:p>
        </w:tc>
        <w:tc>
          <w:tcPr>
            <w:tcW w:w="360" w:type="dxa"/>
            <w:vAlign w:val="bottom"/>
          </w:tcPr>
          <w:p>
            <w:pPr>
              <w:jc w:val="right"/>
              <w:ind w:right="220"/>
              <w:spacing w:after="0"/>
              <w:rPr>
                <w:sz w:val="20"/>
                <w:szCs w:val="20"/>
                <w:color w:val="auto"/>
              </w:rPr>
            </w:pPr>
            <w:r>
              <w:rPr>
                <w:rFonts w:ascii="Arial" w:cs="Arial" w:eastAsia="Arial" w:hAnsi="Arial"/>
                <w:sz w:val="12"/>
                <w:szCs w:val="12"/>
                <w:b w:val="1"/>
                <w:bCs w:val="1"/>
                <w:color w:val="auto"/>
                <w:w w:val="89"/>
              </w:rPr>
              <w:t>$</w:t>
            </w:r>
          </w:p>
        </w:tc>
        <w:tc>
          <w:tcPr>
            <w:tcW w:w="16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9"/>
              </w:rPr>
              <w:t>—</w:t>
            </w:r>
          </w:p>
        </w:tc>
        <w:tc>
          <w:tcPr>
            <w:tcW w:w="2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9"/>
              </w:rPr>
              <w:t>—</w:t>
            </w:r>
          </w:p>
        </w:tc>
        <w:tc>
          <w:tcPr>
            <w:tcW w:w="420" w:type="dxa"/>
            <w:vAlign w:val="bottom"/>
          </w:tcPr>
          <w:p>
            <w:pPr>
              <w:jc w:val="right"/>
              <w:ind w:right="280"/>
              <w:spacing w:after="0"/>
              <w:rPr>
                <w:sz w:val="20"/>
                <w:szCs w:val="20"/>
                <w:color w:val="auto"/>
              </w:rPr>
            </w:pPr>
            <w:r>
              <w:rPr>
                <w:rFonts w:ascii="Arial" w:cs="Arial" w:eastAsia="Arial" w:hAnsi="Arial"/>
                <w:sz w:val="12"/>
                <w:szCs w:val="12"/>
                <w:b w:val="1"/>
                <w:bCs w:val="1"/>
                <w:color w:val="auto"/>
                <w:w w:val="89"/>
              </w:rPr>
              <w:t>$</w:t>
            </w:r>
          </w:p>
        </w:tc>
        <w:tc>
          <w:tcPr>
            <w:tcW w:w="2000" w:type="dxa"/>
            <w:vAlign w:val="bottom"/>
          </w:tcPr>
          <w:p>
            <w:pPr>
              <w:jc w:val="center"/>
              <w:ind w:right="120"/>
              <w:spacing w:after="0"/>
              <w:rPr>
                <w:sz w:val="20"/>
                <w:szCs w:val="20"/>
                <w:color w:val="auto"/>
              </w:rPr>
            </w:pPr>
            <w:r>
              <w:rPr>
                <w:rFonts w:ascii="Arial" w:cs="Arial" w:eastAsia="Arial" w:hAnsi="Arial"/>
                <w:sz w:val="12"/>
                <w:szCs w:val="12"/>
                <w:b w:val="1"/>
                <w:bCs w:val="1"/>
                <w:color w:val="auto"/>
                <w:w w:val="89"/>
              </w:rPr>
              <w:t>86,865,026</w:t>
            </w:r>
          </w:p>
        </w:tc>
      </w:tr>
      <w:tr>
        <w:trPr>
          <w:trHeight w:val="153"/>
        </w:trPr>
        <w:tc>
          <w:tcPr>
            <w:tcW w:w="3220" w:type="dxa"/>
            <w:vAlign w:val="bottom"/>
            <w:gridSpan w:val="2"/>
            <w:shd w:val="clear" w:color="auto" w:fill="B7E5FF"/>
          </w:tcPr>
          <w:p>
            <w:pPr>
              <w:spacing w:after="0"/>
              <w:rPr>
                <w:sz w:val="20"/>
                <w:szCs w:val="20"/>
                <w:color w:val="auto"/>
              </w:rPr>
            </w:pPr>
            <w:r>
              <w:rPr>
                <w:rFonts w:ascii="Arial" w:cs="Arial" w:eastAsia="Arial" w:hAnsi="Arial"/>
                <w:sz w:val="12"/>
                <w:szCs w:val="12"/>
                <w:b w:val="1"/>
                <w:bCs w:val="1"/>
                <w:color w:val="auto"/>
              </w:rPr>
              <w:t>June 1 - June 30</w:t>
            </w:r>
          </w:p>
        </w:tc>
        <w:tc>
          <w:tcPr>
            <w:tcW w:w="1500" w:type="dxa"/>
            <w:vAlign w:val="bottom"/>
            <w:shd w:val="clear" w:color="auto" w:fill="B7E5FF"/>
          </w:tcPr>
          <w:p>
            <w:pPr>
              <w:jc w:val="center"/>
              <w:spacing w:after="0"/>
              <w:rPr>
                <w:sz w:val="20"/>
                <w:szCs w:val="20"/>
                <w:color w:val="auto"/>
              </w:rPr>
            </w:pPr>
            <w:r>
              <w:rPr>
                <w:rFonts w:ascii="Arial" w:cs="Arial" w:eastAsia="Arial" w:hAnsi="Arial"/>
                <w:sz w:val="12"/>
                <w:szCs w:val="12"/>
                <w:b w:val="1"/>
                <w:bCs w:val="1"/>
                <w:color w:val="auto"/>
                <w:w w:val="89"/>
              </w:rPr>
              <w:t>252</w:t>
            </w:r>
          </w:p>
        </w:tc>
        <w:tc>
          <w:tcPr>
            <w:tcW w:w="220" w:type="dxa"/>
            <w:vAlign w:val="bottom"/>
            <w:shd w:val="clear" w:color="auto" w:fill="B7E5FF"/>
          </w:tcPr>
          <w:p>
            <w:pPr>
              <w:spacing w:after="0"/>
              <w:rPr>
                <w:sz w:val="13"/>
                <w:szCs w:val="13"/>
                <w:color w:val="auto"/>
              </w:rPr>
            </w:pPr>
          </w:p>
        </w:tc>
        <w:tc>
          <w:tcPr>
            <w:tcW w:w="360" w:type="dxa"/>
            <w:vAlign w:val="bottom"/>
            <w:shd w:val="clear" w:color="auto" w:fill="B7E5FF"/>
          </w:tcPr>
          <w:p>
            <w:pPr>
              <w:jc w:val="right"/>
              <w:ind w:right="220"/>
              <w:spacing w:after="0"/>
              <w:rPr>
                <w:sz w:val="20"/>
                <w:szCs w:val="20"/>
                <w:color w:val="auto"/>
              </w:rPr>
            </w:pPr>
            <w:r>
              <w:rPr>
                <w:rFonts w:ascii="Arial" w:cs="Arial" w:eastAsia="Arial" w:hAnsi="Arial"/>
                <w:sz w:val="12"/>
                <w:szCs w:val="12"/>
                <w:b w:val="1"/>
                <w:bCs w:val="1"/>
                <w:color w:val="auto"/>
                <w:w w:val="89"/>
              </w:rPr>
              <w:t>$</w:t>
            </w:r>
          </w:p>
        </w:tc>
        <w:tc>
          <w:tcPr>
            <w:tcW w:w="1360" w:type="dxa"/>
            <w:vAlign w:val="bottom"/>
            <w:shd w:val="clear" w:color="auto" w:fill="B7E5FF"/>
          </w:tcPr>
          <w:p>
            <w:pPr>
              <w:jc w:val="center"/>
              <w:ind w:right="60"/>
              <w:spacing w:after="0"/>
              <w:rPr>
                <w:sz w:val="20"/>
                <w:szCs w:val="20"/>
                <w:color w:val="auto"/>
              </w:rPr>
            </w:pPr>
            <w:r>
              <w:rPr>
                <w:rFonts w:ascii="Arial" w:cs="Arial" w:eastAsia="Arial" w:hAnsi="Arial"/>
                <w:sz w:val="12"/>
                <w:szCs w:val="12"/>
                <w:b w:val="1"/>
                <w:bCs w:val="1"/>
                <w:color w:val="auto"/>
                <w:w w:val="87"/>
              </w:rPr>
              <w:t>180.86</w:t>
            </w:r>
          </w:p>
        </w:tc>
        <w:tc>
          <w:tcPr>
            <w:tcW w:w="240" w:type="dxa"/>
            <w:vAlign w:val="bottom"/>
            <w:shd w:val="clear" w:color="auto" w:fill="B7E5FF"/>
          </w:tcPr>
          <w:p>
            <w:pPr>
              <w:spacing w:after="0"/>
              <w:rPr>
                <w:sz w:val="13"/>
                <w:szCs w:val="13"/>
                <w:color w:val="auto"/>
              </w:rPr>
            </w:pPr>
          </w:p>
        </w:tc>
        <w:tc>
          <w:tcPr>
            <w:tcW w:w="2160" w:type="dxa"/>
            <w:vAlign w:val="bottom"/>
            <w:gridSpan w:val="2"/>
            <w:shd w:val="clear" w:color="auto" w:fill="B7E5FF"/>
          </w:tcPr>
          <w:p>
            <w:pPr>
              <w:jc w:val="center"/>
              <w:ind w:right="240"/>
              <w:spacing w:after="0"/>
              <w:rPr>
                <w:sz w:val="20"/>
                <w:szCs w:val="20"/>
                <w:color w:val="auto"/>
              </w:rPr>
            </w:pPr>
            <w:r>
              <w:rPr>
                <w:rFonts w:ascii="Arial" w:cs="Arial" w:eastAsia="Arial" w:hAnsi="Arial"/>
                <w:sz w:val="12"/>
                <w:szCs w:val="12"/>
                <w:b w:val="1"/>
                <w:bCs w:val="1"/>
                <w:color w:val="auto"/>
                <w:w w:val="99"/>
              </w:rPr>
              <w:t>—</w:t>
            </w:r>
          </w:p>
        </w:tc>
        <w:tc>
          <w:tcPr>
            <w:tcW w:w="420" w:type="dxa"/>
            <w:vAlign w:val="bottom"/>
            <w:shd w:val="clear" w:color="auto" w:fill="B7E5FF"/>
          </w:tcPr>
          <w:p>
            <w:pPr>
              <w:jc w:val="right"/>
              <w:ind w:right="280"/>
              <w:spacing w:after="0"/>
              <w:rPr>
                <w:sz w:val="20"/>
                <w:szCs w:val="20"/>
                <w:color w:val="auto"/>
              </w:rPr>
            </w:pPr>
            <w:r>
              <w:rPr>
                <w:rFonts w:ascii="Arial" w:cs="Arial" w:eastAsia="Arial" w:hAnsi="Arial"/>
                <w:sz w:val="12"/>
                <w:szCs w:val="12"/>
                <w:b w:val="1"/>
                <w:bCs w:val="1"/>
                <w:color w:val="auto"/>
                <w:w w:val="89"/>
              </w:rPr>
              <w:t>$</w:t>
            </w:r>
          </w:p>
        </w:tc>
        <w:tc>
          <w:tcPr>
            <w:tcW w:w="2000" w:type="dxa"/>
            <w:vAlign w:val="bottom"/>
            <w:shd w:val="clear" w:color="auto" w:fill="B7E5FF"/>
          </w:tcPr>
          <w:p>
            <w:pPr>
              <w:jc w:val="center"/>
              <w:ind w:right="120"/>
              <w:spacing w:after="0"/>
              <w:rPr>
                <w:sz w:val="20"/>
                <w:szCs w:val="20"/>
                <w:color w:val="auto"/>
              </w:rPr>
            </w:pPr>
            <w:r>
              <w:rPr>
                <w:rFonts w:ascii="Arial" w:cs="Arial" w:eastAsia="Arial" w:hAnsi="Arial"/>
                <w:sz w:val="12"/>
                <w:szCs w:val="12"/>
                <w:b w:val="1"/>
                <w:bCs w:val="1"/>
                <w:color w:val="auto"/>
                <w:w w:val="89"/>
              </w:rPr>
              <w:t>86,865,026</w:t>
            </w:r>
          </w:p>
        </w:tc>
      </w:tr>
      <w:tr>
        <w:trPr>
          <w:trHeight w:val="140"/>
        </w:trPr>
        <w:tc>
          <w:tcPr>
            <w:tcW w:w="3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Total</w:t>
            </w:r>
          </w:p>
        </w:tc>
        <w:tc>
          <w:tcPr>
            <w:tcW w:w="1500" w:type="dxa"/>
            <w:vAlign w:val="bottom"/>
            <w:tcBorders>
              <w:top w:val="single" w:sz="8" w:color="auto"/>
              <w:bottom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89"/>
              </w:rPr>
              <w:t>252</w:t>
            </w:r>
          </w:p>
        </w:tc>
        <w:tc>
          <w:tcPr>
            <w:tcW w:w="22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220"/>
              <w:spacing w:after="0" w:line="133" w:lineRule="exact"/>
              <w:rPr>
                <w:sz w:val="20"/>
                <w:szCs w:val="20"/>
                <w:color w:val="auto"/>
              </w:rPr>
            </w:pPr>
            <w:r>
              <w:rPr>
                <w:rFonts w:ascii="Arial" w:cs="Arial" w:eastAsia="Arial" w:hAnsi="Arial"/>
                <w:sz w:val="12"/>
                <w:szCs w:val="12"/>
                <w:b w:val="1"/>
                <w:bCs w:val="1"/>
                <w:color w:val="auto"/>
                <w:w w:val="89"/>
              </w:rPr>
              <w:t>$</w:t>
            </w:r>
          </w:p>
        </w:tc>
        <w:tc>
          <w:tcPr>
            <w:tcW w:w="1360" w:type="dxa"/>
            <w:vAlign w:val="bottom"/>
            <w:tcBorders>
              <w:top w:val="single" w:sz="8" w:color="auto"/>
              <w:bottom w:val="single" w:sz="8" w:color="auto"/>
            </w:tcBorders>
          </w:tcPr>
          <w:p>
            <w:pPr>
              <w:jc w:val="center"/>
              <w:ind w:right="60"/>
              <w:spacing w:after="0" w:line="133" w:lineRule="exact"/>
              <w:rPr>
                <w:sz w:val="20"/>
                <w:szCs w:val="20"/>
                <w:color w:val="auto"/>
              </w:rPr>
            </w:pPr>
            <w:r>
              <w:rPr>
                <w:rFonts w:ascii="Arial" w:cs="Arial" w:eastAsia="Arial" w:hAnsi="Arial"/>
                <w:sz w:val="12"/>
                <w:szCs w:val="12"/>
                <w:b w:val="1"/>
                <w:bCs w:val="1"/>
                <w:color w:val="auto"/>
                <w:w w:val="87"/>
              </w:rPr>
              <w:t>180.86</w:t>
            </w:r>
          </w:p>
        </w:tc>
        <w:tc>
          <w:tcPr>
            <w:tcW w:w="240" w:type="dxa"/>
            <w:vAlign w:val="bottom"/>
          </w:tcPr>
          <w:p>
            <w:pPr>
              <w:spacing w:after="0"/>
              <w:rPr>
                <w:sz w:val="12"/>
                <w:szCs w:val="12"/>
                <w:color w:val="auto"/>
              </w:rPr>
            </w:pPr>
          </w:p>
        </w:tc>
        <w:tc>
          <w:tcPr>
            <w:tcW w:w="1940" w:type="dxa"/>
            <w:vAlign w:val="bottom"/>
            <w:tcBorders>
              <w:top w:val="single" w:sz="8" w:color="auto"/>
              <w:bottom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9"/>
              </w:rPr>
              <w:t>—</w:t>
            </w:r>
          </w:p>
        </w:tc>
        <w:tc>
          <w:tcPr>
            <w:tcW w:w="22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280"/>
              <w:spacing w:after="0" w:line="133" w:lineRule="exact"/>
              <w:rPr>
                <w:sz w:val="20"/>
                <w:szCs w:val="20"/>
                <w:color w:val="auto"/>
              </w:rPr>
            </w:pPr>
            <w:r>
              <w:rPr>
                <w:rFonts w:ascii="Arial" w:cs="Arial" w:eastAsia="Arial" w:hAnsi="Arial"/>
                <w:sz w:val="12"/>
                <w:szCs w:val="12"/>
                <w:b w:val="1"/>
                <w:bCs w:val="1"/>
                <w:color w:val="auto"/>
                <w:w w:val="89"/>
              </w:rPr>
              <w:t>$</w:t>
            </w:r>
          </w:p>
        </w:tc>
        <w:tc>
          <w:tcPr>
            <w:tcW w:w="2000" w:type="dxa"/>
            <w:vAlign w:val="bottom"/>
            <w:tcBorders>
              <w:top w:val="single" w:sz="8" w:color="auto"/>
              <w:bottom w:val="single" w:sz="8" w:color="auto"/>
            </w:tcBorders>
          </w:tcPr>
          <w:p>
            <w:pPr>
              <w:jc w:val="center"/>
              <w:ind w:right="120"/>
              <w:spacing w:after="0" w:line="133" w:lineRule="exact"/>
              <w:rPr>
                <w:sz w:val="20"/>
                <w:szCs w:val="20"/>
                <w:color w:val="auto"/>
              </w:rPr>
            </w:pPr>
            <w:r>
              <w:rPr>
                <w:rFonts w:ascii="Arial" w:cs="Arial" w:eastAsia="Arial" w:hAnsi="Arial"/>
                <w:sz w:val="12"/>
                <w:szCs w:val="12"/>
                <w:b w:val="1"/>
                <w:bCs w:val="1"/>
                <w:color w:val="auto"/>
                <w:w w:val="89"/>
              </w:rPr>
              <w:t>86,865,026</w:t>
            </w:r>
          </w:p>
        </w:tc>
      </w:tr>
    </w:tbl>
    <w:p>
      <w:pPr>
        <w:spacing w:after="0" w:line="153" w:lineRule="exact"/>
        <w:rPr>
          <w:sz w:val="20"/>
          <w:szCs w:val="20"/>
          <w:color w:val="auto"/>
        </w:rPr>
      </w:pPr>
    </w:p>
    <w:p>
      <w:pPr>
        <w:ind w:left="640" w:right="220" w:hanging="432"/>
        <w:spacing w:after="0" w:line="276" w:lineRule="auto"/>
        <w:tabs>
          <w:tab w:leader="none" w:pos="424" w:val="left"/>
        </w:tabs>
        <w:numPr>
          <w:ilvl w:val="0"/>
          <w:numId w:val="7"/>
        </w:numPr>
        <w:rPr>
          <w:rFonts w:ascii="Arial" w:cs="Arial" w:eastAsia="Arial" w:hAnsi="Arial"/>
          <w:sz w:val="12"/>
          <w:szCs w:val="12"/>
          <w:color w:val="auto"/>
        </w:rPr>
      </w:pPr>
      <w:r>
        <w:rPr>
          <w:rFonts w:ascii="Arial" w:cs="Arial" w:eastAsia="Arial" w:hAnsi="Arial"/>
          <w:sz w:val="12"/>
          <w:szCs w:val="12"/>
          <w:color w:val="auto"/>
        </w:rPr>
        <w:t>All of these shares were acquired from employees upon their surrender of Quaker Chemical Corporation shares in payment of the exercise price of employee stock options exercised or for the payment of taxes upon exercise of employee stock options or the vesting of restricted stock.</w:t>
      </w:r>
    </w:p>
    <w:p>
      <w:pPr>
        <w:spacing w:after="0" w:line="42" w:lineRule="exact"/>
        <w:rPr>
          <w:rFonts w:ascii="Arial" w:cs="Arial" w:eastAsia="Arial" w:hAnsi="Arial"/>
          <w:sz w:val="12"/>
          <w:szCs w:val="12"/>
          <w:color w:val="auto"/>
        </w:rPr>
      </w:pPr>
    </w:p>
    <w:p>
      <w:pPr>
        <w:ind w:left="640" w:right="120" w:hanging="432"/>
        <w:spacing w:after="0" w:line="276" w:lineRule="auto"/>
        <w:tabs>
          <w:tab w:leader="none" w:pos="424"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price paid for shares acquired from employees pursuant to employee benefit and share-based compensation plans is, in each case, based on the closing price of the Company’s common stock on the date of exercise or vesting as specified by the plan pursuant to which the applicable option or restricted stock was granted.</w:t>
      </w:r>
    </w:p>
    <w:p>
      <w:pPr>
        <w:spacing w:after="0" w:line="42" w:lineRule="exact"/>
        <w:rPr>
          <w:rFonts w:ascii="Arial" w:cs="Arial" w:eastAsia="Arial" w:hAnsi="Arial"/>
          <w:sz w:val="12"/>
          <w:szCs w:val="12"/>
          <w:color w:val="auto"/>
        </w:rPr>
      </w:pPr>
    </w:p>
    <w:p>
      <w:pPr>
        <w:ind w:left="640" w:right="160" w:hanging="432"/>
        <w:spacing w:after="0" w:line="263" w:lineRule="auto"/>
        <w:tabs>
          <w:tab w:leader="none" w:pos="424" w:val="left"/>
        </w:tabs>
        <w:numPr>
          <w:ilvl w:val="0"/>
          <w:numId w:val="7"/>
        </w:numPr>
        <w:rPr>
          <w:rFonts w:ascii="Arial" w:cs="Arial" w:eastAsia="Arial" w:hAnsi="Arial"/>
          <w:sz w:val="12"/>
          <w:szCs w:val="12"/>
          <w:color w:val="auto"/>
        </w:rPr>
      </w:pPr>
      <w:r>
        <w:rPr>
          <w:rFonts w:ascii="Arial" w:cs="Arial" w:eastAsia="Arial" w:hAnsi="Arial"/>
          <w:sz w:val="12"/>
          <w:szCs w:val="12"/>
          <w:color w:val="auto"/>
        </w:rPr>
        <w:t>On May 6, 2015, the Board of Directors of the Company approved, and the Company announced, a new share repurchase program pursuant to which the Company is authorized to repurchase up to $100,000,000 of Quaker Chemical Corporation common stock (the “2015 Share Repurchase Program”). The 2015 Share Repurchase Program, which replaced the Company’s other share repurchase plans then in effect, has no expiration date. There were no shares acquired by the Company pursuant to the 2015 Share Repurchase Program during the quarter ended June 30, 2019.</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37" w:name="page38"/>
    <w:bookmarkEnd w:id="37"/>
    <w:p>
      <w:pPr>
        <w:spacing w:after="0"/>
        <w:rPr>
          <w:sz w:val="20"/>
          <w:szCs w:val="20"/>
          <w:color w:val="auto"/>
        </w:rPr>
      </w:pPr>
      <w:r>
        <w:rPr>
          <w:rFonts w:ascii="Arial" w:cs="Arial" w:eastAsia="Arial" w:hAnsi="Arial"/>
          <w:sz w:val="12"/>
          <w:szCs w:val="12"/>
          <w:b w:val="1"/>
          <w:bCs w:val="1"/>
          <w:color w:val="auto"/>
        </w:rPr>
        <w:t>Item 6. Exhibits.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(a) 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spacing w:after="0"/>
              <w:rPr>
                <w:sz w:val="20"/>
                <w:szCs w:val="20"/>
                <w:color w:val="auto"/>
              </w:rPr>
            </w:pPr>
            <w:r>
              <w:rPr>
                <w:rFonts w:ascii="Arial" w:cs="Arial" w:eastAsia="Arial" w:hAnsi="Arial"/>
                <w:sz w:val="12"/>
                <w:szCs w:val="12"/>
                <w:color w:val="auto"/>
              </w:rPr>
              <w:t>31.1</w:t>
            </w:r>
          </w:p>
        </w:tc>
        <w:tc>
          <w:tcPr>
            <w:tcW w:w="600" w:type="dxa"/>
            <w:vAlign w:val="bottom"/>
          </w:tcPr>
          <w:p>
            <w:pPr>
              <w:ind w:left="240"/>
              <w:spacing w:after="0"/>
              <w:rPr>
                <w:sz w:val="20"/>
                <w:szCs w:val="20"/>
                <w:color w:val="auto"/>
              </w:rPr>
            </w:pPr>
            <w:r>
              <w:rPr>
                <w:rFonts w:ascii="Arial" w:cs="Arial" w:eastAsia="Arial" w:hAnsi="Arial"/>
                <w:sz w:val="12"/>
                <w:szCs w:val="12"/>
                <w:color w:val="auto"/>
              </w:rPr>
              <w:t>–</w:t>
            </w:r>
          </w:p>
        </w:tc>
        <w:tc>
          <w:tcPr>
            <w:tcW w:w="5920" w:type="dxa"/>
            <w:vAlign w:val="bottom"/>
            <w:gridSpan w:val="4"/>
          </w:tcPr>
          <w:p>
            <w:pPr>
              <w:spacing w:after="0"/>
              <w:rPr>
                <w:rFonts w:ascii="Arial" w:cs="Arial" w:eastAsia="Arial" w:hAnsi="Arial"/>
                <w:sz w:val="12"/>
                <w:szCs w:val="12"/>
                <w:color w:val="0000FF"/>
                <w:w w:val="91"/>
              </w:rPr>
            </w:pPr>
            <w:hyperlink w:anchor="page39">
              <w:r>
                <w:rPr>
                  <w:rFonts w:ascii="Arial" w:cs="Arial" w:eastAsia="Arial" w:hAnsi="Arial"/>
                  <w:sz w:val="12"/>
                  <w:szCs w:val="12"/>
                  <w:color w:val="0000FF"/>
                  <w:w w:val="91"/>
                </w:rPr>
                <w:t>Certification of Chief Executive Officer of the Company pursuant to Rule 13a-14(a) of the Securities Exchange Act of 1934</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0" w:type="dxa"/>
            <w:vAlign w:val="bottom"/>
          </w:tcPr>
          <w:p>
            <w:pPr>
              <w:spacing w:after="0"/>
              <w:rPr>
                <w:sz w:val="20"/>
                <w:szCs w:val="20"/>
                <w:color w:val="auto"/>
              </w:rPr>
            </w:pPr>
            <w:r>
              <w:rPr>
                <w:rFonts w:ascii="Arial" w:cs="Arial" w:eastAsia="Arial" w:hAnsi="Arial"/>
                <w:sz w:val="12"/>
                <w:szCs w:val="12"/>
                <w:color w:val="auto"/>
              </w:rPr>
              <w:t>31.2</w:t>
            </w:r>
          </w:p>
        </w:tc>
        <w:tc>
          <w:tcPr>
            <w:tcW w:w="600" w:type="dxa"/>
            <w:vAlign w:val="bottom"/>
          </w:tcPr>
          <w:p>
            <w:pPr>
              <w:ind w:left="240"/>
              <w:spacing w:after="0"/>
              <w:rPr>
                <w:sz w:val="20"/>
                <w:szCs w:val="20"/>
                <w:color w:val="auto"/>
              </w:rPr>
            </w:pPr>
            <w:r>
              <w:rPr>
                <w:rFonts w:ascii="Arial" w:cs="Arial" w:eastAsia="Arial" w:hAnsi="Arial"/>
                <w:sz w:val="12"/>
                <w:szCs w:val="12"/>
                <w:color w:val="auto"/>
              </w:rPr>
              <w:t>–</w:t>
            </w:r>
          </w:p>
        </w:tc>
        <w:tc>
          <w:tcPr>
            <w:tcW w:w="5920" w:type="dxa"/>
            <w:vAlign w:val="bottom"/>
            <w:gridSpan w:val="4"/>
          </w:tcPr>
          <w:p>
            <w:pPr>
              <w:spacing w:after="0"/>
              <w:rPr>
                <w:rFonts w:ascii="Arial" w:cs="Arial" w:eastAsia="Arial" w:hAnsi="Arial"/>
                <w:sz w:val="12"/>
                <w:szCs w:val="12"/>
                <w:color w:val="0000FF"/>
                <w:w w:val="91"/>
              </w:rPr>
            </w:pPr>
            <w:hyperlink w:anchor="page40">
              <w:r>
                <w:rPr>
                  <w:rFonts w:ascii="Arial" w:cs="Arial" w:eastAsia="Arial" w:hAnsi="Arial"/>
                  <w:sz w:val="12"/>
                  <w:szCs w:val="12"/>
                  <w:color w:val="0000FF"/>
                  <w:w w:val="91"/>
                </w:rPr>
                <w:t>Certification of Chief Financial Officer of the Company pursuant to Rule 13a-14(a) of the Securities Exchange Act of 1934</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20"/>
                <w:szCs w:val="20"/>
                <w:color w:val="auto"/>
              </w:rPr>
            </w:pPr>
            <w:r>
              <w:rPr>
                <w:rFonts w:ascii="Arial" w:cs="Arial" w:eastAsia="Arial" w:hAnsi="Arial"/>
                <w:sz w:val="12"/>
                <w:szCs w:val="12"/>
                <w:color w:val="auto"/>
              </w:rPr>
              <w:t>32.1</w:t>
            </w:r>
          </w:p>
        </w:tc>
        <w:tc>
          <w:tcPr>
            <w:tcW w:w="6520" w:type="dxa"/>
            <w:vAlign w:val="bottom"/>
            <w:gridSpan w:val="5"/>
          </w:tcPr>
          <w:p>
            <w:pPr>
              <w:ind w:left="320"/>
              <w:spacing w:after="0"/>
              <w:rPr>
                <w:rFonts w:ascii="Arial" w:cs="Arial" w:eastAsia="Arial" w:hAnsi="Arial"/>
                <w:sz w:val="12"/>
                <w:szCs w:val="12"/>
                <w:color w:val="auto"/>
              </w:rPr>
            </w:pPr>
            <w:r>
              <w:rPr>
                <w:rFonts w:ascii="Arial" w:cs="Arial" w:eastAsia="Arial" w:hAnsi="Arial"/>
                <w:sz w:val="12"/>
                <w:szCs w:val="12"/>
                <w:color w:val="auto"/>
              </w:rPr>
              <w:t xml:space="preserve">–   </w:t>
            </w:r>
            <w:hyperlink w:anchor="page41">
              <w:r>
                <w:rPr>
                  <w:rFonts w:ascii="Arial" w:cs="Arial" w:eastAsia="Arial" w:hAnsi="Arial"/>
                  <w:sz w:val="12"/>
                  <w:szCs w:val="12"/>
                  <w:color w:val="0000FF"/>
                </w:rPr>
                <w:t>Certification of Chief Executive Officer of the Company Pursuant to 18 U.S. C. Section 1350</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50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20"/>
                <w:szCs w:val="20"/>
                <w:color w:val="auto"/>
              </w:rPr>
            </w:pPr>
            <w:r>
              <w:rPr>
                <w:rFonts w:ascii="Arial" w:cs="Arial" w:eastAsia="Arial" w:hAnsi="Arial"/>
                <w:sz w:val="12"/>
                <w:szCs w:val="12"/>
                <w:color w:val="auto"/>
              </w:rPr>
              <w:t>32.2</w:t>
            </w:r>
          </w:p>
        </w:tc>
        <w:tc>
          <w:tcPr>
            <w:tcW w:w="6520" w:type="dxa"/>
            <w:vAlign w:val="bottom"/>
            <w:gridSpan w:val="5"/>
          </w:tcPr>
          <w:p>
            <w:pPr>
              <w:ind w:left="320"/>
              <w:spacing w:after="0"/>
              <w:rPr>
                <w:rFonts w:ascii="Arial" w:cs="Arial" w:eastAsia="Arial" w:hAnsi="Arial"/>
                <w:sz w:val="12"/>
                <w:szCs w:val="12"/>
                <w:color w:val="auto"/>
              </w:rPr>
            </w:pPr>
            <w:r>
              <w:rPr>
                <w:rFonts w:ascii="Arial" w:cs="Arial" w:eastAsia="Arial" w:hAnsi="Arial"/>
                <w:sz w:val="12"/>
                <w:szCs w:val="12"/>
                <w:color w:val="auto"/>
              </w:rPr>
              <w:t xml:space="preserve">–   </w:t>
            </w:r>
            <w:hyperlink w:anchor="page42">
              <w:r>
                <w:rPr>
                  <w:rFonts w:ascii="Arial" w:cs="Arial" w:eastAsia="Arial" w:hAnsi="Arial"/>
                  <w:sz w:val="12"/>
                  <w:szCs w:val="12"/>
                  <w:color w:val="0000FF"/>
                </w:rPr>
                <w:t>Certification of Chief Financial Officer of the Company Pursuant to 18 U.S. C. Section 1350</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tcPr>
          <w:p>
            <w:pPr>
              <w:spacing w:after="0"/>
              <w:rPr>
                <w:sz w:val="20"/>
                <w:szCs w:val="20"/>
                <w:color w:val="auto"/>
              </w:rPr>
            </w:pPr>
            <w:r>
              <w:rPr>
                <w:rFonts w:ascii="Arial" w:cs="Arial" w:eastAsia="Arial" w:hAnsi="Arial"/>
                <w:sz w:val="12"/>
                <w:szCs w:val="12"/>
                <w:color w:val="auto"/>
              </w:rPr>
              <w:t>3.1</w:t>
            </w:r>
          </w:p>
        </w:tc>
        <w:tc>
          <w:tcPr>
            <w:tcW w:w="6520" w:type="dxa"/>
            <w:vAlign w:val="bottom"/>
            <w:gridSpan w:val="5"/>
          </w:tcPr>
          <w:p>
            <w:pPr>
              <w:ind w:left="320"/>
              <w:spacing w:after="0"/>
              <w:rPr>
                <w:rFonts w:ascii="Arial" w:cs="Arial" w:eastAsia="Arial" w:hAnsi="Arial"/>
                <w:sz w:val="12"/>
                <w:szCs w:val="12"/>
                <w:color w:val="auto"/>
              </w:rPr>
            </w:pPr>
            <w:r>
              <w:rPr>
                <w:rFonts w:ascii="Arial" w:cs="Arial" w:eastAsia="Arial" w:hAnsi="Arial"/>
                <w:sz w:val="12"/>
                <w:szCs w:val="12"/>
                <w:color w:val="auto"/>
              </w:rPr>
              <w:t xml:space="preserve">–   </w:t>
            </w:r>
            <w:hyperlink w:anchor="page43">
              <w:r>
                <w:rPr>
                  <w:rFonts w:ascii="Arial" w:cs="Arial" w:eastAsia="Arial" w:hAnsi="Arial"/>
                  <w:sz w:val="12"/>
                  <w:szCs w:val="12"/>
                  <w:color w:val="0000FF"/>
                </w:rPr>
                <w:t>Articles of Incorporation (as amended through July 24, 2019)</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00" w:type="dxa"/>
            <w:vAlign w:val="bottom"/>
          </w:tcPr>
          <w:p>
            <w:pPr>
              <w:spacing w:after="0"/>
              <w:rPr>
                <w:sz w:val="20"/>
                <w:szCs w:val="20"/>
                <w:color w:val="auto"/>
              </w:rPr>
            </w:pPr>
            <w:r>
              <w:rPr>
                <w:rFonts w:ascii="Arial" w:cs="Arial" w:eastAsia="Arial" w:hAnsi="Arial"/>
                <w:sz w:val="12"/>
                <w:szCs w:val="12"/>
                <w:color w:val="auto"/>
              </w:rPr>
              <w:t>101.INS</w:t>
            </w:r>
          </w:p>
        </w:tc>
        <w:tc>
          <w:tcPr>
            <w:tcW w:w="600" w:type="dxa"/>
            <w:vAlign w:val="bottom"/>
          </w:tcPr>
          <w:p>
            <w:pPr>
              <w:ind w:left="320"/>
              <w:spacing w:after="0"/>
              <w:rPr>
                <w:sz w:val="20"/>
                <w:szCs w:val="20"/>
                <w:color w:val="auto"/>
              </w:rPr>
            </w:pPr>
            <w:r>
              <w:rPr>
                <w:rFonts w:ascii="Arial" w:cs="Arial" w:eastAsia="Arial" w:hAnsi="Arial"/>
                <w:sz w:val="12"/>
                <w:szCs w:val="12"/>
                <w:color w:val="auto"/>
              </w:rPr>
              <w:t>–</w:t>
            </w:r>
          </w:p>
        </w:tc>
        <w:tc>
          <w:tcPr>
            <w:tcW w:w="5920" w:type="dxa"/>
            <w:vAlign w:val="bottom"/>
            <w:gridSpan w:val="4"/>
          </w:tcPr>
          <w:p>
            <w:pPr>
              <w:spacing w:after="0"/>
              <w:rPr>
                <w:sz w:val="20"/>
                <w:szCs w:val="20"/>
                <w:color w:val="auto"/>
              </w:rPr>
            </w:pPr>
            <w:r>
              <w:rPr>
                <w:rFonts w:ascii="Arial" w:cs="Arial" w:eastAsia="Arial" w:hAnsi="Arial"/>
                <w:sz w:val="12"/>
                <w:szCs w:val="12"/>
                <w:color w:val="auto"/>
              </w:rPr>
              <w:t>XBRL Instance Document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2"/>
                <w:szCs w:val="12"/>
                <w:color w:val="auto"/>
              </w:rPr>
              <w:t>101.SCH</w:t>
            </w:r>
          </w:p>
        </w:tc>
        <w:tc>
          <w:tcPr>
            <w:tcW w:w="6520" w:type="dxa"/>
            <w:vAlign w:val="bottom"/>
            <w:gridSpan w:val="5"/>
          </w:tcPr>
          <w:p>
            <w:pPr>
              <w:ind w:left="320"/>
              <w:spacing w:after="0"/>
              <w:rPr>
                <w:sz w:val="20"/>
                <w:szCs w:val="20"/>
                <w:color w:val="auto"/>
              </w:rPr>
            </w:pPr>
            <w:r>
              <w:rPr>
                <w:rFonts w:ascii="Arial" w:cs="Arial" w:eastAsia="Arial" w:hAnsi="Arial"/>
                <w:sz w:val="12"/>
                <w:szCs w:val="12"/>
                <w:color w:val="auto"/>
              </w:rPr>
              <w:t>–   XBRL Extension Schema Document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2"/>
                <w:szCs w:val="12"/>
                <w:color w:val="auto"/>
              </w:rPr>
              <w:t>101.CAL</w:t>
            </w:r>
          </w:p>
        </w:tc>
        <w:tc>
          <w:tcPr>
            <w:tcW w:w="6520" w:type="dxa"/>
            <w:vAlign w:val="bottom"/>
            <w:gridSpan w:val="5"/>
          </w:tcPr>
          <w:p>
            <w:pPr>
              <w:ind w:left="320"/>
              <w:spacing w:after="0"/>
              <w:rPr>
                <w:sz w:val="20"/>
                <w:szCs w:val="20"/>
                <w:color w:val="auto"/>
              </w:rPr>
            </w:pPr>
            <w:r>
              <w:rPr>
                <w:rFonts w:ascii="Arial" w:cs="Arial" w:eastAsia="Arial" w:hAnsi="Arial"/>
                <w:sz w:val="12"/>
                <w:szCs w:val="12"/>
                <w:color w:val="auto"/>
              </w:rPr>
              <w:t>–   XBRL Calculation Linkbase Document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2"/>
                <w:szCs w:val="12"/>
                <w:color w:val="auto"/>
              </w:rPr>
              <w:t>101.DEF</w:t>
            </w:r>
          </w:p>
        </w:tc>
        <w:tc>
          <w:tcPr>
            <w:tcW w:w="6520" w:type="dxa"/>
            <w:vAlign w:val="bottom"/>
            <w:gridSpan w:val="5"/>
          </w:tcPr>
          <w:p>
            <w:pPr>
              <w:ind w:left="320"/>
              <w:spacing w:after="0"/>
              <w:rPr>
                <w:sz w:val="20"/>
                <w:szCs w:val="20"/>
                <w:color w:val="auto"/>
              </w:rPr>
            </w:pPr>
            <w:r>
              <w:rPr>
                <w:rFonts w:ascii="Arial" w:cs="Arial" w:eastAsia="Arial" w:hAnsi="Arial"/>
                <w:sz w:val="12"/>
                <w:szCs w:val="12"/>
                <w:color w:val="auto"/>
              </w:rPr>
              <w:t>–   XBRL Definition Linkbase Document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2"/>
                <w:szCs w:val="12"/>
                <w:color w:val="auto"/>
              </w:rPr>
              <w:t>101.LAB</w:t>
            </w:r>
          </w:p>
        </w:tc>
        <w:tc>
          <w:tcPr>
            <w:tcW w:w="6520" w:type="dxa"/>
            <w:vAlign w:val="bottom"/>
            <w:gridSpan w:val="5"/>
          </w:tcPr>
          <w:p>
            <w:pPr>
              <w:ind w:left="320"/>
              <w:spacing w:after="0"/>
              <w:rPr>
                <w:sz w:val="20"/>
                <w:szCs w:val="20"/>
                <w:color w:val="auto"/>
              </w:rPr>
            </w:pPr>
            <w:r>
              <w:rPr>
                <w:rFonts w:ascii="Arial" w:cs="Arial" w:eastAsia="Arial" w:hAnsi="Arial"/>
                <w:sz w:val="12"/>
                <w:szCs w:val="12"/>
                <w:color w:val="auto"/>
              </w:rPr>
              <w:t>–   XBRL Label Linkbase Document</w:t>
            </w:r>
          </w:p>
        </w:tc>
        <w:tc>
          <w:tcPr>
            <w:tcW w:w="0" w:type="dxa"/>
            <w:vAlign w:val="bottom"/>
          </w:tcPr>
          <w:p>
            <w:pPr>
              <w:spacing w:after="0"/>
              <w:rPr>
                <w:sz w:val="1"/>
                <w:szCs w:val="1"/>
                <w:color w:val="auto"/>
              </w:rPr>
            </w:pPr>
          </w:p>
        </w:tc>
      </w:tr>
      <w:tr>
        <w:trPr>
          <w:trHeight w:val="180"/>
        </w:trPr>
        <w:tc>
          <w:tcPr>
            <w:tcW w:w="700" w:type="dxa"/>
            <w:vAlign w:val="bottom"/>
            <w:vMerge w:val="restart"/>
          </w:tcPr>
          <w:p>
            <w:pPr>
              <w:spacing w:after="0"/>
              <w:rPr>
                <w:sz w:val="20"/>
                <w:szCs w:val="20"/>
                <w:color w:val="auto"/>
              </w:rPr>
            </w:pPr>
            <w:r>
              <w:rPr>
                <w:rFonts w:ascii="Arial" w:cs="Arial" w:eastAsia="Arial" w:hAnsi="Arial"/>
                <w:sz w:val="12"/>
                <w:szCs w:val="12"/>
                <w:color w:val="auto"/>
              </w:rPr>
              <w:t>101.PRE</w:t>
            </w:r>
          </w:p>
        </w:tc>
        <w:tc>
          <w:tcPr>
            <w:tcW w:w="600" w:type="dxa"/>
            <w:vAlign w:val="bottom"/>
            <w:vMerge w:val="restart"/>
          </w:tcPr>
          <w:p>
            <w:pPr>
              <w:ind w:left="320"/>
              <w:spacing w:after="0"/>
              <w:rPr>
                <w:sz w:val="20"/>
                <w:szCs w:val="20"/>
                <w:color w:val="auto"/>
              </w:rPr>
            </w:pPr>
            <w:r>
              <w:rPr>
                <w:rFonts w:ascii="Arial" w:cs="Arial" w:eastAsia="Arial" w:hAnsi="Arial"/>
                <w:sz w:val="12"/>
                <w:szCs w:val="12"/>
                <w:color w:val="auto"/>
              </w:rPr>
              <w:t>–</w:t>
            </w:r>
          </w:p>
        </w:tc>
        <w:tc>
          <w:tcPr>
            <w:tcW w:w="5920" w:type="dxa"/>
            <w:vAlign w:val="bottom"/>
            <w:gridSpan w:val="4"/>
          </w:tcPr>
          <w:p>
            <w:pPr>
              <w:spacing w:after="0"/>
              <w:rPr>
                <w:sz w:val="20"/>
                <w:szCs w:val="20"/>
                <w:color w:val="auto"/>
              </w:rPr>
            </w:pPr>
            <w:r>
              <w:rPr>
                <w:rFonts w:ascii="Arial" w:cs="Arial" w:eastAsia="Arial" w:hAnsi="Arial"/>
                <w:sz w:val="12"/>
                <w:szCs w:val="12"/>
                <w:color w:val="auto"/>
              </w:rPr>
              <w:t>XBRL Presentation Linkbase Document</w:t>
            </w:r>
          </w:p>
        </w:tc>
        <w:tc>
          <w:tcPr>
            <w:tcW w:w="0" w:type="dxa"/>
            <w:vAlign w:val="bottom"/>
          </w:tcPr>
          <w:p>
            <w:pPr>
              <w:spacing w:after="0"/>
              <w:rPr>
                <w:sz w:val="1"/>
                <w:szCs w:val="1"/>
                <w:color w:val="auto"/>
              </w:rPr>
            </w:pPr>
          </w:p>
        </w:tc>
      </w:tr>
      <w:tr>
        <w:trPr>
          <w:trHeight w:val="144"/>
        </w:trPr>
        <w:tc>
          <w:tcPr>
            <w:tcW w:w="70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9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3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5400" w:type="dxa"/>
            <w:vAlign w:val="bottom"/>
          </w:tcPr>
          <w:p>
            <w:pPr>
              <w:spacing w:after="0"/>
              <w:rPr>
                <w:sz w:val="20"/>
                <w:szCs w:val="20"/>
                <w:color w:val="auto"/>
              </w:rPr>
            </w:pPr>
            <w:r>
              <w:rPr>
                <w:rFonts w:ascii="Arial" w:cs="Arial" w:eastAsia="Arial" w:hAnsi="Arial"/>
                <w:sz w:val="12"/>
                <w:szCs w:val="12"/>
                <w:color w:val="auto"/>
              </w:rPr>
              <w:t>QUAKER CHEMICAL CORPORATION</w:t>
            </w:r>
          </w:p>
        </w:tc>
        <w:tc>
          <w:tcPr>
            <w:tcW w:w="0" w:type="dxa"/>
            <w:vAlign w:val="bottom"/>
          </w:tcPr>
          <w:p>
            <w:pPr>
              <w:spacing w:after="0"/>
              <w:rPr>
                <w:sz w:val="1"/>
                <w:szCs w:val="1"/>
                <w:color w:val="auto"/>
              </w:rPr>
            </w:pPr>
          </w:p>
        </w:tc>
      </w:tr>
      <w:tr>
        <w:trPr>
          <w:trHeight w:val="153"/>
        </w:trPr>
        <w:tc>
          <w:tcPr>
            <w:tcW w:w="334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5400" w:type="dxa"/>
            <w:vAlign w:val="bottom"/>
          </w:tcPr>
          <w:p>
            <w:pPr>
              <w:spacing w:after="0"/>
              <w:rPr>
                <w:sz w:val="20"/>
                <w:szCs w:val="20"/>
                <w:color w:val="auto"/>
              </w:rPr>
            </w:pPr>
            <w:r>
              <w:rPr>
                <w:rFonts w:ascii="Arial" w:cs="Arial" w:eastAsia="Arial" w:hAnsi="Arial"/>
                <w:sz w:val="12"/>
                <w:szCs w:val="12"/>
                <w:color w:val="auto"/>
              </w:rPr>
              <w:t>(Registrant)</w:t>
            </w:r>
          </w:p>
        </w:tc>
        <w:tc>
          <w:tcPr>
            <w:tcW w:w="0" w:type="dxa"/>
            <w:vAlign w:val="bottom"/>
          </w:tcPr>
          <w:p>
            <w:pPr>
              <w:spacing w:after="0"/>
              <w:rPr>
                <w:sz w:val="1"/>
                <w:szCs w:val="1"/>
                <w:color w:val="auto"/>
              </w:rPr>
            </w:pPr>
          </w:p>
        </w:tc>
      </w:tr>
      <w:tr>
        <w:trPr>
          <w:trHeight w:val="333"/>
        </w:trPr>
        <w:tc>
          <w:tcPr>
            <w:tcW w:w="33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Mary Dean Hall</w:t>
            </w:r>
          </w:p>
        </w:tc>
        <w:tc>
          <w:tcPr>
            <w:tcW w:w="0" w:type="dxa"/>
            <w:vAlign w:val="bottom"/>
          </w:tcPr>
          <w:p>
            <w:pPr>
              <w:spacing w:after="0"/>
              <w:rPr>
                <w:sz w:val="1"/>
                <w:szCs w:val="1"/>
                <w:color w:val="auto"/>
              </w:rPr>
            </w:pPr>
          </w:p>
        </w:tc>
      </w:tr>
      <w:tr>
        <w:trPr>
          <w:trHeight w:val="264"/>
        </w:trPr>
        <w:tc>
          <w:tcPr>
            <w:tcW w:w="3340" w:type="dxa"/>
            <w:vAlign w:val="bottom"/>
            <w:vMerge w:val="restart"/>
          </w:tcPr>
          <w:p>
            <w:pPr>
              <w:spacing w:after="0"/>
              <w:rPr>
                <w:sz w:val="20"/>
                <w:szCs w:val="20"/>
                <w:color w:val="auto"/>
              </w:rPr>
            </w:pPr>
            <w:r>
              <w:rPr>
                <w:rFonts w:ascii="Arial" w:cs="Arial" w:eastAsia="Arial" w:hAnsi="Arial"/>
                <w:sz w:val="12"/>
                <w:szCs w:val="12"/>
                <w:color w:val="auto"/>
              </w:rPr>
              <w:t>Date: August 1, 2019</w:t>
            </w:r>
          </w:p>
        </w:tc>
        <w:tc>
          <w:tcPr>
            <w:tcW w:w="2740" w:type="dxa"/>
            <w:vAlign w:val="bottom"/>
          </w:tcPr>
          <w:p>
            <w:pPr>
              <w:spacing w:after="0"/>
              <w:rPr>
                <w:sz w:val="22"/>
                <w:szCs w:val="22"/>
                <w:color w:val="auto"/>
              </w:rPr>
            </w:pPr>
          </w:p>
        </w:tc>
        <w:tc>
          <w:tcPr>
            <w:tcW w:w="5400" w:type="dxa"/>
            <w:vAlign w:val="bottom"/>
          </w:tcPr>
          <w:p>
            <w:pPr>
              <w:spacing w:after="0"/>
              <w:rPr>
                <w:sz w:val="20"/>
                <w:szCs w:val="20"/>
                <w:color w:val="auto"/>
              </w:rPr>
            </w:pPr>
            <w:r>
              <w:rPr>
                <w:rFonts w:ascii="Arial" w:cs="Arial" w:eastAsia="Arial" w:hAnsi="Arial"/>
                <w:sz w:val="12"/>
                <w:szCs w:val="12"/>
                <w:b w:val="1"/>
                <w:bCs w:val="1"/>
                <w:color w:val="auto"/>
                <w:w w:val="94"/>
              </w:rPr>
              <w:t>Mary Dean Hall, Senior Vice President, Chief Financial Officer and Treasurer (officer duly authorized</w:t>
            </w:r>
          </w:p>
        </w:tc>
        <w:tc>
          <w:tcPr>
            <w:tcW w:w="0" w:type="dxa"/>
            <w:vAlign w:val="bottom"/>
          </w:tcPr>
          <w:p>
            <w:pPr>
              <w:spacing w:after="0"/>
              <w:rPr>
                <w:sz w:val="1"/>
                <w:szCs w:val="1"/>
                <w:color w:val="auto"/>
              </w:rPr>
            </w:pPr>
          </w:p>
        </w:tc>
      </w:tr>
      <w:tr>
        <w:trPr>
          <w:trHeight w:val="85"/>
        </w:trPr>
        <w:tc>
          <w:tcPr>
            <w:tcW w:w="3340" w:type="dxa"/>
            <w:vAlign w:val="bottom"/>
            <w:vMerge w:val="continue"/>
          </w:tcPr>
          <w:p>
            <w:pPr>
              <w:spacing w:after="0"/>
              <w:rPr>
                <w:sz w:val="7"/>
                <w:szCs w:val="7"/>
                <w:color w:val="auto"/>
              </w:rPr>
            </w:pPr>
          </w:p>
        </w:tc>
        <w:tc>
          <w:tcPr>
            <w:tcW w:w="2740" w:type="dxa"/>
            <w:vAlign w:val="bottom"/>
          </w:tcPr>
          <w:p>
            <w:pPr>
              <w:spacing w:after="0"/>
              <w:rPr>
                <w:sz w:val="7"/>
                <w:szCs w:val="7"/>
                <w:color w:val="auto"/>
              </w:rPr>
            </w:pPr>
          </w:p>
        </w:tc>
        <w:tc>
          <w:tcPr>
            <w:tcW w:w="5400" w:type="dxa"/>
            <w:vAlign w:val="bottom"/>
            <w:vMerge w:val="restart"/>
          </w:tcPr>
          <w:p>
            <w:pPr>
              <w:spacing w:after="0"/>
              <w:rPr>
                <w:sz w:val="20"/>
                <w:szCs w:val="20"/>
                <w:color w:val="auto"/>
              </w:rPr>
            </w:pPr>
            <w:r>
              <w:rPr>
                <w:rFonts w:ascii="Arial" w:cs="Arial" w:eastAsia="Arial" w:hAnsi="Arial"/>
                <w:sz w:val="12"/>
                <w:szCs w:val="12"/>
                <w:b w:val="1"/>
                <w:bCs w:val="1"/>
                <w:color w:val="auto"/>
              </w:rPr>
              <w:t>on behalf of, and principal financial officer of, the Registrant)</w:t>
            </w:r>
          </w:p>
        </w:tc>
        <w:tc>
          <w:tcPr>
            <w:tcW w:w="0" w:type="dxa"/>
            <w:vAlign w:val="bottom"/>
          </w:tcPr>
          <w:p>
            <w:pPr>
              <w:spacing w:after="0"/>
              <w:rPr>
                <w:sz w:val="1"/>
                <w:szCs w:val="1"/>
                <w:color w:val="auto"/>
              </w:rPr>
            </w:pPr>
          </w:p>
        </w:tc>
      </w:tr>
      <w:tr>
        <w:trPr>
          <w:trHeight w:val="72"/>
        </w:trPr>
        <w:tc>
          <w:tcPr>
            <w:tcW w:w="3340" w:type="dxa"/>
            <w:vAlign w:val="bottom"/>
          </w:tcPr>
          <w:p>
            <w:pPr>
              <w:spacing w:after="0"/>
              <w:rPr>
                <w:sz w:val="6"/>
                <w:szCs w:val="6"/>
                <w:color w:val="auto"/>
              </w:rPr>
            </w:pPr>
          </w:p>
        </w:tc>
        <w:tc>
          <w:tcPr>
            <w:tcW w:w="2740" w:type="dxa"/>
            <w:vAlign w:val="bottom"/>
          </w:tcPr>
          <w:p>
            <w:pPr>
              <w:spacing w:after="0"/>
              <w:rPr>
                <w:sz w:val="6"/>
                <w:szCs w:val="6"/>
                <w:color w:val="auto"/>
              </w:rPr>
            </w:pPr>
          </w:p>
        </w:tc>
        <w:tc>
          <w:tcPr>
            <w:tcW w:w="5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32"/>
        </w:trPr>
        <w:tc>
          <w:tcPr>
            <w:tcW w:w="3340" w:type="dxa"/>
            <w:vAlign w:val="bottom"/>
          </w:tcPr>
          <w:p>
            <w:pPr>
              <w:spacing w:after="0"/>
              <w:rPr>
                <w:sz w:val="24"/>
                <w:szCs w:val="24"/>
                <w:color w:val="auto"/>
              </w:rPr>
            </w:pPr>
          </w:p>
        </w:tc>
        <w:tc>
          <w:tcPr>
            <w:tcW w:w="2740" w:type="dxa"/>
            <w:vAlign w:val="bottom"/>
          </w:tcPr>
          <w:p>
            <w:pPr>
              <w:jc w:val="right"/>
              <w:ind w:right="220"/>
              <w:spacing w:after="0"/>
              <w:rPr>
                <w:sz w:val="20"/>
                <w:szCs w:val="20"/>
                <w:color w:val="auto"/>
              </w:rPr>
            </w:pPr>
            <w:r>
              <w:rPr>
                <w:rFonts w:ascii="Arial" w:cs="Arial" w:eastAsia="Arial" w:hAnsi="Arial"/>
                <w:sz w:val="12"/>
                <w:szCs w:val="12"/>
                <w:color w:val="auto"/>
              </w:rPr>
              <w:t>37</w:t>
            </w: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271" w:right="199" w:bottom="1440" w:gutter="0" w:footer="0" w:header="0"/>
        </w:sectPr>
      </w:pPr>
    </w:p>
    <w:bookmarkStart w:id="38" w:name="page39"/>
    <w:bookmarkEnd w:id="38"/>
    <w:p>
      <w:pPr>
        <w:ind w:left="8"/>
        <w:spacing w:after="0"/>
        <w:rPr>
          <w:sz w:val="20"/>
          <w:szCs w:val="20"/>
          <w:color w:val="auto"/>
        </w:rPr>
      </w:pPr>
      <w:r>
        <w:rPr>
          <w:rFonts w:ascii="Arial" w:cs="Arial" w:eastAsia="Arial" w:hAnsi="Arial"/>
          <w:sz w:val="12"/>
          <w:szCs w:val="12"/>
          <w:color w:val="808080"/>
        </w:rPr>
        <w:t>Click here to enter text.</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EXHIBIT 31.1</w:t>
      </w:r>
    </w:p>
    <w:p>
      <w:pPr>
        <w:spacing w:after="0" w:line="281" w:lineRule="exact"/>
        <w:rPr>
          <w:sz w:val="20"/>
          <w:szCs w:val="20"/>
          <w:color w:val="auto"/>
        </w:rPr>
      </w:pPr>
    </w:p>
    <w:p>
      <w:pPr>
        <w:ind w:left="1508"/>
        <w:spacing w:after="0"/>
        <w:rPr>
          <w:sz w:val="20"/>
          <w:szCs w:val="20"/>
          <w:color w:val="auto"/>
        </w:rPr>
      </w:pPr>
      <w:r>
        <w:rPr>
          <w:rFonts w:ascii="Arial" w:cs="Arial" w:eastAsia="Arial" w:hAnsi="Arial"/>
          <w:sz w:val="12"/>
          <w:szCs w:val="12"/>
          <w:b w:val="1"/>
          <w:bCs w:val="1"/>
          <w:color w:val="auto"/>
        </w:rPr>
        <w:t>CERTIFICATION OF CHIEF EXECUTIVE OFFICER OF THE COMPANY PURSUANT TO RULE 13a-14(a) OF THE SECURITIES EXCHANGE ACT OF 1934</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I, Michael F. Barry, certify that:</w:t>
      </w:r>
    </w:p>
    <w:p>
      <w:pPr>
        <w:spacing w:after="0" w:line="150" w:lineRule="exact"/>
        <w:rPr>
          <w:sz w:val="20"/>
          <w:szCs w:val="20"/>
          <w:color w:val="auto"/>
        </w:rPr>
      </w:pPr>
    </w:p>
    <w:p>
      <w:pPr>
        <w:ind w:left="468" w:hanging="468"/>
        <w:spacing w:after="0"/>
        <w:tabs>
          <w:tab w:leader="none" w:pos="468" w:val="left"/>
        </w:tabs>
        <w:numPr>
          <w:ilvl w:val="0"/>
          <w:numId w:val="8"/>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Quaker Chemical Corporation;</w:t>
      </w:r>
    </w:p>
    <w:p>
      <w:pPr>
        <w:spacing w:after="0" w:line="186" w:lineRule="exact"/>
        <w:rPr>
          <w:rFonts w:ascii="Arial" w:cs="Arial" w:eastAsia="Arial" w:hAnsi="Arial"/>
          <w:sz w:val="12"/>
          <w:szCs w:val="12"/>
          <w:color w:val="auto"/>
        </w:rPr>
      </w:pPr>
    </w:p>
    <w:p>
      <w:pPr>
        <w:ind w:left="468" w:right="120" w:hanging="468"/>
        <w:spacing w:after="0" w:line="276" w:lineRule="auto"/>
        <w:tabs>
          <w:tab w:leader="none" w:pos="468" w:val="left"/>
        </w:tabs>
        <w:numPr>
          <w:ilvl w:val="0"/>
          <w:numId w:val="8"/>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2"/>
          <w:szCs w:val="12"/>
          <w:color w:val="auto"/>
        </w:rPr>
      </w:pPr>
    </w:p>
    <w:p>
      <w:pPr>
        <w:ind w:left="468" w:right="20" w:hanging="468"/>
        <w:spacing w:after="0" w:line="276" w:lineRule="auto"/>
        <w:tabs>
          <w:tab w:leader="none" w:pos="468" w:val="left"/>
        </w:tabs>
        <w:numPr>
          <w:ilvl w:val="0"/>
          <w:numId w:val="8"/>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0" w:lineRule="exact"/>
        <w:rPr>
          <w:rFonts w:ascii="Arial" w:cs="Arial" w:eastAsia="Arial" w:hAnsi="Arial"/>
          <w:sz w:val="12"/>
          <w:szCs w:val="12"/>
          <w:color w:val="auto"/>
        </w:rPr>
      </w:pPr>
    </w:p>
    <w:p>
      <w:pPr>
        <w:ind w:left="468" w:right="260" w:hanging="468"/>
        <w:spacing w:after="0" w:line="276" w:lineRule="auto"/>
        <w:tabs>
          <w:tab w:leader="none" w:pos="468"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5" w:lineRule="exact"/>
        <w:rPr>
          <w:rFonts w:ascii="Arial" w:cs="Arial" w:eastAsia="Arial" w:hAnsi="Arial"/>
          <w:sz w:val="12"/>
          <w:szCs w:val="12"/>
          <w:color w:val="auto"/>
        </w:rPr>
      </w:pPr>
    </w:p>
    <w:p>
      <w:pPr>
        <w:ind w:left="1488" w:right="400" w:hanging="560"/>
        <w:spacing w:after="0" w:line="323" w:lineRule="auto"/>
        <w:tabs>
          <w:tab w:leader="none" w:pos="1488" w:val="left"/>
        </w:tabs>
        <w:numPr>
          <w:ilvl w:val="1"/>
          <w:numId w:val="8"/>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3" w:lineRule="exact"/>
        <w:rPr>
          <w:rFonts w:ascii="Arial" w:cs="Arial" w:eastAsia="Arial" w:hAnsi="Arial"/>
          <w:sz w:val="11"/>
          <w:szCs w:val="11"/>
          <w:color w:val="auto"/>
        </w:rPr>
      </w:pPr>
    </w:p>
    <w:p>
      <w:pPr>
        <w:ind w:left="1488" w:right="100" w:hanging="560"/>
        <w:spacing w:after="0" w:line="276" w:lineRule="auto"/>
        <w:tabs>
          <w:tab w:leader="none" w:pos="1488" w:val="left"/>
        </w:tabs>
        <w:numPr>
          <w:ilvl w:val="1"/>
          <w:numId w:val="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5" w:lineRule="exact"/>
        <w:rPr>
          <w:rFonts w:ascii="Arial" w:cs="Arial" w:eastAsia="Arial" w:hAnsi="Arial"/>
          <w:sz w:val="12"/>
          <w:szCs w:val="12"/>
          <w:color w:val="auto"/>
        </w:rPr>
      </w:pPr>
    </w:p>
    <w:p>
      <w:pPr>
        <w:ind w:left="1488" w:right="60" w:hanging="560"/>
        <w:spacing w:after="0" w:line="276" w:lineRule="auto"/>
        <w:tabs>
          <w:tab w:leader="none" w:pos="1488" w:val="left"/>
        </w:tabs>
        <w:numPr>
          <w:ilvl w:val="1"/>
          <w:numId w:val="8"/>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1" w:lineRule="exact"/>
        <w:rPr>
          <w:rFonts w:ascii="Arial" w:cs="Arial" w:eastAsia="Arial" w:hAnsi="Arial"/>
          <w:sz w:val="12"/>
          <w:szCs w:val="12"/>
          <w:color w:val="auto"/>
        </w:rPr>
      </w:pPr>
    </w:p>
    <w:p>
      <w:pPr>
        <w:ind w:left="1488" w:right="80" w:hanging="560"/>
        <w:spacing w:after="0" w:line="276" w:lineRule="auto"/>
        <w:tabs>
          <w:tab w:leader="none" w:pos="1488" w:val="left"/>
        </w:tabs>
        <w:numPr>
          <w:ilvl w:val="1"/>
          <w:numId w:val="8"/>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4" w:lineRule="exact"/>
        <w:rPr>
          <w:rFonts w:ascii="Arial" w:cs="Arial" w:eastAsia="Arial" w:hAnsi="Arial"/>
          <w:sz w:val="12"/>
          <w:szCs w:val="12"/>
          <w:color w:val="auto"/>
        </w:rPr>
      </w:pPr>
    </w:p>
    <w:p>
      <w:pPr>
        <w:ind w:left="468" w:right="60" w:hanging="468"/>
        <w:spacing w:after="0" w:line="276" w:lineRule="auto"/>
        <w:tabs>
          <w:tab w:leader="none" w:pos="468"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0" w:lineRule="exact"/>
        <w:rPr>
          <w:rFonts w:ascii="Arial" w:cs="Arial" w:eastAsia="Arial" w:hAnsi="Arial"/>
          <w:sz w:val="12"/>
          <w:szCs w:val="12"/>
          <w:color w:val="auto"/>
        </w:rPr>
      </w:pPr>
    </w:p>
    <w:p>
      <w:pPr>
        <w:ind w:left="1488" w:right="340" w:hanging="560"/>
        <w:spacing w:after="0" w:line="276" w:lineRule="auto"/>
        <w:tabs>
          <w:tab w:leader="none" w:pos="1488" w:val="left"/>
        </w:tabs>
        <w:numPr>
          <w:ilvl w:val="1"/>
          <w:numId w:val="8"/>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8" w:lineRule="exact"/>
        <w:rPr>
          <w:rFonts w:ascii="Arial" w:cs="Arial" w:eastAsia="Arial" w:hAnsi="Arial"/>
          <w:sz w:val="12"/>
          <w:szCs w:val="12"/>
          <w:color w:val="auto"/>
        </w:rPr>
      </w:pPr>
    </w:p>
    <w:p>
      <w:pPr>
        <w:ind w:left="1488" w:hanging="560"/>
        <w:spacing w:after="0"/>
        <w:tabs>
          <w:tab w:leader="none" w:pos="1488" w:val="left"/>
        </w:tabs>
        <w:numPr>
          <w:ilvl w:val="1"/>
          <w:numId w:val="8"/>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76" w:lineRule="exact"/>
        <w:rPr>
          <w:sz w:val="20"/>
          <w:szCs w:val="20"/>
          <w:color w:val="auto"/>
        </w:rPr>
      </w:pPr>
    </w:p>
    <w:p>
      <w:pPr>
        <w:ind w:left="268"/>
        <w:spacing w:after="0"/>
        <w:rPr>
          <w:sz w:val="20"/>
          <w:szCs w:val="20"/>
          <w:color w:val="auto"/>
        </w:rPr>
      </w:pPr>
      <w:r>
        <w:rPr>
          <w:rFonts w:ascii="Arial" w:cs="Arial" w:eastAsia="Arial" w:hAnsi="Arial"/>
          <w:sz w:val="12"/>
          <w:szCs w:val="12"/>
          <w:color w:val="auto"/>
        </w:rPr>
        <w:t>Date: August 1, 2019</w:t>
      </w:r>
    </w:p>
    <w:p>
      <w:pPr>
        <w:spacing w:after="0" w:line="294" w:lineRule="exact"/>
        <w:rPr>
          <w:sz w:val="20"/>
          <w:szCs w:val="20"/>
          <w:color w:val="auto"/>
        </w:rPr>
      </w:pPr>
    </w:p>
    <w:p>
      <w:pPr>
        <w:ind w:left="4328"/>
        <w:spacing w:after="0"/>
        <w:rPr>
          <w:sz w:val="20"/>
          <w:szCs w:val="20"/>
          <w:color w:val="auto"/>
        </w:rPr>
      </w:pPr>
      <w:r>
        <w:rPr>
          <w:rFonts w:ascii="Arial" w:cs="Arial" w:eastAsia="Arial" w:hAnsi="Arial"/>
          <w:sz w:val="12"/>
          <w:szCs w:val="12"/>
          <w:color w:val="auto"/>
        </w:rPr>
        <w:t>/s/ Michael F.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9525</wp:posOffset>
            </wp:positionV>
            <wp:extent cx="458787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587875" cy="5715"/>
                    </a:xfrm>
                    <a:prstGeom prst="rect">
                      <a:avLst/>
                    </a:prstGeom>
                    <a:noFill/>
                  </pic:spPr>
                </pic:pic>
              </a:graphicData>
            </a:graphic>
          </wp:anchor>
        </w:drawing>
      </w:r>
    </w:p>
    <w:p>
      <w:pPr>
        <w:ind w:left="4328"/>
        <w:spacing w:after="0"/>
        <w:rPr>
          <w:sz w:val="20"/>
          <w:szCs w:val="20"/>
          <w:color w:val="auto"/>
        </w:rPr>
      </w:pPr>
      <w:r>
        <w:rPr>
          <w:rFonts w:ascii="Arial" w:cs="Arial" w:eastAsia="Arial" w:hAnsi="Arial"/>
          <w:sz w:val="12"/>
          <w:szCs w:val="12"/>
          <w:color w:val="auto"/>
        </w:rPr>
        <w:t>Michael F. Barry</w:t>
      </w:r>
    </w:p>
    <w:p>
      <w:pPr>
        <w:spacing w:after="0" w:line="15" w:lineRule="exact"/>
        <w:rPr>
          <w:sz w:val="20"/>
          <w:szCs w:val="20"/>
          <w:color w:val="auto"/>
        </w:rPr>
      </w:pPr>
    </w:p>
    <w:p>
      <w:pPr>
        <w:ind w:left="4328"/>
        <w:spacing w:after="0"/>
        <w:rPr>
          <w:sz w:val="20"/>
          <w:szCs w:val="20"/>
          <w:color w:val="auto"/>
        </w:rPr>
      </w:pPr>
      <w:r>
        <w:rPr>
          <w:rFonts w:ascii="Arial" w:cs="Arial" w:eastAsia="Arial" w:hAnsi="Arial"/>
          <w:sz w:val="12"/>
          <w:szCs w:val="12"/>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143510</wp:posOffset>
            </wp:positionV>
            <wp:extent cx="7310755" cy="18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8"/>
          </w:cols>
          <w:pgMar w:left="212" w:top="149" w:right="199" w:bottom="1440" w:gutter="0" w:footer="0" w:header="0"/>
        </w:sectPr>
      </w:pPr>
    </w:p>
    <w:bookmarkStart w:id="39" w:name="page40"/>
    <w:bookmarkEnd w:id="39"/>
    <w:p>
      <w:pPr>
        <w:ind w:left="8"/>
        <w:spacing w:after="0"/>
        <w:rPr>
          <w:sz w:val="20"/>
          <w:szCs w:val="20"/>
          <w:color w:val="auto"/>
        </w:rPr>
      </w:pPr>
      <w:r>
        <w:rPr>
          <w:rFonts w:ascii="Arial" w:cs="Arial" w:eastAsia="Arial" w:hAnsi="Arial"/>
          <w:sz w:val="12"/>
          <w:szCs w:val="12"/>
          <w:color w:val="808080"/>
        </w:rPr>
        <w:t>Click here to enter text.</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EXHIBIT 31.2</w:t>
      </w:r>
    </w:p>
    <w:p>
      <w:pPr>
        <w:spacing w:after="0" w:line="28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OF CHIEF FINANCIAL OFFICER OF THE COMPANY PURSUANT TO RULE 13a-14(a) OF THE SECURITIES EXCHANGE ACT OF 1934</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I, Mary Dean Hall, certify that:</w:t>
      </w:r>
    </w:p>
    <w:p>
      <w:pPr>
        <w:spacing w:after="0" w:line="150" w:lineRule="exact"/>
        <w:rPr>
          <w:sz w:val="20"/>
          <w:szCs w:val="20"/>
          <w:color w:val="auto"/>
        </w:rPr>
      </w:pPr>
    </w:p>
    <w:p>
      <w:pPr>
        <w:ind w:left="468" w:hanging="468"/>
        <w:spacing w:after="0"/>
        <w:tabs>
          <w:tab w:leader="none" w:pos="468" w:val="left"/>
        </w:tabs>
        <w:numPr>
          <w:ilvl w:val="0"/>
          <w:numId w:val="9"/>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Quaker Chemical Corporation;</w:t>
      </w:r>
    </w:p>
    <w:p>
      <w:pPr>
        <w:spacing w:after="0" w:line="186" w:lineRule="exact"/>
        <w:rPr>
          <w:rFonts w:ascii="Arial" w:cs="Arial" w:eastAsia="Arial" w:hAnsi="Arial"/>
          <w:sz w:val="12"/>
          <w:szCs w:val="12"/>
          <w:color w:val="auto"/>
        </w:rPr>
      </w:pPr>
    </w:p>
    <w:p>
      <w:pPr>
        <w:ind w:left="468" w:right="120" w:hanging="468"/>
        <w:spacing w:after="0" w:line="276" w:lineRule="auto"/>
        <w:tabs>
          <w:tab w:leader="none" w:pos="468" w:val="left"/>
        </w:tabs>
        <w:numPr>
          <w:ilvl w:val="0"/>
          <w:numId w:val="9"/>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2"/>
          <w:szCs w:val="12"/>
          <w:color w:val="auto"/>
        </w:rPr>
      </w:pPr>
    </w:p>
    <w:p>
      <w:pPr>
        <w:ind w:left="468" w:right="20" w:hanging="468"/>
        <w:spacing w:after="0" w:line="276" w:lineRule="auto"/>
        <w:tabs>
          <w:tab w:leader="none" w:pos="468" w:val="left"/>
        </w:tabs>
        <w:numPr>
          <w:ilvl w:val="0"/>
          <w:numId w:val="9"/>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0" w:lineRule="exact"/>
        <w:rPr>
          <w:rFonts w:ascii="Arial" w:cs="Arial" w:eastAsia="Arial" w:hAnsi="Arial"/>
          <w:sz w:val="12"/>
          <w:szCs w:val="12"/>
          <w:color w:val="auto"/>
        </w:rPr>
      </w:pPr>
    </w:p>
    <w:p>
      <w:pPr>
        <w:ind w:left="468" w:right="260" w:hanging="468"/>
        <w:spacing w:after="0" w:line="276" w:lineRule="auto"/>
        <w:tabs>
          <w:tab w:leader="none" w:pos="468"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5" w:lineRule="exact"/>
        <w:rPr>
          <w:rFonts w:ascii="Arial" w:cs="Arial" w:eastAsia="Arial" w:hAnsi="Arial"/>
          <w:sz w:val="12"/>
          <w:szCs w:val="12"/>
          <w:color w:val="auto"/>
        </w:rPr>
      </w:pPr>
    </w:p>
    <w:p>
      <w:pPr>
        <w:ind w:left="1488" w:right="400" w:hanging="560"/>
        <w:spacing w:after="0" w:line="323" w:lineRule="auto"/>
        <w:tabs>
          <w:tab w:leader="none" w:pos="1488" w:val="left"/>
        </w:tabs>
        <w:numPr>
          <w:ilvl w:val="1"/>
          <w:numId w:val="9"/>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3" w:lineRule="exact"/>
        <w:rPr>
          <w:rFonts w:ascii="Arial" w:cs="Arial" w:eastAsia="Arial" w:hAnsi="Arial"/>
          <w:sz w:val="11"/>
          <w:szCs w:val="11"/>
          <w:color w:val="auto"/>
        </w:rPr>
      </w:pPr>
    </w:p>
    <w:p>
      <w:pPr>
        <w:ind w:left="1488" w:right="100" w:hanging="560"/>
        <w:spacing w:after="0" w:line="276" w:lineRule="auto"/>
        <w:tabs>
          <w:tab w:leader="none" w:pos="1488" w:val="left"/>
        </w:tabs>
        <w:numPr>
          <w:ilvl w:val="1"/>
          <w:numId w:val="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5" w:lineRule="exact"/>
        <w:rPr>
          <w:rFonts w:ascii="Arial" w:cs="Arial" w:eastAsia="Arial" w:hAnsi="Arial"/>
          <w:sz w:val="12"/>
          <w:szCs w:val="12"/>
          <w:color w:val="auto"/>
        </w:rPr>
      </w:pPr>
    </w:p>
    <w:p>
      <w:pPr>
        <w:ind w:left="1488" w:right="60" w:hanging="560"/>
        <w:spacing w:after="0" w:line="276" w:lineRule="auto"/>
        <w:tabs>
          <w:tab w:leader="none" w:pos="1488" w:val="left"/>
        </w:tabs>
        <w:numPr>
          <w:ilvl w:val="1"/>
          <w:numId w:val="9"/>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1" w:lineRule="exact"/>
        <w:rPr>
          <w:rFonts w:ascii="Arial" w:cs="Arial" w:eastAsia="Arial" w:hAnsi="Arial"/>
          <w:sz w:val="12"/>
          <w:szCs w:val="12"/>
          <w:color w:val="auto"/>
        </w:rPr>
      </w:pPr>
    </w:p>
    <w:p>
      <w:pPr>
        <w:ind w:left="1488" w:right="80" w:hanging="560"/>
        <w:spacing w:after="0" w:line="276" w:lineRule="auto"/>
        <w:tabs>
          <w:tab w:leader="none" w:pos="1488" w:val="left"/>
        </w:tabs>
        <w:numPr>
          <w:ilvl w:val="1"/>
          <w:numId w:val="9"/>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4" w:lineRule="exact"/>
        <w:rPr>
          <w:rFonts w:ascii="Arial" w:cs="Arial" w:eastAsia="Arial" w:hAnsi="Arial"/>
          <w:sz w:val="12"/>
          <w:szCs w:val="12"/>
          <w:color w:val="auto"/>
        </w:rPr>
      </w:pPr>
    </w:p>
    <w:p>
      <w:pPr>
        <w:ind w:left="468" w:right="60" w:hanging="468"/>
        <w:spacing w:after="0" w:line="276" w:lineRule="auto"/>
        <w:tabs>
          <w:tab w:leader="none" w:pos="468"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0" w:lineRule="exact"/>
        <w:rPr>
          <w:rFonts w:ascii="Arial" w:cs="Arial" w:eastAsia="Arial" w:hAnsi="Arial"/>
          <w:sz w:val="12"/>
          <w:szCs w:val="12"/>
          <w:color w:val="auto"/>
        </w:rPr>
      </w:pPr>
    </w:p>
    <w:p>
      <w:pPr>
        <w:ind w:left="1488" w:right="340" w:hanging="560"/>
        <w:spacing w:after="0" w:line="276" w:lineRule="auto"/>
        <w:tabs>
          <w:tab w:leader="none" w:pos="1488" w:val="left"/>
        </w:tabs>
        <w:numPr>
          <w:ilvl w:val="1"/>
          <w:numId w:val="9"/>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8" w:lineRule="exact"/>
        <w:rPr>
          <w:rFonts w:ascii="Arial" w:cs="Arial" w:eastAsia="Arial" w:hAnsi="Arial"/>
          <w:sz w:val="12"/>
          <w:szCs w:val="12"/>
          <w:color w:val="auto"/>
        </w:rPr>
      </w:pPr>
    </w:p>
    <w:p>
      <w:pPr>
        <w:ind w:left="1488" w:hanging="560"/>
        <w:spacing w:after="0"/>
        <w:tabs>
          <w:tab w:leader="none" w:pos="1488" w:val="left"/>
        </w:tabs>
        <w:numPr>
          <w:ilvl w:val="1"/>
          <w:numId w:val="9"/>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76" w:lineRule="exact"/>
        <w:rPr>
          <w:sz w:val="20"/>
          <w:szCs w:val="20"/>
          <w:color w:val="auto"/>
        </w:rPr>
      </w:pPr>
    </w:p>
    <w:p>
      <w:pPr>
        <w:ind w:left="268"/>
        <w:spacing w:after="0"/>
        <w:rPr>
          <w:sz w:val="20"/>
          <w:szCs w:val="20"/>
          <w:color w:val="auto"/>
        </w:rPr>
      </w:pPr>
      <w:r>
        <w:rPr>
          <w:rFonts w:ascii="Arial" w:cs="Arial" w:eastAsia="Arial" w:hAnsi="Arial"/>
          <w:sz w:val="12"/>
          <w:szCs w:val="12"/>
          <w:color w:val="auto"/>
        </w:rPr>
        <w:t>Date: August 1, 2019</w:t>
      </w:r>
    </w:p>
    <w:p>
      <w:pPr>
        <w:spacing w:after="0" w:line="294" w:lineRule="exact"/>
        <w:rPr>
          <w:sz w:val="20"/>
          <w:szCs w:val="20"/>
          <w:color w:val="auto"/>
        </w:rPr>
      </w:pPr>
    </w:p>
    <w:p>
      <w:pPr>
        <w:ind w:left="4328"/>
        <w:spacing w:after="0"/>
        <w:rPr>
          <w:sz w:val="20"/>
          <w:szCs w:val="20"/>
          <w:color w:val="auto"/>
        </w:rPr>
      </w:pPr>
      <w:r>
        <w:rPr>
          <w:rFonts w:ascii="Arial" w:cs="Arial" w:eastAsia="Arial" w:hAnsi="Arial"/>
          <w:sz w:val="12"/>
          <w:szCs w:val="12"/>
          <w:color w:val="auto"/>
        </w:rPr>
        <w:t>/s/ Mary Dean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9525</wp:posOffset>
            </wp:positionV>
            <wp:extent cx="458787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587875" cy="5715"/>
                    </a:xfrm>
                    <a:prstGeom prst="rect">
                      <a:avLst/>
                    </a:prstGeom>
                    <a:noFill/>
                  </pic:spPr>
                </pic:pic>
              </a:graphicData>
            </a:graphic>
          </wp:anchor>
        </w:drawing>
      </w:r>
    </w:p>
    <w:p>
      <w:pPr>
        <w:ind w:left="4328"/>
        <w:spacing w:after="0"/>
        <w:rPr>
          <w:sz w:val="20"/>
          <w:szCs w:val="20"/>
          <w:color w:val="auto"/>
        </w:rPr>
      </w:pPr>
      <w:r>
        <w:rPr>
          <w:rFonts w:ascii="Arial" w:cs="Arial" w:eastAsia="Arial" w:hAnsi="Arial"/>
          <w:sz w:val="12"/>
          <w:szCs w:val="12"/>
          <w:color w:val="auto"/>
        </w:rPr>
        <w:t>Mary Dean Hall</w:t>
      </w:r>
    </w:p>
    <w:p>
      <w:pPr>
        <w:spacing w:after="0" w:line="15" w:lineRule="exact"/>
        <w:rPr>
          <w:sz w:val="20"/>
          <w:szCs w:val="20"/>
          <w:color w:val="auto"/>
        </w:rPr>
      </w:pPr>
    </w:p>
    <w:p>
      <w:pPr>
        <w:ind w:left="4328"/>
        <w:spacing w:after="0"/>
        <w:rPr>
          <w:sz w:val="20"/>
          <w:szCs w:val="20"/>
          <w:color w:val="auto"/>
        </w:rPr>
      </w:pPr>
      <w:r>
        <w:rPr>
          <w:rFonts w:ascii="Arial" w:cs="Arial" w:eastAsia="Arial" w:hAnsi="Arial"/>
          <w:sz w:val="12"/>
          <w:szCs w:val="12"/>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143510</wp:posOffset>
            </wp:positionV>
            <wp:extent cx="7310755" cy="18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8"/>
          </w:cols>
          <w:pgMar w:left="212" w:top="149" w:right="199" w:bottom="1440" w:gutter="0" w:footer="0" w:header="0"/>
        </w:sectPr>
      </w:pPr>
    </w:p>
    <w:bookmarkStart w:id="40" w:name="page41"/>
    <w:bookmarkEnd w:id="40"/>
    <w:p>
      <w:pPr>
        <w:spacing w:after="0"/>
        <w:rPr>
          <w:sz w:val="20"/>
          <w:szCs w:val="20"/>
          <w:color w:val="auto"/>
        </w:rPr>
      </w:pPr>
      <w:r>
        <w:rPr>
          <w:rFonts w:ascii="Arial" w:cs="Arial" w:eastAsia="Arial" w:hAnsi="Arial"/>
          <w:sz w:val="12"/>
          <w:szCs w:val="12"/>
          <w:color w:val="808080"/>
        </w:rPr>
        <w:t>Click here to enter text.</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EXHIBIT 32.1</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CERTIFICATION PURSUANT TO 18 U.S.C. SECTION 1350</w:t>
      </w:r>
    </w:p>
    <w:p>
      <w:pPr>
        <w:spacing w:after="0" w:line="154"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The undersigned hereby certifies that the Form 10-Q Quarterly Report of Quaker Chemical Corporation (the “Company”) for the quarterly period ended June 30, 2019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1" w:lineRule="exact"/>
        <w:rPr>
          <w:sz w:val="20"/>
          <w:szCs w:val="20"/>
          <w:color w:val="auto"/>
        </w:rPr>
      </w:pPr>
    </w:p>
    <w:p>
      <w:pPr>
        <w:spacing w:after="0"/>
        <w:tabs>
          <w:tab w:leader="none" w:pos="5840" w:val="left"/>
        </w:tabs>
        <w:rPr>
          <w:sz w:val="20"/>
          <w:szCs w:val="20"/>
          <w:color w:val="auto"/>
        </w:rPr>
      </w:pPr>
      <w:r>
        <w:rPr>
          <w:rFonts w:ascii="Arial" w:cs="Arial" w:eastAsia="Arial" w:hAnsi="Arial"/>
          <w:sz w:val="12"/>
          <w:szCs w:val="12"/>
          <w:color w:val="auto"/>
        </w:rPr>
        <w:t>Dated: August 1, 2019</w:t>
      </w:r>
      <w:r>
        <w:rPr>
          <w:sz w:val="20"/>
          <w:szCs w:val="20"/>
          <w:color w:val="auto"/>
        </w:rPr>
        <w:tab/>
      </w:r>
      <w:r>
        <w:rPr>
          <w:rFonts w:ascii="Arial" w:cs="Arial" w:eastAsia="Arial" w:hAnsi="Arial"/>
          <w:sz w:val="11"/>
          <w:szCs w:val="11"/>
          <w:color w:val="auto"/>
        </w:rPr>
        <w:t>/s/ Michael F.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9525</wp:posOffset>
            </wp:positionV>
            <wp:extent cx="356870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68700" cy="5715"/>
                    </a:xfrm>
                    <a:prstGeom prst="rect">
                      <a:avLst/>
                    </a:prstGeom>
                    <a:noFill/>
                  </pic:spPr>
                </pic:pic>
              </a:graphicData>
            </a:graphic>
          </wp:anchor>
        </w:drawing>
      </w:r>
    </w:p>
    <w:p>
      <w:pPr>
        <w:spacing w:after="0" w:line="4" w:lineRule="exact"/>
        <w:rPr>
          <w:sz w:val="20"/>
          <w:szCs w:val="20"/>
          <w:color w:val="auto"/>
        </w:rPr>
      </w:pPr>
    </w:p>
    <w:p>
      <w:pPr>
        <w:ind w:left="5860"/>
        <w:spacing w:after="0"/>
        <w:rPr>
          <w:sz w:val="20"/>
          <w:szCs w:val="20"/>
          <w:color w:val="auto"/>
        </w:rPr>
      </w:pPr>
      <w:r>
        <w:rPr>
          <w:rFonts w:ascii="Arial" w:cs="Arial" w:eastAsia="Arial" w:hAnsi="Arial"/>
          <w:sz w:val="12"/>
          <w:szCs w:val="12"/>
          <w:color w:val="auto"/>
        </w:rPr>
        <w:t>Michael F. Barry</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2"/>
          <w:szCs w:val="12"/>
          <w:color w:val="auto"/>
        </w:rPr>
        <w:t>Chief Executive Officer of Quaker Chemical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229235</wp:posOffset>
            </wp:positionV>
            <wp:extent cx="7310755" cy="18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0"/>
          </w:cols>
          <w:pgMar w:left="220" w:top="149" w:right="199" w:bottom="1440" w:gutter="0" w:footer="0" w:header="0"/>
        </w:sectPr>
      </w:pPr>
    </w:p>
    <w:bookmarkStart w:id="41" w:name="page42"/>
    <w:bookmarkEnd w:id="41"/>
    <w:p>
      <w:pPr>
        <w:spacing w:after="0"/>
        <w:rPr>
          <w:sz w:val="20"/>
          <w:szCs w:val="20"/>
          <w:color w:val="auto"/>
        </w:rPr>
      </w:pPr>
      <w:r>
        <w:rPr>
          <w:rFonts w:ascii="Arial" w:cs="Arial" w:eastAsia="Arial" w:hAnsi="Arial"/>
          <w:sz w:val="12"/>
          <w:szCs w:val="12"/>
          <w:color w:val="808080"/>
        </w:rPr>
        <w:t>Click here to enter text.</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EXHIBIT 32.2</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CERTIFICATION PURSUANT TO 18 U.S.C. SECTION 1350</w:t>
      </w:r>
    </w:p>
    <w:p>
      <w:pPr>
        <w:spacing w:after="0" w:line="154"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The undersigned hereby certifies that the Form 10-Q Quarterly Report of Quaker Chemical Corporation (the “Company”) for the quarterly period ended June 30, 2019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1" w:lineRule="exact"/>
        <w:rPr>
          <w:sz w:val="20"/>
          <w:szCs w:val="20"/>
          <w:color w:val="auto"/>
        </w:rPr>
      </w:pPr>
    </w:p>
    <w:p>
      <w:pPr>
        <w:spacing w:after="0"/>
        <w:tabs>
          <w:tab w:leader="none" w:pos="5840" w:val="left"/>
        </w:tabs>
        <w:rPr>
          <w:sz w:val="20"/>
          <w:szCs w:val="20"/>
          <w:color w:val="auto"/>
        </w:rPr>
      </w:pPr>
      <w:r>
        <w:rPr>
          <w:rFonts w:ascii="Arial" w:cs="Arial" w:eastAsia="Arial" w:hAnsi="Arial"/>
          <w:sz w:val="12"/>
          <w:szCs w:val="12"/>
          <w:color w:val="auto"/>
        </w:rPr>
        <w:t>Dated: August 1, 2019</w:t>
      </w:r>
      <w:r>
        <w:rPr>
          <w:sz w:val="20"/>
          <w:szCs w:val="20"/>
          <w:color w:val="auto"/>
        </w:rPr>
        <w:tab/>
      </w:r>
      <w:r>
        <w:rPr>
          <w:rFonts w:ascii="Arial" w:cs="Arial" w:eastAsia="Arial" w:hAnsi="Arial"/>
          <w:sz w:val="11"/>
          <w:szCs w:val="11"/>
          <w:color w:val="auto"/>
        </w:rPr>
        <w:t>/s/ Mary Dean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9525</wp:posOffset>
            </wp:positionV>
            <wp:extent cx="356870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68700" cy="5715"/>
                    </a:xfrm>
                    <a:prstGeom prst="rect">
                      <a:avLst/>
                    </a:prstGeom>
                    <a:noFill/>
                  </pic:spPr>
                </pic:pic>
              </a:graphicData>
            </a:graphic>
          </wp:anchor>
        </w:drawing>
      </w:r>
    </w:p>
    <w:p>
      <w:pPr>
        <w:spacing w:after="0" w:line="4" w:lineRule="exact"/>
        <w:rPr>
          <w:sz w:val="20"/>
          <w:szCs w:val="20"/>
          <w:color w:val="auto"/>
        </w:rPr>
      </w:pPr>
    </w:p>
    <w:p>
      <w:pPr>
        <w:ind w:left="5860"/>
        <w:spacing w:after="0"/>
        <w:rPr>
          <w:sz w:val="20"/>
          <w:szCs w:val="20"/>
          <w:color w:val="auto"/>
        </w:rPr>
      </w:pPr>
      <w:r>
        <w:rPr>
          <w:rFonts w:ascii="Arial" w:cs="Arial" w:eastAsia="Arial" w:hAnsi="Arial"/>
          <w:sz w:val="12"/>
          <w:szCs w:val="12"/>
          <w:color w:val="auto"/>
        </w:rPr>
        <w:t>Mary Dean Hall</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2"/>
          <w:szCs w:val="12"/>
          <w:color w:val="auto"/>
        </w:rPr>
        <w:t>Chief Financial Officer of Quaker Chemical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229235</wp:posOffset>
            </wp:positionV>
            <wp:extent cx="7310755" cy="18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0"/>
          </w:cols>
          <w:pgMar w:left="220" w:top="149" w:right="199" w:bottom="1440" w:gutter="0" w:footer="0" w:header="0"/>
        </w:sectPr>
      </w:pPr>
    </w:p>
    <w:bookmarkStart w:id="42" w:name="page43"/>
    <w:bookmarkEnd w:id="42"/>
    <w:p>
      <w:pPr>
        <w:spacing w:after="0"/>
        <w:rPr>
          <w:sz w:val="20"/>
          <w:szCs w:val="20"/>
          <w:color w:val="auto"/>
        </w:rPr>
      </w:pPr>
      <w:r>
        <w:rPr>
          <w:rFonts w:ascii="Arial" w:cs="Arial" w:eastAsia="Arial" w:hAnsi="Arial"/>
          <w:sz w:val="12"/>
          <w:szCs w:val="12"/>
          <w:color w:val="808080"/>
        </w:rPr>
        <w:t>Click here to enter text.</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EXHIBIT 3.1</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QUAKER CHEMICAL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 Pennsylvania Corporation)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AMENDED AND RESTATED ARTICLES OF INCORPORATION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amended through July 24, 2019)</w:t>
      </w:r>
    </w:p>
    <w:p>
      <w:pPr>
        <w:spacing w:after="0" w:line="358" w:lineRule="exact"/>
        <w:rPr>
          <w:sz w:val="20"/>
          <w:szCs w:val="20"/>
          <w:color w:val="auto"/>
        </w:rPr>
      </w:pPr>
    </w:p>
    <w:p>
      <w:pPr>
        <w:ind w:left="760" w:hanging="336"/>
        <w:spacing w:after="0"/>
        <w:tabs>
          <w:tab w:leader="none" w:pos="7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name of the Corporation is: Quaker Chemical Corporation.</w:t>
      </w:r>
    </w:p>
    <w:p>
      <w:pPr>
        <w:spacing w:after="0" w:line="114" w:lineRule="exact"/>
        <w:rPr>
          <w:rFonts w:ascii="Arial" w:cs="Arial" w:eastAsia="Arial" w:hAnsi="Arial"/>
          <w:sz w:val="12"/>
          <w:szCs w:val="12"/>
          <w:color w:val="auto"/>
        </w:rPr>
      </w:pPr>
    </w:p>
    <w:p>
      <w:pPr>
        <w:ind w:left="760" w:hanging="336"/>
        <w:spacing w:after="0"/>
        <w:tabs>
          <w:tab w:leader="none" w:pos="7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location of its registered office in the Commonwealth of Pennsylvania is: One Quaker Park, 901 Hector Street, Conshohocken, PA 19428, Montgomery County.</w:t>
      </w:r>
    </w:p>
    <w:p>
      <w:pPr>
        <w:spacing w:after="0" w:line="114" w:lineRule="exact"/>
        <w:rPr>
          <w:rFonts w:ascii="Arial" w:cs="Arial" w:eastAsia="Arial" w:hAnsi="Arial"/>
          <w:sz w:val="12"/>
          <w:szCs w:val="12"/>
          <w:color w:val="auto"/>
        </w:rPr>
      </w:pPr>
    </w:p>
    <w:p>
      <w:pPr>
        <w:ind w:left="760" w:hanging="336"/>
        <w:spacing w:after="0"/>
        <w:tabs>
          <w:tab w:leader="none" w:pos="7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statute by or under which it was incorporated is: Act of April 29, 1874.</w:t>
      </w:r>
    </w:p>
    <w:p>
      <w:pPr>
        <w:spacing w:after="0" w:line="114" w:lineRule="exact"/>
        <w:rPr>
          <w:sz w:val="20"/>
          <w:szCs w:val="20"/>
          <w:color w:val="auto"/>
        </w:rPr>
      </w:pPr>
    </w:p>
    <w:p>
      <w:pPr>
        <w:ind w:left="420"/>
        <w:spacing w:after="0"/>
        <w:tabs>
          <w:tab w:leader="none" w:pos="740" w:val="left"/>
        </w:tabs>
        <w:rPr>
          <w:sz w:val="20"/>
          <w:szCs w:val="20"/>
          <w:color w:val="auto"/>
        </w:rPr>
      </w:pPr>
      <w:r>
        <w:rPr>
          <w:rFonts w:ascii="Arial" w:cs="Arial" w:eastAsia="Arial" w:hAnsi="Arial"/>
          <w:sz w:val="12"/>
          <w:szCs w:val="12"/>
          <w:color w:val="auto"/>
        </w:rPr>
        <w:t>4.</w:t>
      </w:r>
      <w:r>
        <w:rPr>
          <w:sz w:val="20"/>
          <w:szCs w:val="20"/>
          <w:color w:val="auto"/>
        </w:rPr>
        <w:tab/>
      </w:r>
      <w:r>
        <w:rPr>
          <w:rFonts w:ascii="Arial" w:cs="Arial" w:eastAsia="Arial" w:hAnsi="Arial"/>
          <w:sz w:val="10"/>
          <w:szCs w:val="10"/>
          <w:color w:val="auto"/>
        </w:rPr>
        <w:t>The date of its incorporation is: October 20, 1930.</w:t>
      </w:r>
    </w:p>
    <w:p>
      <w:pPr>
        <w:spacing w:after="0" w:line="114" w:lineRule="exact"/>
        <w:rPr>
          <w:sz w:val="20"/>
          <w:szCs w:val="20"/>
          <w:color w:val="auto"/>
        </w:rPr>
      </w:pPr>
    </w:p>
    <w:p>
      <w:pPr>
        <w:ind w:left="900" w:hanging="476"/>
        <w:spacing w:after="0"/>
        <w:tabs>
          <w:tab w:leader="none" w:pos="9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w:t>
      </w:r>
      <w:r>
        <w:rPr>
          <w:rFonts w:ascii="Arial" w:cs="Arial" w:eastAsia="Arial" w:hAnsi="Arial"/>
          <w:sz w:val="10"/>
          <w:szCs w:val="10"/>
          <w:color w:val="auto"/>
        </w:rPr>
        <w:t>The authorized capital stock of the Corporation is 30,000,000 shares of Common Stock, $1 par value per share, and 10,000,000 shares of Preferred Stock, $1 par value per share.</w:t>
      </w:r>
    </w:p>
    <w:p>
      <w:pPr>
        <w:spacing w:after="0" w:line="114" w:lineRule="exact"/>
        <w:rPr>
          <w:rFonts w:ascii="Arial" w:cs="Arial" w:eastAsia="Arial" w:hAnsi="Arial"/>
          <w:sz w:val="12"/>
          <w:szCs w:val="12"/>
          <w:color w:val="auto"/>
        </w:rPr>
      </w:pPr>
    </w:p>
    <w:p>
      <w:pPr>
        <w:ind w:right="20" w:firstLine="857"/>
        <w:spacing w:after="0" w:line="283" w:lineRule="auto"/>
        <w:tabs>
          <w:tab w:leader="none" w:pos="1335" w:val="left"/>
        </w:tabs>
        <w:numPr>
          <w:ilvl w:val="1"/>
          <w:numId w:val="11"/>
        </w:numPr>
        <w:rPr>
          <w:rFonts w:ascii="Arial" w:cs="Arial" w:eastAsia="Arial" w:hAnsi="Arial"/>
          <w:sz w:val="11"/>
          <w:szCs w:val="11"/>
          <w:color w:val="auto"/>
        </w:rPr>
      </w:pPr>
      <w:r>
        <w:rPr>
          <w:rFonts w:ascii="Arial" w:cs="Arial" w:eastAsia="Arial" w:hAnsi="Arial"/>
          <w:sz w:val="11"/>
          <w:szCs w:val="11"/>
          <w:color w:val="auto"/>
        </w:rPr>
        <w:t>The shares of Preferred Stock may be divided into and issued from time to time in one or more series as may be designated by the Board of Directors of the Corporation, each such series to be distinctly titled and to consist of the number of shares designated by the Board of Directors. All shares of any one series of Preferred Stock so designated by the Board of Directors shall be alike in every particular, except that shares of any one series issued at different times may differ as to the dates from which dividends thereon (if any) shall accrue or be cumulative (or both). The designations, relative rights, preferences and limitations of any series of Preferred Stock may differ from those of any and all other series at any time outstanding. The Board of Directors may change the designation or number of shares, or the preferences, relative rights and limitations of the shares, of any theretofore established series of Preferred Stock, no shares of which have been issued. The Board of Directors of the Corporation is hereby expressly vested with authority to determine by resolution the preferences, relative rights and limitations of the Preferred Stock and each series thereof which may be designated by the Board of Directors, including, but without limiting the generality of the foregoing, the following:</w:t>
      </w:r>
    </w:p>
    <w:p>
      <w:pPr>
        <w:spacing w:after="0" w:line="77" w:lineRule="exact"/>
        <w:rPr>
          <w:rFonts w:ascii="Arial" w:cs="Arial" w:eastAsia="Arial" w:hAnsi="Arial"/>
          <w:sz w:val="11"/>
          <w:szCs w:val="11"/>
          <w:color w:val="auto"/>
        </w:rPr>
      </w:pPr>
    </w:p>
    <w:p>
      <w:pPr>
        <w:ind w:left="1680" w:hanging="391"/>
        <w:spacing w:after="0"/>
        <w:tabs>
          <w:tab w:leader="none" w:pos="1680" w:val="left"/>
        </w:tabs>
        <w:numPr>
          <w:ilvl w:val="3"/>
          <w:numId w:val="11"/>
        </w:numPr>
        <w:rPr>
          <w:rFonts w:ascii="Arial" w:cs="Arial" w:eastAsia="Arial" w:hAnsi="Arial"/>
          <w:sz w:val="12"/>
          <w:szCs w:val="12"/>
          <w:color w:val="auto"/>
        </w:rPr>
      </w:pPr>
      <w:r>
        <w:rPr>
          <w:rFonts w:ascii="Arial" w:cs="Arial" w:eastAsia="Arial" w:hAnsi="Arial"/>
          <w:sz w:val="12"/>
          <w:szCs w:val="12"/>
          <w:color w:val="auto"/>
        </w:rPr>
        <w:t>The voting rights and powers (if any) of the Preferred Stock and each series thereof;</w:t>
      </w:r>
    </w:p>
    <w:p>
      <w:pPr>
        <w:spacing w:after="0" w:line="114" w:lineRule="exact"/>
        <w:rPr>
          <w:rFonts w:ascii="Arial" w:cs="Arial" w:eastAsia="Arial" w:hAnsi="Arial"/>
          <w:sz w:val="12"/>
          <w:szCs w:val="12"/>
          <w:color w:val="auto"/>
        </w:rPr>
      </w:pPr>
    </w:p>
    <w:p>
      <w:pPr>
        <w:ind w:left="1680" w:hanging="391"/>
        <w:spacing w:after="0"/>
        <w:tabs>
          <w:tab w:leader="none" w:pos="1680" w:val="left"/>
        </w:tabs>
        <w:numPr>
          <w:ilvl w:val="3"/>
          <w:numId w:val="11"/>
        </w:numPr>
        <w:rPr>
          <w:rFonts w:ascii="Arial" w:cs="Arial" w:eastAsia="Arial" w:hAnsi="Arial"/>
          <w:sz w:val="11"/>
          <w:szCs w:val="11"/>
          <w:color w:val="auto"/>
        </w:rPr>
      </w:pPr>
      <w:r>
        <w:rPr>
          <w:rFonts w:ascii="Arial" w:cs="Arial" w:eastAsia="Arial" w:hAnsi="Arial"/>
          <w:sz w:val="11"/>
          <w:szCs w:val="11"/>
          <w:color w:val="auto"/>
        </w:rPr>
        <w:t>The rates and times at which, and the terms and conditions on which, dividends (if any) on Preferred Stock and each series thereof, will be paid, and any dividend preferences or rights of cumulation;</w:t>
      </w:r>
    </w:p>
    <w:p>
      <w:pPr>
        <w:spacing w:after="0" w:line="125" w:lineRule="exact"/>
        <w:rPr>
          <w:rFonts w:ascii="Arial" w:cs="Arial" w:eastAsia="Arial" w:hAnsi="Arial"/>
          <w:sz w:val="11"/>
          <w:szCs w:val="11"/>
          <w:color w:val="auto"/>
        </w:rPr>
      </w:pPr>
    </w:p>
    <w:p>
      <w:pPr>
        <w:ind w:right="80" w:firstLine="1289"/>
        <w:spacing w:after="0" w:line="323" w:lineRule="auto"/>
        <w:tabs>
          <w:tab w:leader="none" w:pos="1685" w:val="left"/>
        </w:tabs>
        <w:numPr>
          <w:ilvl w:val="3"/>
          <w:numId w:val="11"/>
        </w:numPr>
        <w:rPr>
          <w:rFonts w:ascii="Arial" w:cs="Arial" w:eastAsia="Arial" w:hAnsi="Arial"/>
          <w:sz w:val="11"/>
          <w:szCs w:val="11"/>
          <w:color w:val="auto"/>
        </w:rPr>
      </w:pPr>
      <w:r>
        <w:rPr>
          <w:rFonts w:ascii="Arial" w:cs="Arial" w:eastAsia="Arial" w:hAnsi="Arial"/>
          <w:sz w:val="11"/>
          <w:szCs w:val="11"/>
          <w:color w:val="auto"/>
        </w:rPr>
        <w:t>The rights (if any) of holders of Preferred Stock, and each series thereof, to convert the same into, or exchange the same for shares of other classes (or series of classes) of capital stock of the Corporation and the terms and conditions for each conversion or exchange, including provisions for adjustment of conversion or exchange prices or rates in events as the Board of Directors shall determine;</w:t>
      </w:r>
    </w:p>
    <w:p>
      <w:pPr>
        <w:spacing w:after="0" w:line="55" w:lineRule="exact"/>
        <w:rPr>
          <w:rFonts w:ascii="Arial" w:cs="Arial" w:eastAsia="Arial" w:hAnsi="Arial"/>
          <w:sz w:val="11"/>
          <w:szCs w:val="11"/>
          <w:color w:val="auto"/>
        </w:rPr>
      </w:pPr>
    </w:p>
    <w:p>
      <w:pPr>
        <w:ind w:left="1680" w:hanging="391"/>
        <w:spacing w:after="0"/>
        <w:tabs>
          <w:tab w:leader="none" w:pos="1680" w:val="left"/>
        </w:tabs>
        <w:numPr>
          <w:ilvl w:val="3"/>
          <w:numId w:val="11"/>
        </w:numPr>
        <w:rPr>
          <w:rFonts w:ascii="Arial" w:cs="Arial" w:eastAsia="Arial" w:hAnsi="Arial"/>
          <w:sz w:val="12"/>
          <w:szCs w:val="12"/>
          <w:color w:val="auto"/>
        </w:rPr>
      </w:pPr>
      <w:r>
        <w:rPr>
          <w:rFonts w:ascii="Arial" w:cs="Arial" w:eastAsia="Arial" w:hAnsi="Arial"/>
          <w:sz w:val="12"/>
          <w:szCs w:val="12"/>
          <w:color w:val="auto"/>
        </w:rPr>
        <w:t>The redemption rights (if any) of the Corporation and times at which the terms and conditions on which Preferred Stock and each series thereof may be redeemed; and</w:t>
      </w:r>
    </w:p>
    <w:p>
      <w:pPr>
        <w:spacing w:after="0" w:line="114" w:lineRule="exact"/>
        <w:rPr>
          <w:rFonts w:ascii="Arial" w:cs="Arial" w:eastAsia="Arial" w:hAnsi="Arial"/>
          <w:sz w:val="12"/>
          <w:szCs w:val="12"/>
          <w:color w:val="auto"/>
        </w:rPr>
      </w:pPr>
    </w:p>
    <w:p>
      <w:pPr>
        <w:ind w:left="1680" w:hanging="391"/>
        <w:spacing w:after="0"/>
        <w:tabs>
          <w:tab w:leader="none" w:pos="1680" w:val="left"/>
        </w:tabs>
        <w:numPr>
          <w:ilvl w:val="3"/>
          <w:numId w:val="11"/>
        </w:numPr>
        <w:rPr>
          <w:rFonts w:ascii="Arial" w:cs="Arial" w:eastAsia="Arial" w:hAnsi="Arial"/>
          <w:sz w:val="12"/>
          <w:szCs w:val="12"/>
          <w:color w:val="auto"/>
        </w:rPr>
      </w:pPr>
      <w:r>
        <w:rPr>
          <w:rFonts w:ascii="Arial" w:cs="Arial" w:eastAsia="Arial" w:hAnsi="Arial"/>
          <w:sz w:val="12"/>
          <w:szCs w:val="12"/>
          <w:color w:val="auto"/>
        </w:rPr>
        <w:t>The rights and preferences (if any) of the holders of Preferred Stock, and each series thereof, upon the voluntary or involuntary dissolution, liquidation or winding up of the Corporation.</w:t>
      </w:r>
    </w:p>
    <w:p>
      <w:pPr>
        <w:spacing w:after="0" w:line="114" w:lineRule="exact"/>
        <w:rPr>
          <w:rFonts w:ascii="Arial" w:cs="Arial" w:eastAsia="Arial" w:hAnsi="Arial"/>
          <w:sz w:val="12"/>
          <w:szCs w:val="12"/>
          <w:color w:val="auto"/>
        </w:rPr>
      </w:pPr>
    </w:p>
    <w:p>
      <w:pPr>
        <w:ind w:right="140" w:firstLine="947"/>
        <w:spacing w:after="0" w:line="276" w:lineRule="auto"/>
        <w:tabs>
          <w:tab w:leader="none" w:pos="1268" w:val="left"/>
        </w:tabs>
        <w:numPr>
          <w:ilvl w:val="2"/>
          <w:numId w:val="11"/>
        </w:numPr>
        <w:rPr>
          <w:rFonts w:ascii="Arial" w:cs="Arial" w:eastAsia="Arial" w:hAnsi="Arial"/>
          <w:sz w:val="12"/>
          <w:szCs w:val="12"/>
          <w:color w:val="auto"/>
        </w:rPr>
      </w:pPr>
      <w:r>
        <w:rPr>
          <w:rFonts w:ascii="Arial" w:cs="Arial" w:eastAsia="Arial" w:hAnsi="Arial"/>
          <w:sz w:val="12"/>
          <w:szCs w:val="12"/>
          <w:color w:val="auto"/>
        </w:rPr>
        <w:t>No holders of any class of stock of the Corporation shall have any preemptive or preferential right of subscription to any shares of any class of stock of the Corporation, whether now or hereafter authorized, and such stock may be sold or issued to such person or persons as the Board of Directors may determine.</w:t>
      </w:r>
    </w:p>
    <w:p>
      <w:pPr>
        <w:spacing w:after="0" w:line="78" w:lineRule="exact"/>
        <w:rPr>
          <w:rFonts w:ascii="Arial" w:cs="Arial" w:eastAsia="Arial" w:hAnsi="Arial"/>
          <w:sz w:val="12"/>
          <w:szCs w:val="12"/>
          <w:color w:val="auto"/>
        </w:rPr>
      </w:pPr>
    </w:p>
    <w:p>
      <w:pPr>
        <w:ind w:left="760" w:hanging="336"/>
        <w:spacing w:after="0"/>
        <w:tabs>
          <w:tab w:leader="none" w:pos="7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Shareholders’ cumulative voting rights for the election of Directors are eliminated and denied.</w:t>
      </w:r>
    </w:p>
    <w:p>
      <w:pPr>
        <w:spacing w:after="0" w:line="114" w:lineRule="exact"/>
        <w:rPr>
          <w:rFonts w:ascii="Arial" w:cs="Arial" w:eastAsia="Arial" w:hAnsi="Arial"/>
          <w:sz w:val="12"/>
          <w:szCs w:val="12"/>
          <w:color w:val="auto"/>
        </w:rPr>
      </w:pPr>
    </w:p>
    <w:p>
      <w:pPr>
        <w:ind w:right="40" w:firstLine="424"/>
        <w:spacing w:after="0" w:line="263" w:lineRule="auto"/>
        <w:tabs>
          <w:tab w:leader="none" w:pos="913" w:val="left"/>
        </w:tabs>
        <w:numPr>
          <w:ilvl w:val="0"/>
          <w:numId w:val="11"/>
        </w:numPr>
        <w:rPr>
          <w:rFonts w:ascii="Arial" w:cs="Arial" w:eastAsia="Arial" w:hAnsi="Arial"/>
          <w:sz w:val="12"/>
          <w:szCs w:val="12"/>
          <w:color w:val="auto"/>
        </w:rPr>
      </w:pPr>
      <w:r>
        <w:rPr>
          <w:rFonts w:ascii="Arial" w:cs="Arial" w:eastAsia="Arial" w:hAnsi="Arial"/>
          <w:sz w:val="12"/>
          <w:szCs w:val="12"/>
          <w:color w:val="auto"/>
        </w:rPr>
        <w:t>(a) In an election of directors that is not a contested election, each director shall be elected by the vote of the majority of the votes cast with respect to that director. For the purposes of this Article 7, a majority of the votes cast means that the number of votes cast “for” a nominee must exceed the number of votes cast “against” that nominee. This Article 7 shall not apply to an election of directors by holders of any class of stock (other than Common Stock) issued by the Corporation who have the right, voting separately as a class or otherwise, to elect directors.</w:t>
      </w:r>
    </w:p>
    <w:p>
      <w:pPr>
        <w:spacing w:after="0" w:line="86" w:lineRule="exact"/>
        <w:rPr>
          <w:rFonts w:ascii="Arial" w:cs="Arial" w:eastAsia="Arial" w:hAnsi="Arial"/>
          <w:sz w:val="12"/>
          <w:szCs w:val="12"/>
          <w:color w:val="auto"/>
        </w:rPr>
      </w:pPr>
    </w:p>
    <w:p>
      <w:pPr>
        <w:ind w:left="1320" w:hanging="463"/>
        <w:spacing w:after="0"/>
        <w:tabs>
          <w:tab w:leader="none" w:pos="1320" w:val="left"/>
        </w:tabs>
        <w:numPr>
          <w:ilvl w:val="1"/>
          <w:numId w:val="11"/>
        </w:numPr>
        <w:rPr>
          <w:rFonts w:ascii="Arial" w:cs="Arial" w:eastAsia="Arial" w:hAnsi="Arial"/>
          <w:sz w:val="12"/>
          <w:szCs w:val="12"/>
          <w:color w:val="auto"/>
        </w:rPr>
      </w:pPr>
      <w:r>
        <w:rPr>
          <w:rFonts w:ascii="Arial" w:cs="Arial" w:eastAsia="Arial" w:hAnsi="Arial"/>
          <w:sz w:val="12"/>
          <w:szCs w:val="12"/>
          <w:color w:val="auto"/>
        </w:rPr>
        <w:t>In a contested election of directors, the candidates receiving the highest number of votes, up to the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143510</wp:posOffset>
            </wp:positionV>
            <wp:extent cx="7310755" cy="18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0"/>
          </w:cols>
          <w:pgMar w:left="220" w:top="149" w:right="199" w:bottom="1440" w:gutter="0" w:footer="0" w:header="0"/>
        </w:sectPr>
      </w:pPr>
    </w:p>
    <w:bookmarkStart w:id="43" w:name="page44"/>
    <w:bookmarkEnd w:id="43"/>
    <w:p>
      <w:pPr>
        <w:spacing w:after="0"/>
        <w:rPr>
          <w:sz w:val="20"/>
          <w:szCs w:val="20"/>
          <w:color w:val="auto"/>
        </w:rPr>
      </w:pPr>
      <w:r>
        <w:rPr>
          <w:rFonts w:ascii="Arial" w:cs="Arial" w:eastAsia="Arial" w:hAnsi="Arial"/>
          <w:sz w:val="12"/>
          <w:szCs w:val="12"/>
          <w:color w:val="808080"/>
        </w:rPr>
        <w:t>Click here to enter text.</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of directors to be elected in such election, shall be elected. Shareholders shall not have the right to vote against a nominee in a contested election of directors.</w:t>
      </w:r>
    </w:p>
    <w:p>
      <w:pPr>
        <w:spacing w:after="0" w:line="114" w:lineRule="exact"/>
        <w:rPr>
          <w:sz w:val="20"/>
          <w:szCs w:val="20"/>
          <w:color w:val="auto"/>
        </w:rPr>
      </w:pPr>
    </w:p>
    <w:p>
      <w:pPr>
        <w:ind w:right="420" w:firstLine="857"/>
        <w:spacing w:after="0" w:line="276" w:lineRule="auto"/>
        <w:tabs>
          <w:tab w:leader="none" w:pos="1328" w:val="left"/>
        </w:tabs>
        <w:numPr>
          <w:ilvl w:val="1"/>
          <w:numId w:val="12"/>
        </w:numPr>
        <w:rPr>
          <w:rFonts w:ascii="Arial" w:cs="Arial" w:eastAsia="Arial" w:hAnsi="Arial"/>
          <w:sz w:val="12"/>
          <w:szCs w:val="12"/>
          <w:color w:val="auto"/>
        </w:rPr>
      </w:pPr>
      <w:r>
        <w:rPr>
          <w:rFonts w:ascii="Arial" w:cs="Arial" w:eastAsia="Arial" w:hAnsi="Arial"/>
          <w:sz w:val="12"/>
          <w:szCs w:val="12"/>
          <w:color w:val="auto"/>
        </w:rPr>
        <w:t>For purposes of this Article 7, a contested election is one in which the number of candidates exceeds the number of directors to be elected. The number of candidates for an election shall be determined in accordance with these Articles of Incorporation, the Corporation’s By-Laws, including any advance notice provisions of each, and applicable law.</w:t>
      </w:r>
    </w:p>
    <w:p>
      <w:pPr>
        <w:spacing w:after="0" w:line="78" w:lineRule="exact"/>
        <w:rPr>
          <w:rFonts w:ascii="Arial" w:cs="Arial" w:eastAsia="Arial" w:hAnsi="Arial"/>
          <w:sz w:val="12"/>
          <w:szCs w:val="12"/>
          <w:color w:val="auto"/>
        </w:rPr>
      </w:pPr>
    </w:p>
    <w:p>
      <w:pPr>
        <w:ind w:right="60" w:firstLine="857"/>
        <w:spacing w:after="0" w:line="290" w:lineRule="auto"/>
        <w:tabs>
          <w:tab w:leader="none" w:pos="1335" w:val="left"/>
        </w:tabs>
        <w:numPr>
          <w:ilvl w:val="1"/>
          <w:numId w:val="12"/>
        </w:numPr>
        <w:rPr>
          <w:rFonts w:ascii="Arial" w:cs="Arial" w:eastAsia="Arial" w:hAnsi="Arial"/>
          <w:sz w:val="11"/>
          <w:szCs w:val="11"/>
          <w:color w:val="auto"/>
        </w:rPr>
      </w:pPr>
      <w:r>
        <w:rPr>
          <w:rFonts w:ascii="Arial" w:cs="Arial" w:eastAsia="Arial" w:hAnsi="Arial"/>
          <w:sz w:val="11"/>
          <w:szCs w:val="11"/>
          <w:color w:val="auto"/>
        </w:rPr>
        <w:t>If an incumbent director who is a candidate for re-election is not elected, the director shall be deemed to have tendered his or her resignation to the Board to be effective as of the adjournment of the meeting of the Board at which a decision on whether to accept the resignation is made by the Board. The Nominating Committee, if any, will make a recommendation to the Board on whether to accept or reject the resignation, or whether other action should be taken. The Board shall act on the Nominating Committee’s recommendation and disclose its decision and the rationale therefor within 90 days after the date of the certification of the election results. The director who is deemed to have tendered his or her resignation shall not participate in the decisions of the Nominating Committee or of the Board with respect to his or her own resignation.</w:t>
      </w:r>
    </w:p>
    <w:p>
      <w:pPr>
        <w:spacing w:after="0" w:line="73" w:lineRule="exact"/>
        <w:rPr>
          <w:rFonts w:ascii="Arial" w:cs="Arial" w:eastAsia="Arial" w:hAnsi="Arial"/>
          <w:sz w:val="11"/>
          <w:szCs w:val="11"/>
          <w:color w:val="auto"/>
        </w:rPr>
      </w:pPr>
    </w:p>
    <w:p>
      <w:pPr>
        <w:ind w:right="40" w:firstLine="424"/>
        <w:spacing w:after="0" w:line="312" w:lineRule="auto"/>
        <w:tabs>
          <w:tab w:leader="none" w:pos="760" w:val="left"/>
        </w:tabs>
        <w:numPr>
          <w:ilvl w:val="0"/>
          <w:numId w:val="13"/>
        </w:numPr>
        <w:rPr>
          <w:rFonts w:ascii="Arial" w:cs="Arial" w:eastAsia="Arial" w:hAnsi="Arial"/>
          <w:sz w:val="10"/>
          <w:szCs w:val="10"/>
          <w:color w:val="auto"/>
        </w:rPr>
      </w:pPr>
      <w:r>
        <w:rPr>
          <w:rFonts w:ascii="Arial" w:cs="Arial" w:eastAsia="Arial" w:hAnsi="Arial"/>
          <w:sz w:val="10"/>
          <w:szCs w:val="10"/>
          <w:color w:val="auto"/>
        </w:rPr>
        <w:t>The number of directors of the Corporation shall be fixed from time to time in the manner provided in the By-Laws. The directors shall be divided into three classes: Class I, Class II and Class III. Each class shall consist, as nearly as may be possible, of one-third of the total number of directors. At the annual meeting of shareholders in 1983, Class I directors shall be elected for a one-year term, Class II directors for a two-year term and Class III directors for a three-year term. At each succeeding annual meeting of shareholders beginning in 1984, successors to the class of directors whose term expires at that annual meeting shall be elected for a three-year term. If the number of directors is changed, any increase or decrease shall be apportioned among the classes so as to maintain the number of directors in each class as nearly equal as possible, and any additional director of any class elected to fill a vacancy resulting from an increase in such class shall hold office for a term that shall coincide with the remaining term of that class, but in no case will a decrease in the number of directors shorten the term of any incumbent director. A director shall hold office until the annual meeting in the year in which his term expires and until his successor shall be elected and shall qualify, subject, however, to prior death, resignation, retirement, disqualification or removal from office. Any vacancy on the Board of Directors that results from an increase in the number of directors shall be filled by a majority of the Board of Directors in office, and any other vacancy occurring in the Board of Directors shall be filled by a majority of the directors in office, although less than a quorum, or by a sole remaining director. Any director elected to fill a vacancy not resulting from an increase in the number of directors shall have the same remaining term as that of his predecessor.</w:t>
      </w:r>
    </w:p>
    <w:p>
      <w:pPr>
        <w:spacing w:after="0" w:line="101" w:lineRule="exact"/>
        <w:rPr>
          <w:sz w:val="20"/>
          <w:szCs w:val="20"/>
          <w:color w:val="auto"/>
        </w:rPr>
      </w:pPr>
    </w:p>
    <w:p>
      <w:pPr>
        <w:ind w:firstLine="522"/>
        <w:spacing w:after="0" w:line="276" w:lineRule="auto"/>
        <w:rPr>
          <w:sz w:val="20"/>
          <w:szCs w:val="20"/>
          <w:color w:val="auto"/>
        </w:rPr>
      </w:pPr>
      <w:r>
        <w:rPr>
          <w:rFonts w:ascii="Arial" w:cs="Arial" w:eastAsia="Arial" w:hAnsi="Arial"/>
          <w:sz w:val="12"/>
          <w:szCs w:val="12"/>
          <w:color w:val="auto"/>
        </w:rPr>
        <w:t>A director may be removed with or without cause only by the affirmative vote of the holders of at least eighty (80%) percent of the outstanding shares of capital stock of the Corporation entitled to vote generally in the election of directors, voting together as a single class.</w:t>
      </w:r>
    </w:p>
    <w:p>
      <w:pPr>
        <w:spacing w:after="0" w:line="79" w:lineRule="exact"/>
        <w:rPr>
          <w:sz w:val="20"/>
          <w:szCs w:val="20"/>
          <w:color w:val="auto"/>
        </w:rPr>
      </w:pPr>
    </w:p>
    <w:p>
      <w:pPr>
        <w:ind w:right="120" w:firstLine="522"/>
        <w:spacing w:after="0" w:line="263" w:lineRule="auto"/>
        <w:rPr>
          <w:sz w:val="20"/>
          <w:szCs w:val="20"/>
          <w:color w:val="auto"/>
        </w:rPr>
      </w:pPr>
      <w:r>
        <w:rPr>
          <w:rFonts w:ascii="Arial" w:cs="Arial" w:eastAsia="Arial" w:hAnsi="Arial"/>
          <w:sz w:val="12"/>
          <w:szCs w:val="12"/>
          <w:color w:val="auto"/>
        </w:rPr>
        <w:t>Notwithstanding the foregoing, whenever the holders of any class of stock (other than Common Stock) issued by the Corporation shall have the right, voting separately as a class or otherwise, to elect directors, then the authorized number of directors of the Corporation shall be increased by the number of additional directors to be elected, and the election, term of office, filling of vacancies and other features of such directorships shall be governed by the terms of these Articles of Incorporation applicable thereto.</w:t>
      </w:r>
    </w:p>
    <w:p>
      <w:pPr>
        <w:spacing w:after="0" w:line="87" w:lineRule="exact"/>
        <w:rPr>
          <w:sz w:val="20"/>
          <w:szCs w:val="20"/>
          <w:color w:val="auto"/>
        </w:rPr>
      </w:pPr>
    </w:p>
    <w:p>
      <w:pPr>
        <w:ind w:right="20" w:firstLine="522"/>
        <w:spacing w:after="0" w:line="263" w:lineRule="auto"/>
        <w:rPr>
          <w:sz w:val="20"/>
          <w:szCs w:val="20"/>
          <w:color w:val="auto"/>
        </w:rPr>
      </w:pPr>
      <w:r>
        <w:rPr>
          <w:rFonts w:ascii="Arial" w:cs="Arial" w:eastAsia="Arial" w:hAnsi="Arial"/>
          <w:sz w:val="12"/>
          <w:szCs w:val="12"/>
          <w:color w:val="auto"/>
        </w:rPr>
        <w:t>Notwithstanding any other provisions of these Articles of Incorporation or the By-Laws of the Corporation (and notwithstanding the fact that a lesser percentage may be specified by law, these Articles of Incorporation or the By-Laws of the Corporation), the affirmative vote of the holders of at least eighty (80%) percent of the outstanding shares of capital stock of the Corporation entitled to vote generally in the election of directors, voting together as a single class, shall be required to amend, alter, change or repeal, or adopt any provisions inconsistent with, this Article 8.</w:t>
      </w:r>
    </w:p>
    <w:p>
      <w:pPr>
        <w:spacing w:after="0" w:line="87" w:lineRule="exact"/>
        <w:rPr>
          <w:sz w:val="20"/>
          <w:szCs w:val="20"/>
          <w:color w:val="auto"/>
        </w:rPr>
      </w:pPr>
    </w:p>
    <w:p>
      <w:pPr>
        <w:ind w:right="200" w:firstLine="424"/>
        <w:spacing w:after="0" w:line="276" w:lineRule="auto"/>
        <w:tabs>
          <w:tab w:leader="none" w:pos="763" w:val="left"/>
        </w:tabs>
        <w:numPr>
          <w:ilvl w:val="0"/>
          <w:numId w:val="14"/>
        </w:numPr>
        <w:rPr>
          <w:rFonts w:ascii="Arial" w:cs="Arial" w:eastAsia="Arial" w:hAnsi="Arial"/>
          <w:sz w:val="12"/>
          <w:szCs w:val="12"/>
          <w:color w:val="auto"/>
        </w:rPr>
      </w:pPr>
      <w:r>
        <w:rPr>
          <w:rFonts w:ascii="Arial" w:cs="Arial" w:eastAsia="Arial" w:hAnsi="Arial"/>
          <w:sz w:val="12"/>
          <w:szCs w:val="12"/>
          <w:color w:val="auto"/>
        </w:rPr>
        <w:t>Special meetings of the shareholders may be called by the Chairman of the Board or the President and shall be called by the Secretary when directed by the Board of Directors or by the written request of the holders of at least eighty (80%) percent of the outstanding shares of capital stock of the Corporation entitled to vote at such meeting.</w:t>
      </w:r>
    </w:p>
    <w:p>
      <w:pPr>
        <w:spacing w:after="0" w:line="79" w:lineRule="exact"/>
        <w:rPr>
          <w:sz w:val="20"/>
          <w:szCs w:val="20"/>
          <w:color w:val="auto"/>
        </w:rPr>
      </w:pPr>
    </w:p>
    <w:p>
      <w:pPr>
        <w:ind w:right="20" w:firstLine="522"/>
        <w:spacing w:after="0" w:line="263" w:lineRule="auto"/>
        <w:rPr>
          <w:sz w:val="20"/>
          <w:szCs w:val="20"/>
          <w:color w:val="auto"/>
        </w:rPr>
      </w:pPr>
      <w:r>
        <w:rPr>
          <w:rFonts w:ascii="Arial" w:cs="Arial" w:eastAsia="Arial" w:hAnsi="Arial"/>
          <w:sz w:val="12"/>
          <w:szCs w:val="12"/>
          <w:color w:val="auto"/>
        </w:rPr>
        <w:t>Notwithstanding any other provisions of these Articles of Incorporation or the By-Laws of the Corporation (and notwithstanding the fact that a lesser percentage may be specified by law, these Articles of Incorporation or the By-Laws of the Corporation), the affirmative vote of the holders of at least eighty (80%) percent of the outstanding shares of capital stock of the Corporation entitled to vote generally in the election of directors, voting together as a single class, shall be required to amend, alter, change or repeal, or adopt any provisions inconsistent with, this Article 9.</w:t>
      </w:r>
    </w:p>
    <w:p>
      <w:pPr>
        <w:spacing w:after="0" w:line="87" w:lineRule="exact"/>
        <w:rPr>
          <w:sz w:val="20"/>
          <w:szCs w:val="20"/>
          <w:color w:val="auto"/>
        </w:rPr>
      </w:pPr>
    </w:p>
    <w:p>
      <w:pPr>
        <w:ind w:right="60" w:firstLine="424"/>
        <w:spacing w:after="0" w:line="263" w:lineRule="auto"/>
        <w:tabs>
          <w:tab w:leader="none" w:pos="823" w:val="left"/>
        </w:tabs>
        <w:numPr>
          <w:ilvl w:val="0"/>
          <w:numId w:val="15"/>
        </w:numPr>
        <w:rPr>
          <w:rFonts w:ascii="Arial" w:cs="Arial" w:eastAsia="Arial" w:hAnsi="Arial"/>
          <w:sz w:val="12"/>
          <w:szCs w:val="12"/>
          <w:color w:val="auto"/>
        </w:rPr>
      </w:pPr>
      <w:r>
        <w:rPr>
          <w:rFonts w:ascii="Arial" w:cs="Arial" w:eastAsia="Arial" w:hAnsi="Arial"/>
          <w:sz w:val="12"/>
          <w:szCs w:val="12"/>
          <w:color w:val="auto"/>
        </w:rPr>
        <w:t>I. In addition to any affirmative vote required by Pennsylvania law or any other provision of these Articles of Incorporation, the affirmative vote of the holders of not less than eighty (80%) percent of the outstanding shares of “Voting Stock” of the Corporation (as hereinafter defined), voting together as a single class, shall be required for the approval or authorization of any “Business Combination” (as hereinafter defined) involving a “Related Person” (as hereinafter defined); provided, however, that the eighty (80%) percent voting requirement shall not be applicable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125730</wp:posOffset>
            </wp:positionV>
            <wp:extent cx="7310755" cy="18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0"/>
          </w:cols>
          <w:pgMar w:left="220" w:top="149" w:right="199" w:bottom="1440" w:gutter="0" w:footer="0" w:header="0"/>
        </w:sectPr>
      </w:pPr>
    </w:p>
    <w:bookmarkStart w:id="44" w:name="page45"/>
    <w:bookmarkEnd w:id="44"/>
    <w:p>
      <w:pPr>
        <w:spacing w:after="0"/>
        <w:rPr>
          <w:sz w:val="20"/>
          <w:szCs w:val="20"/>
          <w:color w:val="auto"/>
        </w:rPr>
      </w:pPr>
      <w:r>
        <w:rPr>
          <w:rFonts w:ascii="Arial" w:cs="Arial" w:eastAsia="Arial" w:hAnsi="Arial"/>
          <w:sz w:val="12"/>
          <w:szCs w:val="12"/>
          <w:color w:val="808080"/>
        </w:rPr>
        <w:t>Click here to enter text.</w:t>
      </w:r>
    </w:p>
    <w:p>
      <w:pPr>
        <w:spacing w:after="0" w:line="114" w:lineRule="exact"/>
        <w:rPr>
          <w:sz w:val="20"/>
          <w:szCs w:val="20"/>
          <w:color w:val="auto"/>
        </w:rPr>
      </w:pPr>
    </w:p>
    <w:p>
      <w:pPr>
        <w:ind w:right="300" w:firstLine="1193"/>
        <w:spacing w:after="0" w:line="276" w:lineRule="auto"/>
        <w:tabs>
          <w:tab w:leader="none" w:pos="1606" w:val="left"/>
        </w:tabs>
        <w:numPr>
          <w:ilvl w:val="1"/>
          <w:numId w:val="16"/>
        </w:numPr>
        <w:rPr>
          <w:rFonts w:ascii="Arial" w:cs="Arial" w:eastAsia="Arial" w:hAnsi="Arial"/>
          <w:sz w:val="12"/>
          <w:szCs w:val="12"/>
          <w:color w:val="auto"/>
        </w:rPr>
      </w:pPr>
      <w:r>
        <w:rPr>
          <w:rFonts w:ascii="Arial" w:cs="Arial" w:eastAsia="Arial" w:hAnsi="Arial"/>
          <w:sz w:val="12"/>
          <w:szCs w:val="12"/>
          <w:color w:val="auto"/>
        </w:rPr>
        <w:t>The “Continuing Directors” of the Corporation (as hereinafter defined) by a two-thirds vote have expressly approved the Business Combination either in advance of or subsequent to the acquisition of outstanding shares of Voting Stock of the Corporation that caused the Related Person to become a Related Person; or</w:t>
      </w:r>
    </w:p>
    <w:p>
      <w:pPr>
        <w:spacing w:after="0" w:line="78" w:lineRule="exact"/>
        <w:rPr>
          <w:rFonts w:ascii="Arial" w:cs="Arial" w:eastAsia="Arial" w:hAnsi="Arial"/>
          <w:sz w:val="12"/>
          <w:szCs w:val="12"/>
          <w:color w:val="auto"/>
        </w:rPr>
      </w:pPr>
    </w:p>
    <w:p>
      <w:pPr>
        <w:ind w:left="1600" w:hanging="407"/>
        <w:spacing w:after="0"/>
        <w:tabs>
          <w:tab w:leader="none" w:pos="1600" w:val="left"/>
        </w:tabs>
        <w:numPr>
          <w:ilvl w:val="1"/>
          <w:numId w:val="16"/>
        </w:numPr>
        <w:rPr>
          <w:rFonts w:ascii="Arial" w:cs="Arial" w:eastAsia="Arial" w:hAnsi="Arial"/>
          <w:sz w:val="12"/>
          <w:szCs w:val="12"/>
          <w:color w:val="auto"/>
        </w:rPr>
      </w:pPr>
      <w:r>
        <w:rPr>
          <w:rFonts w:ascii="Arial" w:cs="Arial" w:eastAsia="Arial" w:hAnsi="Arial"/>
          <w:sz w:val="12"/>
          <w:szCs w:val="12"/>
          <w:color w:val="auto"/>
        </w:rPr>
        <w:t>If the following conditions are satisfied:</w:t>
      </w:r>
    </w:p>
    <w:p>
      <w:pPr>
        <w:spacing w:after="0" w:line="114" w:lineRule="exact"/>
        <w:rPr>
          <w:rFonts w:ascii="Arial" w:cs="Arial" w:eastAsia="Arial" w:hAnsi="Arial"/>
          <w:sz w:val="12"/>
          <w:szCs w:val="12"/>
          <w:color w:val="auto"/>
        </w:rPr>
      </w:pPr>
    </w:p>
    <w:p>
      <w:pPr>
        <w:ind w:firstLine="1715"/>
        <w:spacing w:after="0" w:line="263" w:lineRule="auto"/>
        <w:tabs>
          <w:tab w:leader="none" w:pos="1981" w:val="left"/>
        </w:tabs>
        <w:numPr>
          <w:ilvl w:val="3"/>
          <w:numId w:val="16"/>
        </w:numPr>
        <w:rPr>
          <w:rFonts w:ascii="Arial" w:cs="Arial" w:eastAsia="Arial" w:hAnsi="Arial"/>
          <w:sz w:val="12"/>
          <w:szCs w:val="12"/>
          <w:color w:val="auto"/>
        </w:rPr>
      </w:pPr>
      <w:r>
        <w:rPr>
          <w:rFonts w:ascii="Arial" w:cs="Arial" w:eastAsia="Arial" w:hAnsi="Arial"/>
          <w:sz w:val="12"/>
          <w:szCs w:val="12"/>
          <w:color w:val="auto"/>
        </w:rPr>
        <w:t>The aggregate amount of the cash and the fair market value, as determined by two-thirds of the Continuing Directors, of the property, securities or other consideration to be received per share of capital stock of the Corporation in the Business Combination by holders of capital stock of the Corporation, other than the Related Person involved in the Business Combination, is not less than the “Highest Per Share Price” or the “Highest Equivalent Price” (as these terms are hereinafter defined) paid by the Related Person in acquiring any of its holdings of the Corporation’s capital stock; and</w:t>
      </w:r>
    </w:p>
    <w:p>
      <w:pPr>
        <w:spacing w:after="0" w:line="86" w:lineRule="exact"/>
        <w:rPr>
          <w:rFonts w:ascii="Arial" w:cs="Arial" w:eastAsia="Arial" w:hAnsi="Arial"/>
          <w:sz w:val="12"/>
          <w:szCs w:val="12"/>
          <w:color w:val="auto"/>
        </w:rPr>
      </w:pPr>
    </w:p>
    <w:p>
      <w:pPr>
        <w:ind w:right="20" w:firstLine="1715"/>
        <w:spacing w:after="0" w:line="257" w:lineRule="auto"/>
        <w:tabs>
          <w:tab w:leader="none" w:pos="1977" w:val="left"/>
        </w:tabs>
        <w:numPr>
          <w:ilvl w:val="3"/>
          <w:numId w:val="16"/>
        </w:numPr>
        <w:rPr>
          <w:rFonts w:ascii="Arial" w:cs="Arial" w:eastAsia="Arial" w:hAnsi="Arial"/>
          <w:sz w:val="12"/>
          <w:szCs w:val="12"/>
          <w:color w:val="auto"/>
        </w:rPr>
      </w:pPr>
      <w:r>
        <w:rPr>
          <w:rFonts w:ascii="Arial" w:cs="Arial" w:eastAsia="Arial" w:hAnsi="Arial"/>
          <w:sz w:val="12"/>
          <w:szCs w:val="12"/>
          <w:color w:val="auto"/>
        </w:rPr>
        <w:t>A proxy or information statement complying with the requirements of the Securities Exchange Act of 1934, as amended, and the rules and regulations thereunder (or any subsequent provisions replacing such Act, rules or regulations) shall have been mailed to all shareholders of the Corporation at least 30 days prior to the consummation of such Business Combination (whether or not such proxy or information statement is required to be mailed pursuant to such Act or subsequent provisions). The proxy or information statement shall contain at the front thereof, in a prominent place, the position of the Continuing Directors as to the advisability (or inadvisability) of the Business Combination and, if deemed advisable by a majority of the Continuing Directors, the opinion of an investment banking firm selected by the Continuing Directors as to the fairness of the terms of the Business Combination from the point of view of the holders of the outstanding shares of capital stock of the Corporation other than any Related Person.</w:t>
      </w:r>
    </w:p>
    <w:p>
      <w:pPr>
        <w:spacing w:after="0" w:line="89" w:lineRule="exact"/>
        <w:rPr>
          <w:rFonts w:ascii="Arial" w:cs="Arial" w:eastAsia="Arial" w:hAnsi="Arial"/>
          <w:sz w:val="12"/>
          <w:szCs w:val="12"/>
          <w:color w:val="auto"/>
        </w:rPr>
      </w:pPr>
    </w:p>
    <w:p>
      <w:pPr>
        <w:ind w:left="1240" w:hanging="383"/>
        <w:spacing w:after="0"/>
        <w:tabs>
          <w:tab w:leader="none" w:pos="12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For purposes of this Article 10:</w:t>
      </w:r>
    </w:p>
    <w:p>
      <w:pPr>
        <w:spacing w:after="0" w:line="114" w:lineRule="exact"/>
        <w:rPr>
          <w:rFonts w:ascii="Arial" w:cs="Arial" w:eastAsia="Arial" w:hAnsi="Arial"/>
          <w:sz w:val="12"/>
          <w:szCs w:val="12"/>
          <w:color w:val="auto"/>
        </w:rPr>
      </w:pPr>
    </w:p>
    <w:p>
      <w:pPr>
        <w:ind w:right="20" w:firstLine="1193"/>
        <w:spacing w:after="0" w:line="313" w:lineRule="auto"/>
        <w:tabs>
          <w:tab w:leader="none" w:pos="1606" w:val="left"/>
        </w:tabs>
        <w:numPr>
          <w:ilvl w:val="1"/>
          <w:numId w:val="17"/>
        </w:numPr>
        <w:rPr>
          <w:rFonts w:ascii="Arial" w:cs="Arial" w:eastAsia="Arial" w:hAnsi="Arial"/>
          <w:sz w:val="10"/>
          <w:szCs w:val="10"/>
          <w:color w:val="auto"/>
        </w:rPr>
      </w:pPr>
      <w:r>
        <w:rPr>
          <w:rFonts w:ascii="Arial" w:cs="Arial" w:eastAsia="Arial" w:hAnsi="Arial"/>
          <w:sz w:val="10"/>
          <w:szCs w:val="10"/>
          <w:color w:val="auto"/>
        </w:rPr>
        <w:t>The term “Business Combination” shall mean (i) any merger or consolidation of the Corporation or a subsidiary of the Corporation into or with a Related Person, in each case irrespective of which corporation or company is the surviving entity; (ii) any sale, lease, exchange, mortgage, pledge, transfer or other disposition to or with a Related Person (in a single transaction or a series of related transactions) of all or a “Substantial Part” (as hereinafter defined) of the assets of the Corporation (including without limitation any securities of a subsidiary) or of a subsidiary of the Corporation; (iii) any sale, lease, exchange, mortgage, pledge, transfer or other disposition to or with the Corporation or to or with a subsidiary of the Corporation (in a single transaction or series of related transactions) of all or a Substantial Part of the assets of a Related Person; (iv) the issuance of any securities of the Corporation or of a subsidiary of the Corporation to a Related Person (other than an issuance of securities which is effected on a pro rata basis to all shareholders of the Corporation); (v) any recapitalization or reclassification of securities (including any reverse stock split) of the Corporation which would have the effect, directly or indirectly, of increasing the proportionate share of the outstanding Voting Stock of the Corporation owned by a Related Person; (vi) the adoption of any plan or proposal for the liquidation or dissolution of the Corporation proposed by or on behalf of a Related Person; and (vii) the acquisition by the Corporation or by a subsidiary of the Corporation of any securities of a Related Person.</w:t>
      </w:r>
    </w:p>
    <w:p>
      <w:pPr>
        <w:spacing w:after="0" w:line="67" w:lineRule="exact"/>
        <w:rPr>
          <w:rFonts w:ascii="Arial" w:cs="Arial" w:eastAsia="Arial" w:hAnsi="Arial"/>
          <w:sz w:val="10"/>
          <w:szCs w:val="10"/>
          <w:color w:val="auto"/>
        </w:rPr>
      </w:pPr>
    </w:p>
    <w:p>
      <w:pPr>
        <w:ind w:right="60" w:firstLine="1301"/>
        <w:spacing w:after="0" w:line="286" w:lineRule="auto"/>
        <w:tabs>
          <w:tab w:leader="none" w:pos="1707" w:val="left"/>
        </w:tabs>
        <w:numPr>
          <w:ilvl w:val="2"/>
          <w:numId w:val="17"/>
        </w:numPr>
        <w:rPr>
          <w:rFonts w:ascii="Arial" w:cs="Arial" w:eastAsia="Arial" w:hAnsi="Arial"/>
          <w:sz w:val="11"/>
          <w:szCs w:val="11"/>
          <w:color w:val="auto"/>
        </w:rPr>
      </w:pPr>
      <w:r>
        <w:rPr>
          <w:rFonts w:ascii="Arial" w:cs="Arial" w:eastAsia="Arial" w:hAnsi="Arial"/>
          <w:sz w:val="11"/>
          <w:szCs w:val="11"/>
          <w:color w:val="auto"/>
        </w:rPr>
        <w:t>The term “Related Person” shall mean any individual, corporation, partnership or other person or entity (other than any subsidiary of the Corporation and other than any profit-sharing, employee stock ownership or other employee benefit plan of the Corporation or a subsidiary of the Corporation) which, as of the record date for the determination of shareholders entitled to notice of and to vote on any Business Combination, or immediately prior to the consummation of such transaction, together with its “Affiliates” and “Associates” (as defined in Rule 12b-2 of the General Rules and Regulations under the Securities Exchange Act of 1934 as in effect at the date of the adoption of this Article by the shareholders of the Corporation (collectively and as so in effect, the “Exchange Act”)), are “Beneficial Owners” (as defined in Rule 13d-3 of the Exchange Act) in the aggregate of ten (10%) percent or more of the outstanding shares of Voting Stock of the Corporation, and any Affiliate or Associate of any such individual, corporation, partnership or other person or entity.</w:t>
      </w:r>
    </w:p>
    <w:p>
      <w:pPr>
        <w:spacing w:after="0" w:line="75" w:lineRule="exact"/>
        <w:rPr>
          <w:rFonts w:ascii="Arial" w:cs="Arial" w:eastAsia="Arial" w:hAnsi="Arial"/>
          <w:sz w:val="11"/>
          <w:szCs w:val="11"/>
          <w:color w:val="auto"/>
        </w:rPr>
      </w:pPr>
    </w:p>
    <w:p>
      <w:pPr>
        <w:ind w:right="160" w:firstLine="1301"/>
        <w:spacing w:after="0" w:line="276" w:lineRule="auto"/>
        <w:tabs>
          <w:tab w:leader="none" w:pos="1707" w:val="left"/>
        </w:tabs>
        <w:numPr>
          <w:ilvl w:val="2"/>
          <w:numId w:val="17"/>
        </w:numPr>
        <w:rPr>
          <w:rFonts w:ascii="Arial" w:cs="Arial" w:eastAsia="Arial" w:hAnsi="Arial"/>
          <w:sz w:val="12"/>
          <w:szCs w:val="12"/>
          <w:color w:val="auto"/>
        </w:rPr>
      </w:pPr>
      <w:r>
        <w:rPr>
          <w:rFonts w:ascii="Arial" w:cs="Arial" w:eastAsia="Arial" w:hAnsi="Arial"/>
          <w:sz w:val="12"/>
          <w:szCs w:val="12"/>
          <w:color w:val="auto"/>
        </w:rPr>
        <w:t>The term “Substantial Part” shall mean assets having a fair market value, as determined by two-thirds of the Continuing Directors, of more than twenty (20%) percent of the total consolidated assets of the Corporation and its subsidiaries taken as a whole, as of the end of its most recent fiscal year ending prior to the time the determination is being made.</w:t>
      </w:r>
    </w:p>
    <w:p>
      <w:pPr>
        <w:spacing w:after="0" w:line="78" w:lineRule="exact"/>
        <w:rPr>
          <w:rFonts w:ascii="Arial" w:cs="Arial" w:eastAsia="Arial" w:hAnsi="Arial"/>
          <w:sz w:val="12"/>
          <w:szCs w:val="12"/>
          <w:color w:val="auto"/>
        </w:rPr>
      </w:pPr>
    </w:p>
    <w:p>
      <w:pPr>
        <w:ind w:firstLine="1301"/>
        <w:spacing w:after="0" w:line="255" w:lineRule="auto"/>
        <w:tabs>
          <w:tab w:leader="none" w:pos="1714" w:val="left"/>
        </w:tabs>
        <w:numPr>
          <w:ilvl w:val="2"/>
          <w:numId w:val="17"/>
        </w:numPr>
        <w:rPr>
          <w:rFonts w:ascii="Arial" w:cs="Arial" w:eastAsia="Arial" w:hAnsi="Arial"/>
          <w:sz w:val="12"/>
          <w:szCs w:val="12"/>
          <w:color w:val="auto"/>
        </w:rPr>
      </w:pPr>
      <w:r>
        <w:rPr>
          <w:rFonts w:ascii="Arial" w:cs="Arial" w:eastAsia="Arial" w:hAnsi="Arial"/>
          <w:sz w:val="12"/>
          <w:szCs w:val="12"/>
          <w:color w:val="auto"/>
        </w:rPr>
        <w:t>Without limitation, any shares of Voting Stock of the Corporation that any Related Person has the right to acquire at any time (notwithstanding that Rule 13d-3 of the Exchange Act deems such shares to be beneficially owned only if such right may be exercised within 60 days) pursuant to any agreement, or upon exercise of conversion rights, warrants or options, or otherwise, shall be deemed to be beneficially owned by the Related Person and to be outstanding for purposes of subparagraph (B) above.</w:t>
      </w:r>
    </w:p>
    <w:p>
      <w:pPr>
        <w:spacing w:after="0" w:line="1" w:lineRule="exact"/>
        <w:rPr>
          <w:rFonts w:ascii="Arial" w:cs="Arial" w:eastAsia="Arial" w:hAnsi="Arial"/>
          <w:sz w:val="12"/>
          <w:szCs w:val="12"/>
          <w:color w:val="auto"/>
        </w:rPr>
      </w:pPr>
    </w:p>
    <w:p>
      <w:pPr>
        <w:ind w:right="340" w:firstLine="1301"/>
        <w:spacing w:after="0" w:line="306" w:lineRule="auto"/>
        <w:tabs>
          <w:tab w:leader="none" w:pos="1702" w:val="left"/>
        </w:tabs>
        <w:numPr>
          <w:ilvl w:val="2"/>
          <w:numId w:val="17"/>
        </w:numPr>
        <w:rPr>
          <w:rFonts w:ascii="Arial" w:cs="Arial" w:eastAsia="Arial" w:hAnsi="Arial"/>
          <w:sz w:val="11"/>
          <w:szCs w:val="11"/>
          <w:color w:val="auto"/>
        </w:rPr>
      </w:pPr>
      <w:r>
        <w:rPr>
          <w:rFonts w:ascii="Arial" w:cs="Arial" w:eastAsia="Arial" w:hAnsi="Arial"/>
          <w:sz w:val="11"/>
          <w:szCs w:val="11"/>
          <w:color w:val="auto"/>
        </w:rPr>
        <w:t>For the purposes of subparagraph (B)(1) of paragraph I of this Article 10, the term “other consideration to be received” shall include, without limitation, Common Stock or other capital stock of the Corporation retained by shareholders of the Corporation other than Related Persons or parties to such Business Combination in the event of a Business Combination in which the Corporation is the surviving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111760</wp:posOffset>
            </wp:positionV>
            <wp:extent cx="7310755" cy="18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60"/>
          </w:cols>
          <w:pgMar w:left="220" w:top="149" w:right="219" w:bottom="1440" w:gutter="0" w:footer="0" w:header="0"/>
        </w:sectPr>
      </w:pPr>
    </w:p>
    <w:bookmarkStart w:id="45" w:name="page46"/>
    <w:bookmarkEnd w:id="45"/>
    <w:p>
      <w:pPr>
        <w:spacing w:after="0"/>
        <w:rPr>
          <w:sz w:val="20"/>
          <w:szCs w:val="20"/>
          <w:color w:val="auto"/>
        </w:rPr>
      </w:pPr>
      <w:r>
        <w:rPr>
          <w:rFonts w:ascii="Arial" w:cs="Arial" w:eastAsia="Arial" w:hAnsi="Arial"/>
          <w:sz w:val="12"/>
          <w:szCs w:val="12"/>
          <w:color w:val="808080"/>
        </w:rPr>
        <w:t>Click here to enter text.</w:t>
      </w:r>
    </w:p>
    <w:p>
      <w:pPr>
        <w:spacing w:after="0" w:line="114" w:lineRule="exact"/>
        <w:rPr>
          <w:sz w:val="20"/>
          <w:szCs w:val="20"/>
          <w:color w:val="auto"/>
        </w:rPr>
      </w:pPr>
    </w:p>
    <w:p>
      <w:pPr>
        <w:ind w:right="60" w:firstLine="1301"/>
        <w:spacing w:after="0" w:line="276" w:lineRule="auto"/>
        <w:tabs>
          <w:tab w:leader="none" w:pos="1694" w:val="left"/>
        </w:tabs>
        <w:numPr>
          <w:ilvl w:val="1"/>
          <w:numId w:val="18"/>
        </w:numPr>
        <w:rPr>
          <w:rFonts w:ascii="Arial" w:cs="Arial" w:eastAsia="Arial" w:hAnsi="Arial"/>
          <w:sz w:val="12"/>
          <w:szCs w:val="12"/>
          <w:color w:val="auto"/>
        </w:rPr>
      </w:pPr>
      <w:r>
        <w:rPr>
          <w:rFonts w:ascii="Arial" w:cs="Arial" w:eastAsia="Arial" w:hAnsi="Arial"/>
          <w:sz w:val="12"/>
          <w:szCs w:val="12"/>
          <w:color w:val="auto"/>
        </w:rPr>
        <w:t>The term “Voting Stock” shall mean all outstanding shares of capital stock of the Corporation entitled to vote generally in the election of directors and each reference to a proportion of Voting Stock shall refer to such proportion of the votes entitled to be cast by such shares.</w:t>
      </w:r>
    </w:p>
    <w:p>
      <w:pPr>
        <w:spacing w:after="0" w:line="78" w:lineRule="exact"/>
        <w:rPr>
          <w:rFonts w:ascii="Arial" w:cs="Arial" w:eastAsia="Arial" w:hAnsi="Arial"/>
          <w:sz w:val="12"/>
          <w:szCs w:val="12"/>
          <w:color w:val="auto"/>
        </w:rPr>
      </w:pPr>
    </w:p>
    <w:p>
      <w:pPr>
        <w:ind w:right="60" w:firstLine="1301"/>
        <w:spacing w:after="0" w:line="263" w:lineRule="auto"/>
        <w:tabs>
          <w:tab w:leader="none" w:pos="1714" w:val="left"/>
        </w:tabs>
        <w:numPr>
          <w:ilvl w:val="1"/>
          <w:numId w:val="18"/>
        </w:numPr>
        <w:rPr>
          <w:rFonts w:ascii="Arial" w:cs="Arial" w:eastAsia="Arial" w:hAnsi="Arial"/>
          <w:sz w:val="12"/>
          <w:szCs w:val="12"/>
          <w:color w:val="auto"/>
        </w:rPr>
      </w:pPr>
      <w:r>
        <w:rPr>
          <w:rFonts w:ascii="Arial" w:cs="Arial" w:eastAsia="Arial" w:hAnsi="Arial"/>
          <w:sz w:val="12"/>
          <w:szCs w:val="12"/>
          <w:color w:val="auto"/>
        </w:rPr>
        <w:t>The term “Continuing Director” shall mean a director who was a member of the Board of Directors of the Corporation at the date of the adoption of this Article by the shareholders of the Corporation, together with each director who either (i) was a member of the Board of Directors immediately prior to the time that the Related Person involved in a Business Combination became the Beneficial Owner of ten (10%) percent of the Voting Stock of the Corporation, or (ii) was designated (before his or her initial election as director) as a Continuing Director by a majority of the then Continuing Directors.</w:t>
      </w:r>
    </w:p>
    <w:p>
      <w:pPr>
        <w:spacing w:after="0" w:line="194" w:lineRule="exact"/>
        <w:rPr>
          <w:rFonts w:ascii="Arial" w:cs="Arial" w:eastAsia="Arial" w:hAnsi="Arial"/>
          <w:sz w:val="12"/>
          <w:szCs w:val="12"/>
          <w:color w:val="auto"/>
        </w:rPr>
      </w:pPr>
    </w:p>
    <w:p>
      <w:pPr>
        <w:ind w:right="100" w:firstLine="1301"/>
        <w:spacing w:after="0" w:line="259" w:lineRule="auto"/>
        <w:tabs>
          <w:tab w:leader="none" w:pos="1709" w:val="left"/>
        </w:tabs>
        <w:numPr>
          <w:ilvl w:val="1"/>
          <w:numId w:val="18"/>
        </w:numPr>
        <w:rPr>
          <w:rFonts w:ascii="Arial" w:cs="Arial" w:eastAsia="Arial" w:hAnsi="Arial"/>
          <w:sz w:val="12"/>
          <w:szCs w:val="12"/>
          <w:color w:val="auto"/>
        </w:rPr>
      </w:pPr>
      <w:r>
        <w:rPr>
          <w:rFonts w:ascii="Arial" w:cs="Arial" w:eastAsia="Arial" w:hAnsi="Arial"/>
          <w:sz w:val="12"/>
          <w:szCs w:val="12"/>
          <w:color w:val="auto"/>
        </w:rPr>
        <w:t>A Related Person shall be deemed to have acquired a share of the Voting Stock of the Corporation at the time when such Related Person became the Beneficial Owner thereof. With respect to the shares owned by Affiliates, Associates or other persons whose ownership is attributed to a Related Person under the foregoing definition of Related Person, if the price paid by such Related Person for such shares is not determinable by the Continuing Directors, the price so paid shall be deemed to be the higher of (i) the price paid upon the acquisition thereof by the Affiliate, Associate or other person or (ii) the market price of the shares in question at the time when the Related Person became the Beneficial Owner thereof.</w:t>
      </w:r>
    </w:p>
    <w:p>
      <w:pPr>
        <w:spacing w:after="0" w:line="88" w:lineRule="exact"/>
        <w:rPr>
          <w:rFonts w:ascii="Arial" w:cs="Arial" w:eastAsia="Arial" w:hAnsi="Arial"/>
          <w:sz w:val="12"/>
          <w:szCs w:val="12"/>
          <w:color w:val="auto"/>
        </w:rPr>
      </w:pPr>
    </w:p>
    <w:p>
      <w:pPr>
        <w:ind w:firstLine="1301"/>
        <w:spacing w:after="0" w:line="280" w:lineRule="auto"/>
        <w:tabs>
          <w:tab w:leader="none" w:pos="1667" w:val="left"/>
        </w:tabs>
        <w:numPr>
          <w:ilvl w:val="1"/>
          <w:numId w:val="18"/>
        </w:numPr>
        <w:rPr>
          <w:rFonts w:ascii="Arial" w:cs="Arial" w:eastAsia="Arial" w:hAnsi="Arial"/>
          <w:sz w:val="11"/>
          <w:szCs w:val="11"/>
          <w:color w:val="auto"/>
        </w:rPr>
      </w:pPr>
      <w:r>
        <w:rPr>
          <w:rFonts w:ascii="Arial" w:cs="Arial" w:eastAsia="Arial" w:hAnsi="Arial"/>
          <w:sz w:val="11"/>
          <w:szCs w:val="11"/>
          <w:color w:val="auto"/>
        </w:rPr>
        <w:t>The terms “Highest Per Share Price” and “Highest Equivalent Price” as used in this Article 10 shall mean the following: If there is only one class of capital stock of the Corporation issued and outstanding, the Highest Per Share Price shall mean the highest price that can be determined to have been paid at any time by the Related Person for any share or shares of that class of capital stock. If there is more than one class of capital stock of the Corporation issued and outstanding, the Highest Equivalent Price shall mean with respect to each class and series of capital stock of the Corporation, the amount determined by two-thirds of the Continuing Directors, on whatever basis they believe is appropriate, to be the highest per share price equivalent of the highest price that can be determined to have been paid at any time by the Related Person for any share or shares of any class or series of capital stock of the Corporation. In determining the Highest Per Share Price and Highest Equivalent Price, appropriate adjustments shall be made for recapitalizations and for stock splits, stock dividends and like distributions or transactions, and all purchases by the Related Person shall be taken into account regardless of whether the shares were purchased before or after the Related Person became a Related Person. Also, the Highest Per Share Price and the Highest Equivalent Price shall include any brokerage commissions, transfer taxes and soliciting dealers’ fees paid by the Related Person with respect to the shares of capital stock of the Corporation acquired by the Related Person. In the case of any Business Combination with a Related Person, the Continuing Directors should determine the Highest Equivalent Price for each class and series of the capital stock of the Corporation.</w:t>
      </w:r>
    </w:p>
    <w:p>
      <w:pPr>
        <w:spacing w:after="0" w:line="80" w:lineRule="exact"/>
        <w:rPr>
          <w:rFonts w:ascii="Arial" w:cs="Arial" w:eastAsia="Arial" w:hAnsi="Arial"/>
          <w:sz w:val="11"/>
          <w:szCs w:val="11"/>
          <w:color w:val="auto"/>
        </w:rPr>
      </w:pPr>
    </w:p>
    <w:p>
      <w:pPr>
        <w:ind w:right="360" w:firstLine="857"/>
        <w:spacing w:after="0" w:line="263" w:lineRule="auto"/>
        <w:tabs>
          <w:tab w:leader="none" w:pos="1255" w:val="left"/>
        </w:tabs>
        <w:numPr>
          <w:ilvl w:val="0"/>
          <w:numId w:val="19"/>
        </w:numPr>
        <w:rPr>
          <w:rFonts w:ascii="Arial" w:cs="Arial" w:eastAsia="Arial" w:hAnsi="Arial"/>
          <w:sz w:val="12"/>
          <w:szCs w:val="12"/>
          <w:color w:val="auto"/>
        </w:rPr>
      </w:pPr>
      <w:r>
        <w:rPr>
          <w:rFonts w:ascii="Arial" w:cs="Arial" w:eastAsia="Arial" w:hAnsi="Arial"/>
          <w:sz w:val="12"/>
          <w:szCs w:val="12"/>
          <w:color w:val="auto"/>
        </w:rPr>
        <w:t>Notwithstanding any other provisions of these Articles of Incorporation or the By-Laws of the Corporation (and notwithstanding the fact that a lesser percentage may be specified by law, these Articles of Incorporation or the By-Laws of the Corporation), the affirmative vote of the holders of at least eighty (80%) percent of the outstanding shares of Voting Stock of the Corporation, voting together as a single class, shall be required to amend, alter, change or repeal, or adopt any provisions inconsistent with, this Article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125730</wp:posOffset>
            </wp:positionV>
            <wp:extent cx="7310755" cy="18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sectPr>
      <w:pgSz w:w="11900" w:h="16838" w:orient="portrait"/>
      <w:cols w:equalWidth="0" w:num="1">
        <w:col w:w="11460"/>
      </w:cols>
      <w:pgMar w:left="220" w:top="149"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lowerLetter"/>
      <w:start w:val="1"/>
    </w:lvl>
  </w:abstractNum>
  <w:abstractNum w:abstractNumId="4">
    <w:nsid w:val="66EF438D"/>
    <w:multiLevelType w:val="hybridMultilevel"/>
    <w:lvl w:ilvl="0">
      <w:lvlJc w:val="left"/>
      <w:lvlText w:val="(%1)"/>
      <w:numFmt w:val="lowerLetter"/>
      <w:start w:val="2"/>
    </w:lvl>
  </w:abstractNum>
  <w:abstractNum w:abstractNumId="5">
    <w:nsid w:val="140E0F76"/>
    <w:multiLevelType w:val="hybridMultilevel"/>
    <w:lvl w:ilvl="0">
      <w:lvlJc w:val="left"/>
      <w:lvlText w:val="(%1)"/>
      <w:numFmt w:val="lowerRoman"/>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lvl w:ilvl="1">
      <w:lvlJc w:val="left"/>
      <w:lvlText w:val="(%2)"/>
      <w:numFmt w:val="lowerLetter"/>
      <w:start w:val="1"/>
    </w:lvl>
  </w:abstractNum>
  <w:abstractNum w:abstractNumId="8">
    <w:nsid w:val="DED7263"/>
    <w:multiLevelType w:val="hybridMultilevel"/>
    <w:lvl w:ilvl="0">
      <w:lvlJc w:val="left"/>
      <w:lvlText w:val="%1."/>
      <w:numFmt w:val="decimal"/>
      <w:start w:val="1"/>
    </w:lvl>
    <w:lvl w:ilvl="1">
      <w:lvlJc w:val="left"/>
      <w:lvlText w:val="(%2)"/>
      <w:numFmt w:val="lowerLetter"/>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5"/>
    </w:lvl>
    <w:lvl w:ilvl="1">
      <w:lvlJc w:val="left"/>
      <w:lvlText w:val="(%2)"/>
      <w:numFmt w:val="lowerLetter"/>
      <w:start w:val="2"/>
    </w:lvl>
    <w:lvl w:ilvl="2">
      <w:lvlJc w:val="left"/>
      <w:lvlText w:val="(%3)"/>
      <w:numFmt w:val="lowerLetter"/>
      <w:start w:val="2"/>
    </w:lvl>
    <w:lvl w:ilvl="3">
      <w:lvlJc w:val="left"/>
      <w:lvlText w:val="%4."/>
      <w:numFmt w:val="decimal"/>
      <w:start w:val="1"/>
    </w:lvl>
  </w:abstractNum>
  <w:abstractNum w:abstractNumId="11">
    <w:nsid w:val="41A7C4C9"/>
    <w:multiLevelType w:val="hybridMultilevel"/>
    <w:lvl w:ilvl="0">
      <w:lvlJc w:val="left"/>
      <w:lvlText w:val="%1"/>
      <w:numFmt w:val="decimal"/>
      <w:start w:val="1"/>
    </w:lvl>
    <w:lvl w:ilvl="1">
      <w:lvlJc w:val="left"/>
      <w:lvlText w:val="(%2)"/>
      <w:numFmt w:val="lowerLetter"/>
      <w:start w:val="3"/>
    </w:lvl>
  </w:abstractNum>
  <w:abstractNum w:abstractNumId="12">
    <w:nsid w:val="6B68079A"/>
    <w:multiLevelType w:val="hybridMultilevel"/>
    <w:lvl w:ilvl="0">
      <w:lvlJc w:val="left"/>
      <w:lvlText w:val="%1."/>
      <w:numFmt w:val="decimal"/>
      <w:start w:val="8"/>
    </w:lvl>
    <w:lvl w:ilvl="1">
      <w:lvlJc w:val="left"/>
      <w:lvlText w:val="%2"/>
      <w:numFmt w:val="lowerLetter"/>
      <w:start w:val="1"/>
    </w:lvl>
  </w:abstractNum>
  <w:abstractNum w:abstractNumId="13">
    <w:nsid w:val="4E6AFB66"/>
    <w:multiLevelType w:val="hybridMultilevel"/>
    <w:lvl w:ilvl="0">
      <w:lvlJc w:val="left"/>
      <w:lvlText w:val="%1."/>
      <w:numFmt w:val="decimal"/>
      <w:start w:val="9"/>
    </w:lvl>
  </w:abstractNum>
  <w:abstractNum w:abstractNumId="14">
    <w:nsid w:val="25E45D32"/>
    <w:multiLevelType w:val="hybridMultilevel"/>
    <w:lvl w:ilvl="0">
      <w:lvlJc w:val="left"/>
      <w:lvlText w:val="%1."/>
      <w:numFmt w:val="decimal"/>
      <w:start w:val="10"/>
    </w:lvl>
  </w:abstractNum>
  <w:abstractNum w:abstractNumId="15">
    <w:nsid w:val="519B500D"/>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1"/>
    </w:lvl>
    <w:lvl w:ilvl="3">
      <w:lvlJc w:val="left"/>
      <w:lvlText w:val="(%4)"/>
      <w:numFmt w:val="decimal"/>
      <w:start w:val="1"/>
    </w:lvl>
  </w:abstractNum>
  <w:abstractNum w:abstractNumId="16">
    <w:nsid w:val="431BD7B7"/>
    <w:multiLevelType w:val="hybridMultilevel"/>
    <w:lvl w:ilvl="0">
      <w:lvlJc w:val="left"/>
      <w:lvlText w:val="%1."/>
      <w:numFmt w:val="upperLetter"/>
      <w:start w:val="35"/>
    </w:lvl>
    <w:lvl w:ilvl="1">
      <w:lvlJc w:val="left"/>
      <w:lvlText w:val="(%2)"/>
      <w:numFmt w:val="upperLetter"/>
      <w:start w:val="1"/>
    </w:lvl>
    <w:lvl w:ilvl="2">
      <w:lvlJc w:val="left"/>
      <w:lvlText w:val="(%3)"/>
      <w:numFmt w:val="upperLetter"/>
      <w:start w:val="2"/>
    </w:lvl>
    <w:lvl w:ilvl="3">
      <w:lvlJc w:val="left"/>
      <w:lvlText w:val="%4"/>
      <w:numFmt w:val="decimal"/>
      <w:start w:val="1"/>
    </w:lvl>
  </w:abstractNum>
  <w:abstractNum w:abstractNumId="17">
    <w:nsid w:val="3F2DBA31"/>
    <w:multiLevelType w:val="hybridMultilevel"/>
    <w:lvl w:ilvl="0">
      <w:lvlJc w:val="left"/>
      <w:lvlText w:val="%1"/>
      <w:numFmt w:val="upperLetter"/>
      <w:start w:val="1"/>
    </w:lvl>
    <w:lvl w:ilvl="1">
      <w:lvlJc w:val="left"/>
      <w:lvlText w:val="(%2)"/>
      <w:numFmt w:val="upperLetter"/>
      <w:start w:val="6"/>
    </w:lvl>
  </w:abstractNum>
  <w:abstractNum w:abstractNumId="18">
    <w:nsid w:val="7C83E458"/>
    <w:multiLevelType w:val="hybridMultilevel"/>
    <w:lvl w:ilvl="0">
      <w:lvlJc w:val="left"/>
      <w:lvlText w:val="%1."/>
      <w:numFmt w:val="upperLetter"/>
      <w:start w:val="61"/>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2019-12-28T09:17:47Z</dcterms:created>
  <dcterms:modified xsi:type="dcterms:W3CDTF">2019-12-28T09:17:47Z</dcterms:modified>
</cp:coreProperties>
</file>