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 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16"/>
        </w:rPr>
        <w:t xml:space="preserve">For the transition period from </w:t>
      </w:r>
      <w:r>
        <w:rPr>
          <w:color w:val="000000"/>
          <w:u w:val="single"/>
        </w:rPr>
        <w:t>            </w:t>
      </w:r>
      <w:r>
        <w:rPr>
          <w:color w:val="000000"/>
        </w:rPr>
        <w:t xml:space="preserve"> </w:t>
      </w:r>
      <w:r>
        <w:rPr>
          <w:rFonts w:ascii="Times New Roman;serif" w:hAnsi="Times New Roman;serif"/>
          <w:b/>
          <w:color w:val="000000"/>
          <w:sz w:val="16"/>
        </w:rPr>
        <w:t xml:space="preserve">to </w:t>
      </w:r>
      <w:r>
        <w:rPr>
          <w:color w:val="000000"/>
          <w:u w:val="single"/>
        </w:rPr>
        <w:t>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Commission file number 001-12019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color w:val="000000"/>
          <w:sz w:val="40"/>
        </w:rPr>
      </w:pPr>
      <w:r>
        <w:rPr>
          <w:rFonts w:ascii="Times New Roman;serif" w:hAnsi="Times New Roman;serif"/>
          <w:b/>
          <w:color w:val="000000"/>
          <w:sz w:val="40"/>
        </w:rPr>
        <w:t>QUAKER CHEMICAL CORPORATION</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center"/>
        <w:tblInd w:w="0" w:type="dxa"/>
        <w:tblLayout w:type="fixed"/>
        <w:tblCellMar>
          <w:top w:w="28" w:type="dxa"/>
          <w:left w:w="28" w:type="dxa"/>
          <w:bottom w:w="28" w:type="dxa"/>
          <w:right w:w="28" w:type="dxa"/>
        </w:tblCellMar>
      </w:tblPr>
      <w:tblGrid>
        <w:gridCol w:w="1356"/>
        <w:gridCol w:w="1193"/>
        <w:gridCol w:w="1200"/>
        <w:gridCol w:w="657"/>
        <w:gridCol w:w="657"/>
        <w:gridCol w:w="935"/>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Pennsylvania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23-0993790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bl>
    <w:tbl>
      <w:tblPr>
        <w:tblW w:w="3568" w:type="dxa"/>
        <w:jc w:val="center"/>
        <w:tblInd w:w="0" w:type="dxa"/>
        <w:tblLayout w:type="fixed"/>
        <w:tblCellMar>
          <w:top w:w="28" w:type="dxa"/>
          <w:left w:w="28" w:type="dxa"/>
          <w:bottom w:w="28" w:type="dxa"/>
          <w:right w:w="28" w:type="dxa"/>
        </w:tblCellMar>
      </w:tblPr>
      <w:tblGrid>
        <w:gridCol w:w="879"/>
        <w:gridCol w:w="773"/>
        <w:gridCol w:w="777"/>
        <w:gridCol w:w="333"/>
        <w:gridCol w:w="333"/>
        <w:gridCol w:w="47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901 E. Hector Street,</w:t>
            </w:r>
          </w:p>
          <w:p>
            <w:pPr>
              <w:pStyle w:val="TableContents"/>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Conshohocken, Pennsylvania</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19428 – 2380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610-832-4000</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Former name, former address and former fiscal year,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63" w:type="dxa"/>
        <w:jc w:val="center"/>
        <w:tblInd w:w="0" w:type="dxa"/>
        <w:tblLayout w:type="fixed"/>
        <w:tblCellMar>
          <w:top w:w="28" w:type="dxa"/>
          <w:left w:w="28" w:type="dxa"/>
          <w:bottom w:w="28" w:type="dxa"/>
          <w:right w:w="28" w:type="dxa"/>
        </w:tblCellMar>
      </w:tblPr>
      <w:tblGrid>
        <w:gridCol w:w="783"/>
        <w:gridCol w:w="684"/>
        <w:gridCol w:w="693"/>
        <w:gridCol w:w="109"/>
        <w:gridCol w:w="109"/>
        <w:gridCol w:w="109"/>
        <w:gridCol w:w="474"/>
        <w:gridCol w:w="474"/>
        <w:gridCol w:w="476"/>
        <w:gridCol w:w="109"/>
        <w:gridCol w:w="109"/>
        <w:gridCol w:w="109"/>
        <w:gridCol w:w="945"/>
        <w:gridCol w:w="945"/>
        <w:gridCol w:w="1335"/>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color w:val="000000"/>
          <w:sz w:val="16"/>
        </w:rPr>
        <w:t>o</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is a shell company (as defined in Rule 12b-2 of the Exchange Act).    Yes  </w:t>
      </w:r>
      <w:r>
        <w:rPr>
          <w:rFonts w:ascii="Wingdings;sans-serif" w:hAnsi="Wingdings;sans-serif"/>
          <w:b/>
          <w:color w:val="000000"/>
          <w:sz w:val="16"/>
        </w:rPr>
        <w:t>o</w:t>
      </w:r>
      <w:r>
        <w:rPr>
          <w:color w:val="000000"/>
        </w:rPr>
        <w:t>   </w:t>
      </w:r>
      <w:r>
        <w:rPr>
          <w:rFonts w:ascii="Times New Roman;serif" w:hAnsi="Times New Roman;serif"/>
          <w:b w:val="false"/>
          <w:color w:val="000000"/>
          <w:sz w:val="16"/>
        </w:rPr>
        <w:t>No  </w:t>
      </w:r>
      <w:r>
        <w:rPr>
          <w:rFonts w:ascii="Wingdings;sans-serif" w:hAnsi="Wingdings;sans-serif"/>
          <w:b/>
          <w:color w:val="000000"/>
          <w:sz w:val="16"/>
        </w:rPr>
        <w:t>x</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6226" w:type="dxa"/>
        <w:jc w:val="center"/>
        <w:tblInd w:w="0" w:type="dxa"/>
        <w:tblLayout w:type="fixed"/>
        <w:tblCellMar>
          <w:top w:w="28" w:type="dxa"/>
          <w:left w:w="28" w:type="dxa"/>
          <w:bottom w:w="28" w:type="dxa"/>
          <w:right w:w="28" w:type="dxa"/>
        </w:tblCellMar>
      </w:tblPr>
      <w:tblGrid>
        <w:gridCol w:w="1908"/>
        <w:gridCol w:w="1676"/>
        <w:gridCol w:w="1681"/>
        <w:gridCol w:w="281"/>
        <w:gridCol w:w="281"/>
        <w:gridCol w:w="399"/>
      </w:tblGrid>
      <w:tr>
        <w:trPr/>
        <w:tc>
          <w:tcPr>
            <w:tcW w:w="190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Number of Shares of Common Stock Outstanding on October 27, 2025</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17,340,035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913"/>
        <w:gridCol w:w="2913"/>
        <w:gridCol w:w="2920"/>
        <w:gridCol w:w="180"/>
        <w:gridCol w:w="180"/>
        <w:gridCol w:w="25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center"/>
              <w:rPr/>
            </w:pPr>
            <w:r>
              <w:rPr/>
              <w:t>Page</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0">
              <w:r>
                <w:rPr>
                  <w:rStyle w:val="InternetLink"/>
                  <w:rFonts w:ascii="Times New Roman;serif" w:hAnsi="Times New Roman;serif"/>
                  <w:b/>
                  <w:strike w:val="false"/>
                  <w:dstrike w:val="false"/>
                  <w:color w:val="0000FF"/>
                  <w:sz w:val="20"/>
                  <w:u w:val="none"/>
                  <w:effect w:val="none"/>
                </w:rPr>
                <w:t>PART 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0">
              <w:r>
                <w:rPr>
                  <w:rStyle w:val="InternetLink"/>
                  <w:rFonts w:ascii="Times New Roman;serif" w:hAnsi="Times New Roman;serif"/>
                  <w:b/>
                  <w:color w:val="0000FF"/>
                  <w:sz w:val="20"/>
                  <w:u w:val="single"/>
                </w:rPr>
                <w:t>FINANCIAL INFORMATION</w:t>
              </w:r>
            </w:hyperlink>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10">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3">
              <w:r>
                <w:rPr>
                  <w:rStyle w:val="InternetLink"/>
                  <w:rFonts w:ascii="Times New Roman;serif" w:hAnsi="Times New Roman;serif"/>
                  <w:b/>
                  <w:strike w:val="false"/>
                  <w:dstrike w:val="false"/>
                  <w:color w:val="0000FF"/>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13">
              <w:r>
                <w:rPr>
                  <w:rStyle w:val="InternetLink"/>
                  <w:rFonts w:ascii="Times New Roman;serif" w:hAnsi="Times New Roman;serif"/>
                  <w:b w:val="false"/>
                  <w:color w:val="0000FF"/>
                  <w:sz w:val="20"/>
                  <w:u w:val="single"/>
                </w:rPr>
                <w:t>Financial Statements (Unaudited)</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13">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16">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000FF"/>
                <w:sz w:val="20"/>
                <w:u w:val="single"/>
              </w:rPr>
              <w:t>Three and Nine</w:t>
            </w:r>
            <w:hyperlink w:anchor="ia78ffd87c5fc4b6d919a8ce783a3632e_16">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September 30, 2025</w:t>
            </w:r>
            <w:hyperlink w:anchor="ia78ffd87c5fc4b6d919a8ce783a3632e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September 30, 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16">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19">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0000FF"/>
                <w:sz w:val="20"/>
                <w:u w:val="single"/>
              </w:rPr>
              <w:t>Three and Nine</w:t>
            </w:r>
            <w:hyperlink w:anchor="ia78ffd87c5fc4b6d919a8ce783a3632e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September 30, 2025</w:t>
            </w:r>
            <w:hyperlink w:anchor="ia78ffd87c5fc4b6d919a8ce783a3632e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September 30, 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19">
              <w:r>
                <w:rPr>
                  <w:rStyle w:val="InternetLink"/>
                  <w:rFonts w:ascii="Times New Roman;serif" w:hAnsi="Times New Roman;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2">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000FF"/>
                <w:sz w:val="20"/>
                <w:u w:val="single"/>
              </w:rPr>
              <w:t xml:space="preserve">September 30, 2025 </w:t>
            </w:r>
            <w:hyperlink w:anchor="ia78ffd87c5fc4b6d919a8ce783a3632e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December 31, 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2">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FF"/>
                <w:sz w:val="20"/>
                <w:u w:val="single"/>
              </w:rPr>
              <w:t>Nine Months Ended September 30, 2025</w:t>
            </w:r>
            <w:hyperlink w:anchor="ia78ffd87c5fc4b6d919a8ce783a3632e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September 30, 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5">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8">
              <w:r>
                <w:rPr>
                  <w:rStyle w:val="InternetLink"/>
                  <w:rFonts w:ascii="Times New Roman;serif" w:hAnsi="Times New Roman;serif"/>
                  <w:b w:val="false"/>
                  <w:color w:val="000080"/>
                  <w:sz w:val="20"/>
                  <w:u w:val="single"/>
                </w:rPr>
                <w:t xml:space="preserve">Condensed Consolidated Statements of Changes in Equity for the </w:t>
              </w:r>
            </w:hyperlink>
            <w:r>
              <w:rPr>
                <w:rFonts w:ascii="Times New Roman;serif" w:hAnsi="Times New Roman;serif"/>
                <w:b w:val="false"/>
                <w:color w:val="0000FF"/>
                <w:sz w:val="20"/>
                <w:u w:val="single"/>
              </w:rPr>
              <w:t>Three and Nine</w:t>
            </w:r>
            <w:hyperlink w:anchor="ia78ffd87c5fc4b6d919a8ce783a3632e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 xml:space="preserve">September 30, 2025 </w:t>
            </w:r>
            <w:hyperlink w:anchor="ia78ffd87c5fc4b6d919a8ce783a3632e_28">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September 30, 2024</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8">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31">
              <w:r>
                <w:rPr>
                  <w:rStyle w:val="InternetLink"/>
                  <w:rFonts w:ascii="Times New Roman;serif" w:hAnsi="Times New Roman;serif"/>
                  <w:b w:val="false"/>
                  <w:color w:val="0000FF"/>
                  <w:sz w:val="20"/>
                  <w:u w:val="single"/>
                </w:rPr>
                <w:t>Notes to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31">
              <w:r>
                <w:rPr>
                  <w:rStyle w:val="InternetLink"/>
                  <w:rFonts w:ascii="Times New Roman;serif" w:hAnsi="Times New Roman;serif"/>
                  <w:b w:val="false"/>
                  <w:color w:val="0000FF"/>
                  <w:sz w:val="20"/>
                  <w:u w:val="single"/>
                </w:rPr>
                <w:t>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38">
              <w:r>
                <w:rPr>
                  <w:rStyle w:val="InternetLink"/>
                  <w:rFonts w:ascii="Times New Roman;serif" w:hAnsi="Times New Roman;serif"/>
                  <w:b/>
                  <w:strike w:val="false"/>
                  <w:dstrike w:val="false"/>
                  <w:color w:val="0000FF"/>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16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166">
              <w:r>
                <w:rPr>
                  <w:rStyle w:val="InternetLink"/>
                  <w:rFonts w:ascii="Times New Roman;serif" w:hAnsi="Times New Roman;serif"/>
                  <w:b w:val="false"/>
                  <w:color w:val="0000FF"/>
                  <w:sz w:val="20"/>
                  <w:u w:val="single"/>
                </w:rPr>
                <w:t>28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20">
              <w:r>
                <w:rPr>
                  <w:rStyle w:val="InternetLink"/>
                  <w:rFonts w:ascii="Times New Roman;serif" w:hAnsi="Times New Roman;serif"/>
                  <w:b/>
                  <w:strike w:val="false"/>
                  <w:dstrike w:val="false"/>
                  <w:color w:val="0000FF"/>
                  <w:sz w:val="20"/>
                  <w:u w:val="none"/>
                  <w:effect w:val="none"/>
                </w:rPr>
                <w:t>Item 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20">
              <w:r>
                <w:rPr>
                  <w:rStyle w:val="InternetLink"/>
                  <w:rFonts w:ascii="Times New Roman;serif" w:hAnsi="Times New Roman;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20">
              <w:r>
                <w:rPr>
                  <w:rStyle w:val="InternetLink"/>
                  <w:rFonts w:ascii="Times New Roman;serif" w:hAnsi="Times New Roman;serif"/>
                  <w:b w:val="false"/>
                  <w:color w:val="0000FF"/>
                  <w:sz w:val="20"/>
                  <w:u w:val="single"/>
                </w:rPr>
                <w:t>42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26">
              <w:r>
                <w:rPr>
                  <w:rStyle w:val="InternetLink"/>
                  <w:rFonts w:ascii="Times New Roman;serif" w:hAnsi="Times New Roman;serif"/>
                  <w:b/>
                  <w:strike w:val="false"/>
                  <w:dstrike w:val="false"/>
                  <w:color w:val="0000FF"/>
                  <w:sz w:val="20"/>
                  <w:u w:val="none"/>
                  <w:effect w:val="none"/>
                </w:rPr>
                <w:t>Item 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26">
              <w:r>
                <w:rPr>
                  <w:rStyle w:val="InternetLink"/>
                  <w:rFonts w:ascii="Times New Roman;serif" w:hAnsi="Times New Roman;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26">
              <w:r>
                <w:rPr>
                  <w:rStyle w:val="InternetLink"/>
                  <w:rFonts w:ascii="Times New Roman;serif" w:hAnsi="Times New Roman;serif"/>
                  <w:b w:val="false"/>
                  <w:color w:val="0000FF"/>
                  <w:sz w:val="20"/>
                  <w:u w:val="single"/>
                </w:rPr>
                <w:t>42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29">
              <w:r>
                <w:rPr>
                  <w:rStyle w:val="InternetLink"/>
                  <w:rFonts w:ascii="Times New Roman;serif" w:hAnsi="Times New Roman;serif"/>
                  <w:b/>
                  <w:strike w:val="false"/>
                  <w:dstrike w:val="false"/>
                  <w:color w:val="0000FF"/>
                  <w:sz w:val="20"/>
                  <w:u w:val="none"/>
                  <w:effect w:val="none"/>
                </w:rPr>
                <w:t>PART II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29">
              <w:r>
                <w:rPr>
                  <w:rStyle w:val="InternetLink"/>
                  <w:rFonts w:ascii="Times New Roman;serif" w:hAnsi="Times New Roman;serif"/>
                  <w:b/>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32">
              <w:r>
                <w:rPr>
                  <w:rStyle w:val="InternetLink"/>
                  <w:rFonts w:ascii="Times New Roman;serif" w:hAnsi="Times New Roman;serif"/>
                  <w:b/>
                  <w:strike w:val="false"/>
                  <w:dstrike w:val="false"/>
                  <w:color w:val="0000FF"/>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32">
              <w:r>
                <w:rPr>
                  <w:rStyle w:val="InternetLink"/>
                  <w:rFonts w:ascii="Times New Roman;serif" w:hAnsi="Times New Roman;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32">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35">
              <w:r>
                <w:rPr>
                  <w:rStyle w:val="InternetLink"/>
                  <w:rFonts w:ascii="Times New Roman;serif" w:hAnsi="Times New Roman;serif"/>
                  <w:b/>
                  <w:strike w:val="false"/>
                  <w:dstrike w:val="false"/>
                  <w:color w:val="0000FF"/>
                  <w:sz w:val="20"/>
                  <w:u w:val="none"/>
                  <w:effect w:val="none"/>
                </w:rPr>
                <w:t>Item 1A.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35">
              <w:r>
                <w:rPr>
                  <w:rStyle w:val="InternetLink"/>
                  <w:rFonts w:ascii="Times New Roman;serif" w:hAnsi="Times New Roman;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35">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66">
              <w:r>
                <w:rPr>
                  <w:rStyle w:val="InternetLink"/>
                  <w:rFonts w:ascii="Times New Roman;serif" w:hAnsi="Times New Roman;serif"/>
                  <w:b/>
                  <w:strike w:val="false"/>
                  <w:dstrike w:val="false"/>
                  <w:color w:val="0000FF"/>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38">
              <w:r>
                <w:rPr>
                  <w:rStyle w:val="InternetLink"/>
                  <w:rFonts w:ascii="Times New Roman;serif" w:hAnsi="Times New Roman;serif"/>
                  <w:b w:val="false"/>
                  <w:color w:val="0000FF"/>
                  <w:sz w:val="20"/>
                  <w:u w:val="singl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38">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FF"/>
                <w:sz w:val="20"/>
              </w:rPr>
            </w:pPr>
            <w:r>
              <w:rPr>
                <w:rFonts w:ascii="Times New Roman;serif" w:hAnsi="Times New Roman;serif"/>
                <w:b/>
                <w:color w:val="0000FF"/>
                <w:sz w:val="20"/>
              </w:rPr>
              <w:t>Item 5.</w:t>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41">
              <w:r>
                <w:rPr>
                  <w:rStyle w:val="InternetLink"/>
                  <w:rFonts w:ascii="Times New Roman;serif" w:hAnsi="Times New Roman;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41">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44">
              <w:r>
                <w:rPr>
                  <w:rStyle w:val="InternetLink"/>
                  <w:rFonts w:ascii="Times New Roman;serif" w:hAnsi="Times New Roman;serif"/>
                  <w:b/>
                  <w:strike w:val="false"/>
                  <w:dstrike w:val="false"/>
                  <w:color w:val="0000FF"/>
                  <w:sz w:val="20"/>
                  <w:u w:val="none"/>
                  <w:effect w:val="none"/>
                </w:rPr>
                <w:t>Item 6.</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44">
              <w:r>
                <w:rPr>
                  <w:rStyle w:val="InternetLink"/>
                  <w:rFonts w:ascii="Times New Roman;serif" w:hAnsi="Times New Roman;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44">
              <w:r>
                <w:rPr>
                  <w:rStyle w:val="InternetLink"/>
                  <w:rFonts w:ascii="Times New Roman;serif" w:hAnsi="Times New Roman;serif"/>
                  <w:b w:val="false"/>
                  <w:color w:val="0000FF"/>
                  <w:sz w:val="20"/>
                  <w:u w:val="single"/>
                </w:rPr>
                <w:t>44</w:t>
              </w:r>
            </w:hyperlink>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a78ffd87c5fc4b6d919a8ce783a3632e_247">
              <w:r>
                <w:rPr>
                  <w:rStyle w:val="InternetLink"/>
                  <w:rFonts w:ascii="Times New Roman;serif" w:hAnsi="Times New Roman;serif"/>
                  <w:b/>
                  <w:color w:val="0000FF"/>
                  <w:sz w:val="20"/>
                  <w:u w:val="single"/>
                </w:rPr>
                <w:t>Signatures</w:t>
              </w:r>
            </w:hyperlink>
            <w:r>
              <w:rPr>
                <w:rFonts w:ascii="Times New Roman;serif" w:hAnsi="Times New Roman;serif"/>
                <w:b/>
                <w:i/>
                <w:color w:val="0000FF"/>
                <w:sz w:val="20"/>
                <w:u w:val="single"/>
              </w:rPr>
              <w:t>.</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a78ffd87c5fc4b6d919a8ce783a3632e_247">
              <w:r>
                <w:rPr>
                  <w:rStyle w:val="InternetLink"/>
                  <w:rFonts w:ascii="Times New Roman;serif" w:hAnsi="Times New Roman;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1621"/>
        <w:gridCol w:w="1325"/>
        <w:gridCol w:w="134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1,395,600 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expense - See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 and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1793"/>
        <w:gridCol w:w="1539"/>
        <w:gridCol w:w="1515"/>
        <w:gridCol w:w="211"/>
        <w:gridCol w:w="721"/>
        <w:gridCol w:w="109"/>
        <w:gridCol w:w="109"/>
        <w:gridCol w:w="109"/>
        <w:gridCol w:w="109"/>
        <w:gridCol w:w="211"/>
        <w:gridCol w:w="721"/>
        <w:gridCol w:w="109"/>
        <w:gridCol w:w="109"/>
        <w:gridCol w:w="109"/>
        <w:gridCol w:w="109"/>
        <w:gridCol w:w="211"/>
        <w:gridCol w:w="783"/>
        <w:gridCol w:w="109"/>
        <w:gridCol w:w="109"/>
        <w:gridCol w:w="109"/>
        <w:gridCol w:w="109"/>
        <w:gridCol w:w="211"/>
        <w:gridCol w:w="826"/>
        <w:gridCol w:w="155"/>
      </w:tblGrid>
      <w:tr>
        <w:trPr/>
        <w:tc>
          <w:tcPr>
            <w:tcW w:w="179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retirement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fair value of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Quaker Chemical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98,425 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par value)</w:t>
      </w:r>
    </w:p>
    <w:tbl>
      <w:tblPr>
        <w:tblW w:w="9096" w:type="dxa"/>
        <w:jc w:val="center"/>
        <w:tblInd w:w="0" w:type="dxa"/>
        <w:tblLayout w:type="fixed"/>
        <w:tblCellMar>
          <w:top w:w="28" w:type="dxa"/>
          <w:left w:w="28" w:type="dxa"/>
          <w:bottom w:w="28" w:type="dxa"/>
          <w:right w:w="28" w:type="dxa"/>
        </w:tblCellMar>
      </w:tblPr>
      <w:tblGrid>
        <w:gridCol w:w="2177"/>
        <w:gridCol w:w="1909"/>
        <w:gridCol w:w="1913"/>
        <w:gridCol w:w="567"/>
        <w:gridCol w:w="411"/>
        <w:gridCol w:w="415"/>
        <w:gridCol w:w="109"/>
        <w:gridCol w:w="109"/>
        <w:gridCol w:w="109"/>
        <w:gridCol w:w="506"/>
        <w:gridCol w:w="359"/>
        <w:gridCol w:w="512"/>
      </w:tblGrid>
      <w:tr>
        <w:trPr/>
        <w:tc>
          <w:tcPr>
            <w:tcW w:w="217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5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188,880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400,126</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Raw materials and supplies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112,457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Work-in-process and finished goods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115,015</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59,939</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876,417</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at cost</w:t>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483,033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Less: Accumulated depreciation</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(253,501)</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Property, plant and equipment, net</w:t>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229,532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lease assets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34,120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518,894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827,098</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associated companies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98,012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17,360</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2,816,797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2,610,649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37,554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198,137</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50,212</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restructuring</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pension and postretirement benefits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80,668</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379,768</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669,614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20,028</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138,828</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accrued pension and postretirement benefits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23,783</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1,256,466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authorized 30,000,000 shares; issued and outstanding</w:t>
            </w:r>
          </w:p>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September 30, 2025 – 17,367,942 shares; December 31, 2024 – 17,673,607 shares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903,781</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633,731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(201,619)</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Quaker shareholders’ equity</w:t>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1,363,652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1,353,567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1,354,183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2,816,797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2,610,649</w:t>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2743"/>
        <w:gridCol w:w="2390"/>
        <w:gridCol w:w="2407"/>
        <w:gridCol w:w="211"/>
        <w:gridCol w:w="826"/>
        <w:gridCol w:w="109"/>
        <w:gridCol w:w="109"/>
        <w:gridCol w:w="109"/>
        <w:gridCol w:w="109"/>
        <w:gridCol w:w="211"/>
        <w:gridCol w:w="826"/>
        <w:gridCol w:w="155"/>
      </w:tblGrid>
      <w:tr>
        <w:trPr/>
        <w:tc>
          <w:tcPr>
            <w:tcW w:w="2743"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earnings of associated companies, net of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plant and equipment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from changes in current assets and current liabilities, net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revolving credit facilities,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other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related activity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(67,002)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accrued purchases of property, plant and equipment, net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Equity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w:t>
      </w:r>
    </w:p>
    <w:tbl>
      <w:tblPr>
        <w:tblW w:w="10482" w:type="dxa"/>
        <w:jc w:val="center"/>
        <w:tblInd w:w="0" w:type="dxa"/>
        <w:tblLayout w:type="fixed"/>
        <w:tblCellMar>
          <w:top w:w="28" w:type="dxa"/>
          <w:left w:w="28" w:type="dxa"/>
          <w:bottom w:w="28" w:type="dxa"/>
          <w:right w:w="28" w:type="dxa"/>
        </w:tblCellMar>
      </w:tblPr>
      <w:tblGrid>
        <w:gridCol w:w="728"/>
        <w:gridCol w:w="311"/>
        <w:gridCol w:w="31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59"/>
        <w:gridCol w:w="1032"/>
        <w:gridCol w:w="135"/>
        <w:gridCol w:w="109"/>
        <w:gridCol w:w="109"/>
        <w:gridCol w:w="109"/>
        <w:gridCol w:w="374"/>
        <w:gridCol w:w="827"/>
        <w:gridCol w:w="195"/>
        <w:gridCol w:w="109"/>
        <w:gridCol w:w="109"/>
        <w:gridCol w:w="109"/>
        <w:gridCol w:w="211"/>
        <w:gridCol w:w="97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(124,415)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($0.455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(146,987)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($0.455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purchased under share repurchase program, net of excise taxes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(165,762)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($0.485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(128,448)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Equity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w:t>
      </w:r>
    </w:p>
    <w:tbl>
      <w:tblPr>
        <w:tblW w:w="10512" w:type="dxa"/>
        <w:jc w:val="center"/>
        <w:tblInd w:w="0" w:type="dxa"/>
        <w:tblLayout w:type="fixed"/>
        <w:tblCellMar>
          <w:top w:w="28" w:type="dxa"/>
          <w:left w:w="28" w:type="dxa"/>
          <w:bottom w:w="28" w:type="dxa"/>
          <w:right w:w="28" w:type="dxa"/>
        </w:tblCellMar>
      </w:tblPr>
      <w:tblGrid>
        <w:gridCol w:w="758"/>
        <w:gridCol w:w="311"/>
        <w:gridCol w:w="31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59"/>
        <w:gridCol w:w="1032"/>
        <w:gridCol w:w="135"/>
        <w:gridCol w:w="109"/>
        <w:gridCol w:w="109"/>
        <w:gridCol w:w="109"/>
        <w:gridCol w:w="314"/>
        <w:gridCol w:w="918"/>
        <w:gridCol w:w="164"/>
        <w:gridCol w:w="109"/>
        <w:gridCol w:w="109"/>
        <w:gridCol w:w="109"/>
        <w:gridCol w:w="211"/>
        <w:gridCol w:w="976"/>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($0.485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(175,655)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(66,563)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from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($0.485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(115,181)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($0.508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(115,333)</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1,366,883 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bl>
      <w:tblPr>
        <w:tblW w:w="5446" w:type="dxa"/>
        <w:jc w:val="left"/>
        <w:tblInd w:w="0" w:type="dxa"/>
        <w:tblLayout w:type="fixed"/>
        <w:tblCellMar>
          <w:top w:w="28" w:type="dxa"/>
          <w:left w:w="28" w:type="dxa"/>
          <w:bottom w:w="28" w:type="dxa"/>
          <w:right w:w="28" w:type="dxa"/>
        </w:tblCellMar>
      </w:tblPr>
      <w:tblGrid>
        <w:gridCol w:w="277"/>
        <w:gridCol w:w="242"/>
        <w:gridCol w:w="246"/>
        <w:gridCol w:w="1369"/>
        <w:gridCol w:w="1369"/>
        <w:gridCol w:w="1372"/>
        <w:gridCol w:w="167"/>
        <w:gridCol w:w="167"/>
        <w:gridCol w:w="23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226">
              <w:r>
                <w:rPr>
                  <w:rStyle w:val="InternetLink"/>
                  <w:rFonts w:ascii="Times New Roman;serif" w:hAnsi="Times New Roman;serif"/>
                  <w:b/>
                  <w:strike w:val="false"/>
                  <w:dstrike w:val="false"/>
                  <w:color w:val="000000"/>
                  <w:sz w:val="20"/>
                  <w:u w:val="none"/>
                  <w:effect w:val="none"/>
                </w:rPr>
                <w:t>Note 1</w:t>
              </w:r>
            </w:hyperlink>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37">
              <w:r>
                <w:rPr>
                  <w:rStyle w:val="InternetLink"/>
                  <w:rFonts w:ascii="Times New Roman;serif" w:hAnsi="Times New Roman;serif"/>
                  <w:b w:val="false"/>
                  <w:color w:val="0000FF"/>
                  <w:sz w:val="20"/>
                  <w:u w:val="single"/>
                </w:rPr>
                <w:t>Basis of Presentation and Description of Business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a78ffd87c5fc4b6d919a8ce783a3632e_37">
              <w:r>
                <w:rPr>
                  <w:rStyle w:val="InternetLink"/>
                  <w:rFonts w:ascii="Times New Roman;serif" w:hAnsi="Times New Roman;serif"/>
                  <w:b w:val="false"/>
                  <w:color w:val="0000FF"/>
                  <w:sz w:val="20"/>
                  <w:u w:val="singl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40">
              <w:r>
                <w:rPr>
                  <w:rStyle w:val="InternetLink"/>
                  <w:rFonts w:ascii="Times New Roman;serif" w:hAnsi="Times New Roman;serif"/>
                  <w:b w:val="false"/>
                  <w:color w:val="0000FF"/>
                  <w:sz w:val="20"/>
                  <w:u w:val="single"/>
                </w:rPr>
                <w:t>Business Acquisitions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40">
              <w:r>
                <w:rPr>
                  <w:rStyle w:val="InternetLink"/>
                  <w:rFonts w:ascii="Times New Roman;serif" w:hAnsi="Times New Roman;serif"/>
                  <w:b w:val="false"/>
                  <w:color w:val="0000FF"/>
                  <w:sz w:val="20"/>
                  <w:u w:val="singl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49">
              <w:r>
                <w:rPr>
                  <w:rStyle w:val="InternetLink"/>
                  <w:rFonts w:ascii="Times New Roman;serif" w:hAnsi="Times New Roman;serif"/>
                  <w:b w:val="false"/>
                  <w:color w:val="0000FF"/>
                  <w:sz w:val="20"/>
                  <w:u w:val="single"/>
                </w:rPr>
                <w:t>Recently Issued Accounting Standards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49">
              <w:r>
                <w:rPr>
                  <w:rStyle w:val="InternetLink"/>
                  <w:rFonts w:ascii="Times New Roman;serif" w:hAnsi="Times New Roman;serif"/>
                  <w:b w:val="false"/>
                  <w:color w:val="0000FF"/>
                  <w:sz w:val="20"/>
                  <w:u w:val="single"/>
                </w:rPr>
                <w:t>12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55">
              <w:r>
                <w:rPr>
                  <w:rStyle w:val="InternetLink"/>
                  <w:rFonts w:ascii="Times New Roman;serif" w:hAnsi="Times New Roman;serif"/>
                  <w:b w:val="false"/>
                  <w:color w:val="0000FF"/>
                  <w:sz w:val="20"/>
                  <w:u w:val="single"/>
                </w:rPr>
                <w:t>Business Segments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55">
              <w:r>
                <w:rPr>
                  <w:rStyle w:val="InternetLink"/>
                  <w:rFonts w:ascii="Times New Roman;serif" w:hAnsi="Times New Roman;serif"/>
                  <w:b w:val="false"/>
                  <w:color w:val="0000FF"/>
                  <w:sz w:val="20"/>
                  <w:u w:val="single"/>
                </w:rPr>
                <w:t>12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61">
              <w:r>
                <w:rPr>
                  <w:rStyle w:val="InternetLink"/>
                  <w:rFonts w:ascii="Times New Roman;serif" w:hAnsi="Times New Roman;serif"/>
                  <w:b w:val="false"/>
                  <w:color w:val="0000FF"/>
                  <w:sz w:val="20"/>
                  <w:u w:val="single"/>
                </w:rPr>
                <w:t>Net Sales and Revenue Recognition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61">
              <w:r>
                <w:rPr>
                  <w:rStyle w:val="InternetLink"/>
                  <w:rFonts w:ascii="Times New Roman;serif" w:hAnsi="Times New Roman;serif"/>
                  <w:b w:val="false"/>
                  <w:color w:val="0000FF"/>
                  <w:sz w:val="20"/>
                  <w:u w:val="single"/>
                </w:rPr>
                <w:t>14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73">
              <w:r>
                <w:rPr>
                  <w:rStyle w:val="InternetLink"/>
                  <w:rFonts w:ascii="Times New Roman;serif" w:hAnsi="Times New Roman;serif"/>
                  <w:b w:val="false"/>
                  <w:color w:val="0000FF"/>
                  <w:sz w:val="20"/>
                  <w:u w:val="single"/>
                </w:rPr>
                <w:t>Leases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73">
              <w:r>
                <w:rPr>
                  <w:rStyle w:val="InternetLink"/>
                  <w:rFonts w:ascii="Times New Roman;serif" w:hAnsi="Times New Roman;serif"/>
                  <w:b w:val="false"/>
                  <w:color w:val="0000FF"/>
                  <w:sz w:val="20"/>
                  <w:u w:val="singl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76">
              <w:r>
                <w:rPr>
                  <w:rStyle w:val="InternetLink"/>
                  <w:rFonts w:ascii="Times New Roman;serif" w:hAnsi="Times New Roman;serif"/>
                  <w:b w:val="false"/>
                  <w:color w:val="0000FF"/>
                  <w:sz w:val="20"/>
                  <w:u w:val="single"/>
                </w:rPr>
                <w:t>Restructuring and Related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76">
              <w:r>
                <w:rPr>
                  <w:rStyle w:val="InternetLink"/>
                  <w:rFonts w:ascii="Times New Roman;serif" w:hAnsi="Times New Roman;serif"/>
                  <w:b w:val="false"/>
                  <w:color w:val="0000FF"/>
                  <w:sz w:val="20"/>
                  <w:u w:val="singl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79">
              <w:r>
                <w:rPr>
                  <w:rStyle w:val="InternetLink"/>
                  <w:rFonts w:ascii="Times New Roman;serif" w:hAnsi="Times New Roman;serif"/>
                  <w:b w:val="false"/>
                  <w:color w:val="0000FF"/>
                  <w:sz w:val="20"/>
                  <w:u w:val="single"/>
                </w:rPr>
                <w:t>Share-Based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79">
              <w:r>
                <w:rPr>
                  <w:rStyle w:val="InternetLink"/>
                  <w:rFonts w:ascii="Times New Roman;serif" w:hAnsi="Times New Roman;serif"/>
                  <w:b w:val="false"/>
                  <w:color w:val="0000FF"/>
                  <w:sz w:val="20"/>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88">
              <w:r>
                <w:rPr>
                  <w:rStyle w:val="InternetLink"/>
                  <w:rFonts w:ascii="Times New Roman;serif" w:hAnsi="Times New Roman;serif"/>
                  <w:b w:val="false"/>
                  <w:color w:val="0000FF"/>
                  <w:sz w:val="20"/>
                  <w:u w:val="single"/>
                </w:rPr>
                <w:t>Pension and Other Postretirement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88">
              <w:r>
                <w:rPr>
                  <w:rStyle w:val="InternetLink"/>
                  <w:rFonts w:ascii="Times New Roman;serif" w:hAnsi="Times New Roman;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91">
              <w:r>
                <w:rPr>
                  <w:rStyle w:val="InternetLink"/>
                  <w:rFonts w:ascii="Times New Roman;serif" w:hAnsi="Times New Roman;serif"/>
                  <w:b w:val="false"/>
                  <w:color w:val="0000FF"/>
                  <w:sz w:val="20"/>
                  <w:u w:val="single"/>
                </w:rPr>
                <w:t>Other (Expense) Income, net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91">
              <w:r>
                <w:rPr>
                  <w:rStyle w:val="InternetLink"/>
                  <w:rFonts w:ascii="Times New Roman;serif" w:hAnsi="Times New Roman;serif"/>
                  <w:b w:val="false"/>
                  <w:color w:val="0000FF"/>
                  <w:sz w:val="20"/>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94">
              <w:r>
                <w:rPr>
                  <w:rStyle w:val="InternetLink"/>
                  <w:rFonts w:ascii="Times New Roman;serif" w:hAnsi="Times New Roman;serif"/>
                  <w:b w:val="false"/>
                  <w:color w:val="0000FF"/>
                  <w:sz w:val="20"/>
                  <w:u w:val="singl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94">
              <w:r>
                <w:rPr>
                  <w:rStyle w:val="InternetLink"/>
                  <w:rFonts w:ascii="Times New Roman;serif" w:hAnsi="Times New Roman;serif"/>
                  <w:b w:val="false"/>
                  <w:color w:val="0000FF"/>
                  <w:sz w:val="20"/>
                  <w:u w:val="singl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12">
              <w:r>
                <w:rPr>
                  <w:rStyle w:val="InternetLink"/>
                  <w:rFonts w:ascii="Times New Roman;serif" w:hAnsi="Times New Roman;serif"/>
                  <w:b w:val="false"/>
                  <w:color w:val="0000FF"/>
                  <w:sz w:val="20"/>
                  <w:u w:val="single"/>
                </w:rPr>
                <w:t>Earnings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12">
              <w:r>
                <w:rPr>
                  <w:rStyle w:val="InternetLink"/>
                  <w:rFonts w:ascii="Times New Roman;serif" w:hAnsi="Times New Roman;serif"/>
                  <w:b w:val="false"/>
                  <w:color w:val="0000FF"/>
                  <w:sz w:val="20"/>
                  <w:u w:val="singl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15">
              <w:r>
                <w:rPr>
                  <w:rStyle w:val="InternetLink"/>
                  <w:rFonts w:ascii="Times New Roman;serif" w:hAnsi="Times New Roman;serif"/>
                  <w:b w:val="false"/>
                  <w:color w:val="0000FF"/>
                  <w:sz w:val="20"/>
                  <w:u w:val="single"/>
                </w:rPr>
                <w:t>Goodwill and Other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15">
              <w:r>
                <w:rPr>
                  <w:rStyle w:val="InternetLink"/>
                  <w:rFonts w:ascii="Times New Roman;serif" w:hAnsi="Times New Roman;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21">
              <w:r>
                <w:rPr>
                  <w:rStyle w:val="InternetLink"/>
                  <w:rFonts w:ascii="Times New Roman;serif" w:hAnsi="Times New Roman;serif"/>
                  <w:b w:val="false"/>
                  <w:color w:val="0000FF"/>
                  <w:sz w:val="20"/>
                  <w:u w:val="single"/>
                </w:rPr>
                <w:t>Debt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21">
              <w:r>
                <w:rPr>
                  <w:rStyle w:val="InternetLink"/>
                  <w:rFonts w:ascii="Times New Roman;serif" w:hAnsi="Times New Roman;serif"/>
                  <w:b w:val="false"/>
                  <w:color w:val="0000FF"/>
                  <w:sz w:val="20"/>
                  <w:u w:val="single"/>
                </w:rPr>
                <w:t>22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45">
              <w:r>
                <w:rPr>
                  <w:rStyle w:val="InternetLink"/>
                  <w:rFonts w:ascii="Times New Roman;serif" w:hAnsi="Times New Roman;serif"/>
                  <w:b w:val="false"/>
                  <w:color w:val="0000FF"/>
                  <w:sz w:val="20"/>
                  <w:u w:val="single"/>
                </w:rPr>
                <w:t>Accumulated Other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45">
              <w:r>
                <w:rPr>
                  <w:rStyle w:val="InternetLink"/>
                  <w:rFonts w:ascii="Times New Roman;serif" w:hAnsi="Times New Roman;serif"/>
                  <w:b w:val="false"/>
                  <w:color w:val="0000FF"/>
                  <w:sz w:val="20"/>
                  <w:u w:val="single"/>
                </w:rPr>
                <w:t>24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51">
              <w:r>
                <w:rPr>
                  <w:rStyle w:val="InternetLink"/>
                  <w:rFonts w:ascii="Times New Roman;serif" w:hAnsi="Times New Roman;serif"/>
                  <w:b w:val="false"/>
                  <w:color w:val="0000FF"/>
                  <w:sz w:val="20"/>
                  <w:u w:val="single"/>
                </w:rPr>
                <w:t>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51">
              <w:r>
                <w:rPr>
                  <w:rStyle w:val="InternetLink"/>
                  <w:rFonts w:ascii="Times New Roman;serif" w:hAnsi="Times New Roman;serif"/>
                  <w:b w:val="false"/>
                  <w:color w:val="0000FF"/>
                  <w:sz w:val="20"/>
                  <w:u w:val="single"/>
                </w:rPr>
                <w:t>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54">
              <w:r>
                <w:rPr>
                  <w:rStyle w:val="InternetLink"/>
                  <w:rFonts w:ascii="Times New Roman;serif" w:hAnsi="Times New Roman;serif"/>
                  <w:b w:val="false"/>
                  <w:color w:val="0000FF"/>
                  <w:sz w:val="20"/>
                  <w:u w:val="single"/>
                </w:rPr>
                <w:t>Hedging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54">
              <w:r>
                <w:rPr>
                  <w:rStyle w:val="InternetLink"/>
                  <w:rFonts w:ascii="Times New Roman;serif" w:hAnsi="Times New Roman;serif"/>
                  <w:b w:val="false"/>
                  <w:color w:val="0000FF"/>
                  <w:sz w:val="20"/>
                  <w:u w:val="single"/>
                </w:rPr>
                <w:t>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8ffd87c5fc4b6d919a8ce783a3632e_157">
              <w:r>
                <w:rPr>
                  <w:rStyle w:val="InternetLink"/>
                  <w:rFonts w:ascii="Times New Roman;serif" w:hAnsi="Times New Roman;serif"/>
                  <w:b w:val="false"/>
                  <w:color w:val="0000FF"/>
                  <w:sz w:val="20"/>
                  <w:u w:val="single"/>
                </w:rPr>
                <w:t>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8ffd87c5fc4b6d919a8ce783a3632e_157">
              <w:r>
                <w:rPr>
                  <w:rStyle w:val="InternetLink"/>
                  <w:rFonts w:ascii="Times New Roman;serif" w:hAnsi="Times New Roman;serif"/>
                  <w:b w:val="false"/>
                  <w:color w:val="0000FF"/>
                  <w:sz w:val="20"/>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 – Basis of Presentation and Description of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used in these Notes to Condensed Consolidated Financial Statements of this Quarterly Report on Form 10-Q for the period ended September 30, 2025 (the “Report”), the terms “Quaker Houghton,” the “Company,” “we,” and “our” refer to Quaker Chemical Corporation (doing business as Quaker Houghton), its subsidiaries, and associated companies, unless the context otherwise requires.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nine months ended September 30, 2025 are not necessarily indicative of the results to be expected for the full year. These financial statements should be read in conjunction with the Company’s Annual Report filed on Form 10-K for the year ended December 31, 2024 (the “2024 Form 10-K”). Certain prior year amounts have been reclassified to conform to the current year presentation.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Description of Business</w:t>
      </w:r>
    </w:p>
    <w:p>
      <w:pPr>
        <w:pStyle w:val="TextBody"/>
        <w:bidi w:val="0"/>
        <w:spacing w:lineRule="auto" w:line="288" w:before="0" w:after="120"/>
        <w:jc w:val="both"/>
        <w:rPr/>
      </w:pPr>
      <w:r>
        <w:rPr>
          <w:rFonts w:ascii="Times New Roman;serif" w:hAnsi="Times New Roman;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serif" w:hAnsi="Times New Roman;serif"/>
          <w:b w:val="false"/>
          <w:color w:val="000000"/>
          <w:sz w:val="13"/>
        </w:rPr>
        <w:t>TM</w:t>
      </w:r>
      <w:r>
        <w:rPr>
          <w:rFonts w:ascii="Times New Roman;serif" w:hAnsi="Times New Roman;serif"/>
          <w:b w:val="false"/>
          <w:color w:val="000000"/>
          <w:sz w:val="20"/>
        </w:rPr>
        <w:t>, for various heavy industrial and manufacturing applications sold in its three reportable segments: (i) Americas; (ii) Europe, Middle East and Africa (“EMEA”); and (iii) Asia/Pacific.</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Hyper-inflationary economies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Argentina’s and Türkiye’s economies were considered hyper-inflationary under U.S. GAAP effective July 1, 2018 and April 1, 2022, respectively. As of and for the three and nine months ended September 30, 2025, the Company’s Argentine and Turkish subsidiaries together represented approximately 1% and 2% of the Company’s consolidated total assets and net sales, respectively. During the three and nine months ended September 30, 2025, the Company recorded $0.9 million and $2.1 million of remeasurement losses associated with the applicable currency conversions, respectively. Comparatively, during the three and nine months ended September 30, 2024, the Company recorded $0.6 million and $0.3 million of remeasurement losses associated with the applicable currency conversions, respectively. These losses were recorded within Other (expense) income,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2 – Business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Dipsol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acquired Dipsol Chemicals Co., Ltd. and its subsidiaries, (“Dipsol”) for approximately $185.6 million (27.7 billion JPY), which included approximately $30.1 million (4.5 billion JPY) of acquired cash for a net purchase price of approximately $155.5 million (23.2 billion JPY). In July 2025, the Company satisfied all routine and customary post-closing conditions and finalized the purchase price with no adjustments. The Company funded the acquisition purchase price with borrowings under its existing credit facility. In connection with the acquisition of Dipsol, the Company entered into foreign currency forward contracts, which resulted in a $187.0 million cash payment and a $1.4 million foreign currency loss recognized during the nine months ended September 30, 2025.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and high barriers to entry. Dipsol also provides significant cross-selling opportunities and enhances the Company’s ability to meet the needs of our customers across the globe.</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preliminary estimated fair values of Dipsol assets acquired and liabilities assumed as of the acquisition date:</w:t>
      </w:r>
    </w:p>
    <w:tbl>
      <w:tblPr>
        <w:tblW w:w="6999" w:type="dxa"/>
        <w:jc w:val="center"/>
        <w:tblInd w:w="0" w:type="dxa"/>
        <w:tblLayout w:type="fixed"/>
        <w:tblCellMar>
          <w:top w:w="28" w:type="dxa"/>
          <w:left w:w="28" w:type="dxa"/>
          <w:bottom w:w="28" w:type="dxa"/>
          <w:right w:w="28" w:type="dxa"/>
        </w:tblCellMar>
      </w:tblPr>
      <w:tblGrid>
        <w:gridCol w:w="1505"/>
        <w:gridCol w:w="1321"/>
        <w:gridCol w:w="1329"/>
        <w:gridCol w:w="109"/>
        <w:gridCol w:w="109"/>
        <w:gridCol w:w="109"/>
        <w:gridCol w:w="109"/>
        <w:gridCol w:w="109"/>
        <w:gridCol w:w="395"/>
        <w:gridCol w:w="1546"/>
        <w:gridCol w:w="204"/>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Dipsol Assets Acquired and Liabilities Assumed </w:t>
            </w:r>
          </w:p>
          <w:p>
            <w:pPr>
              <w:pStyle w:val="TableContents"/>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Estimated Fair Value</w:t>
            </w:r>
            <w:r>
              <w:rPr>
                <w:color w:val="000000"/>
              </w:rPr>
              <w:t xml:space="preserve"> </w:t>
            </w:r>
            <w:r>
              <w:rPr>
                <w:rFonts w:ascii="Times New Roman;serif" w:hAnsi="Times New Roman;serif"/>
                <w:b/>
                <w:color w:val="000000"/>
                <w:sz w:val="13"/>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associated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172,526 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37,504 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185,613 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The Company recorded approximately $0.2 million of measurement period adjustments in the third quarter of 2025 to reflect changes in net working capital. All measurement period adjustments were offset against goodwill.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allocation of the purchase price has not been finalized and the one-year measurement period has not ended. Further adjustments may be necessary as a result of the Company’s ongoing assessment of additional information related to the fair value of assets acquired and liabilities assumed.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allocated $55.0 million of the purchase price to intangible assets across the Americas, EMEA, and Asia/Pacific segments. Customer relationships, product technologies, and trademarks will be amortized over 14 years, 8 years, and 13 years, respectively. The following table presents the intangible assets recognized for each reportable segment:</w:t>
      </w:r>
    </w:p>
    <w:tbl>
      <w:tblPr>
        <w:tblW w:w="7309" w:type="dxa"/>
        <w:jc w:val="center"/>
        <w:tblInd w:w="0" w:type="dxa"/>
        <w:tblLayout w:type="fixed"/>
        <w:tblCellMar>
          <w:top w:w="28" w:type="dxa"/>
          <w:left w:w="28" w:type="dxa"/>
          <w:bottom w:w="28" w:type="dxa"/>
          <w:right w:w="28" w:type="dxa"/>
        </w:tblCellMar>
      </w:tblPr>
      <w:tblGrid>
        <w:gridCol w:w="749"/>
        <w:gridCol w:w="659"/>
        <w:gridCol w:w="661"/>
        <w:gridCol w:w="109"/>
        <w:gridCol w:w="109"/>
        <w:gridCol w:w="109"/>
        <w:gridCol w:w="211"/>
        <w:gridCol w:w="616"/>
        <w:gridCol w:w="109"/>
        <w:gridCol w:w="109"/>
        <w:gridCol w:w="109"/>
        <w:gridCol w:w="109"/>
        <w:gridCol w:w="211"/>
        <w:gridCol w:w="466"/>
        <w:gridCol w:w="109"/>
        <w:gridCol w:w="109"/>
        <w:gridCol w:w="109"/>
        <w:gridCol w:w="109"/>
        <w:gridCol w:w="228"/>
        <w:gridCol w:w="779"/>
        <w:gridCol w:w="117"/>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51,300 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$53.0 million of goodwill, which is comprised of $47.3 million in the Asia/Pacific segment, $5.3 million in the Americas segment, and $0.4 million in the EMEA segment. The goodwill is not deductible for tax purposes. The goodwill is primarily attributable to expected synergies.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sales included in the Condensed Consolidated Statement of Operations for the three and nine months ended September 30, 2025 are $20.6 million and $41.5 million, respectively. </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Natech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acquired Natech, Ltd., (“Natech”) for approximately $6.5 million, which includes an initial cash payment of $6.0 million and a deferred payment of $0.5 million, subject to routine and customary post-closing adjustments, including an adjustment for working capital. Assets acquired included cash and cash equivalents of $1.5 million.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The Company allocated $2.1 million of the purchase price to intangible assets and recognized $2.6 million of goodwill in the EMEA segment, none of which is deductible for tax purposes. The goodwill is primarily attributable to expected growth synergies. During the third quarter of 2025, the Company settled the working capital adjustment for an immaterial amount. As of September 30, 2025, the allocation of the purchase price has not been finalized.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CSI</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acquired Chemical Solutions &amp; Innovations (Pty) Ltd. (“CSI”), for approximately $3.9 million, subject to routine and customary post-closing adjustments, including an adjustment for working capital.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During the third quarter of 2025, the Company settled the working capital adjustment for an immaterial amount. As of September 30, 2025, the allocation of the purchase price has not been finalized.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Previous Acquisitions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July 2024, the Company acquired the Sutai Group (“Sutai”), for approximately $16.2 million, including an initial cash payment of $14.6 million, subject to routine and customary post-closing adjustments related to working capital and net indebtedness levels, as well as earn-out provisions with an initial estimated payout of $1.6 million related to the finalization of 2024 and 2025 earnings. Assets acquired included cash and cash equivalents of $5.5 million. The Company recorded incremental income of $0.8 million during the three and nine months ended September 30, 2025 relating to adjustments to earnout provisions in Other (expense) income, net on the Condensed Consolidated Statements of Operations. As of September 30, 2025, the Company does not have any remaining earnout liabilities recorded on its Condensed Consolidated Balance Sheets. Sutai is based in Japan and provides impregnation treatment products and services to the automotive and other industries. Sutai is reported as part of the Asia/Pacific segment. This acquisition strengthens Quaker Houghton’s technology portfolio, enabling the Company to better support and optimize production processes for customers across the Japanese, Asia Pacific and global markets. The Company allocated $3.1 million of the purchase price to intangible assets and recognized $5.5 million of goodwill in the Asia/Pacific segment, none of which is deductible for tax purposes. During the first quarter of 2025, the Company settled the working capital adjustment for an immaterial amount which impacted the residual goodwill recorded. The goodwill is primarily attributable to expected growth synergies. As of September 30, 2025, the allocation of the purchase price has been finalized.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February 2024, the Company acquired I.K.V. Tribologie IKVT and its subsidiaries (“IKV”) for $35.2 million, including an initial cash payment of $29.7 million, subject to routine and customary post-closing adjustments related to working capital and net indebtedness levels as well as earn-out provisions related to the finalization of 2023 earnings. Assets acquired included approximately $4.8 million of cash and cash equivalents.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$16.4 million of goodwill in the EMEA segment, none of which is deductible for tax purposes. The goodwill is primarily attributable to expected cost and growth synergies. In July 2024, the 2023 earnings were finalized, and the Company made a payment of $5.5 million in connection with the post-closing adjustments and earn-out provision. As of September 30, 2025, the allocation of the purchase price has been finalized.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Dipsol, Natech, CSI, Sutai and IKV subsequent to the acquisition dates are included in the unaudited Condensed Consolidated Statements of Operations for the three and nine months ended September 30,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recognized $0.6 million and $4.8 million, respectively, of acquisition-related expenses including legal, financial, consulting and other costs, compared to $0.4 million and $0.9 million, respectively, during the three and nine months ended September 30, 2024. These costs are included in Selling, general and administrative expenses (“SG&amp;A”)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3 – Recently Issued Accounting Standards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lineRule="auto" w:line="288" w:before="0" w:after="120"/>
        <w:jc w:val="left"/>
        <w:rPr/>
      </w:pPr>
      <w:r>
        <w:rPr>
          <w:rFonts w:ascii="Times New Roman;serif" w:hAnsi="Times New Roman;serif"/>
          <w:b w:val="false"/>
          <w:color w:val="000000"/>
          <w:sz w:val="20"/>
        </w:rPr>
        <w:t>The Company has adopted Accounting Standards Update (“ASU”) 2023-07,</w:t>
      </w:r>
      <w:r>
        <w:rPr>
          <w:color w:val="000000"/>
        </w:rPr>
        <w:t xml:space="preserve">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 xml:space="preserve">beginning with the 2024 Form 10-K and the Form 10-Q for the period ended March 31, 2025. This ASU expands reportable segment disclosure requirements, primarily through enhanced disclosures about significant segment expenses, defined as those expenses that are regularly provided to the Chief Operating Decision Maker (“CODM”) and included in the reported measure of segment profit or loss. The Company disclosed that the CODM assesses segment performance and makes decisions about allocating resources to its operating segments using segment operating earnings. Based on the Company’s assessment, the Company determined that product costs are significant segment expenses that are regularly provided to the CODM and included in segment operating earnings. The Company disclosed product costs and other operating expenses included in segment operating earnings by reportable segment. See Note 4, </w:t>
      </w:r>
      <w:r>
        <w:rPr>
          <w:rFonts w:ascii="Times New Roman;serif" w:hAnsi="Times New Roman;serif"/>
          <w:b w:val="false"/>
          <w:i/>
          <w:color w:val="000000"/>
          <w:sz w:val="20"/>
        </w:rPr>
        <w:t>Business Segments</w:t>
      </w:r>
      <w:r>
        <w:rPr>
          <w:rFonts w:ascii="Times New Roman;serif" w:hAnsi="Times New Roman;serif"/>
          <w:b w:val="false"/>
          <w:color w:val="000000"/>
          <w:sz w:val="20"/>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2023-09, </w:t>
      </w:r>
      <w:r>
        <w:rPr>
          <w:rFonts w:ascii="Times New Roman;serif" w:hAnsi="Times New Roman;serif"/>
          <w:b w:val="false"/>
          <w:i/>
          <w:color w:val="000000"/>
          <w:sz w:val="20"/>
        </w:rPr>
        <w:t>Income Taxes (Topic 740)</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in December 2023. This ASU requires public business entities (“PBEs”) to disclose additional information in specified categories with respect to the reconciliation of the effective tax rate to the statutory rate (the “rate reconciliation”) for federal, state, and foreign income taxes, requiring greater detail about individual reconciling items in the rate reconciliation to the extent the impact of those items exceeds a specified threshold. The ASU also requires PBEs to disclose income taxes paid disaggregated by federal, state, and foreign taxes. Further disaggregation is also required in jurisdictions where income taxes paid exceeds a certain threshold. ASU 2023-09 is effective for fiscal years beginning after December 15, 2024. The Company will adopt ASU 2023-09 beginning with the Form 10-K for the year ended December 31, 2025 using a retrospective transition approach.</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Income Statement- Reporting Comprehensive Income- Expense Disaggregation Disclosures (Subtopic 220-40): Disaggregation of Income Statement Expenses</w:t>
      </w:r>
      <w:r>
        <w:rPr>
          <w:color w:val="000000"/>
        </w:rPr>
        <w:t xml:space="preserve"> </w:t>
      </w:r>
      <w:r>
        <w:rPr>
          <w:rFonts w:ascii="Times New Roman;serif" w:hAnsi="Times New Roman;serif"/>
          <w:b w:val="false"/>
          <w:color w:val="000000"/>
          <w:sz w:val="20"/>
        </w:rPr>
        <w:t>in November 2024</w:t>
      </w:r>
      <w:r>
        <w:rPr>
          <w:rFonts w:ascii="Times New Roman;serif" w:hAnsi="Times New Roman;serif"/>
          <w:b w:val="false"/>
          <w:i/>
          <w:color w:val="000000"/>
          <w:sz w:val="20"/>
        </w:rPr>
        <w:t xml:space="preserve">. </w:t>
      </w:r>
      <w:r>
        <w:rPr>
          <w:rFonts w:ascii="Times New Roman;serif" w:hAnsi="Times New Roman;serif"/>
          <w:b w:val="false"/>
          <w:color w:val="000000"/>
          <w:sz w:val="20"/>
        </w:rPr>
        <w:t>This ASU requires PBEs to disclose, in interim and annual reporting periods, additional 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condensed consolidated financial statements.</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2025-06, </w:t>
      </w:r>
      <w:r>
        <w:rPr>
          <w:rFonts w:ascii="Times New Roman;serif" w:hAnsi="Times New Roman;serif"/>
          <w:b w:val="false"/>
          <w:i/>
          <w:color w:val="000000"/>
          <w:sz w:val="20"/>
        </w:rPr>
        <w:t>Intangibles- Goodwill and Other-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in September 2025. This ASU removes all references to prescriptive and sequential software development stages and will now require PBEs to start capitalizing software costs when management has authorized and committed to funding the software project and it is probable that the project will be completed and the software will be used to perform the function intended. The ASU also specifies that the disclosures in Subtopic 360-10, Property, Plant, and Equipment- Overall are required for all capitalized internal-use software costs. ASU 2025-06 is effective for fiscal years beginning after December 15, 2027, with early adoption permitted. The Company is currently evaluating the disclosure requirements of this standard and the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4 – Business Segments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segments, which are consistent with its reportable segments, reflect the structure of the Company’s internal organization and the manner by which the CODM, which is the Company’s Chief Executive Officer, allocates resources and assesses performance.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for the Company’s operating segments based on segment operating earnings. Segment operating earnings for each of the Company’s reportable segments are comprised of the segment’s net sales less directly related product costs and other operating expenses.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income,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Segment asset information is not regularly provided to or reviewed by the CODM. Therefore, the Company does not disclose segment asset information for each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performance of the Company’s reportable segments for the three and nine months ended September 30, 2025 and 2024:</w:t>
      </w:r>
    </w:p>
    <w:tbl>
      <w:tblPr>
        <w:tblW w:w="9468" w:type="dxa"/>
        <w:jc w:val="left"/>
        <w:tblInd w:w="0" w:type="dxa"/>
        <w:tblLayout w:type="fixed"/>
        <w:tblCellMar>
          <w:top w:w="28" w:type="dxa"/>
          <w:left w:w="28" w:type="dxa"/>
          <w:bottom w:w="28" w:type="dxa"/>
          <w:right w:w="28" w:type="dxa"/>
        </w:tblCellMar>
      </w:tblPr>
      <w:tblGrid>
        <w:gridCol w:w="1304"/>
        <w:gridCol w:w="1146"/>
        <w:gridCol w:w="114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 xml:space="preserve">(1) (4) (5)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operating expenses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 xml:space="preserve">(1) (3) (4) (5)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operating expenses </w:t>
            </w:r>
            <w:r>
              <w:rPr>
                <w:rFonts w:ascii="Times New Roman;serif" w:hAnsi="Times New Roman;serif"/>
                <w:b w:val="false"/>
                <w:color w:val="000000"/>
                <w:sz w:val="13"/>
              </w:rPr>
              <w:t>(2)</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59" w:type="dxa"/>
        <w:jc w:val="left"/>
        <w:tblInd w:w="0" w:type="dxa"/>
        <w:tblLayout w:type="fixed"/>
        <w:tblCellMar>
          <w:top w:w="28" w:type="dxa"/>
          <w:left w:w="28" w:type="dxa"/>
          <w:bottom w:w="28" w:type="dxa"/>
          <w:right w:w="28" w:type="dxa"/>
        </w:tblCellMar>
      </w:tblPr>
      <w:tblGrid>
        <w:gridCol w:w="1304"/>
        <w:gridCol w:w="1146"/>
        <w:gridCol w:w="114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operating expenses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operating expenses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365,927 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Product costs include the costs of raw materials and are recorded in Cost of goods sold in the Company’s Condensed Consolidated Statements of Operations.</w:t>
      </w:r>
    </w:p>
    <w:p>
      <w:pPr>
        <w:pStyle w:val="TextBody"/>
        <w:bidi w:val="0"/>
        <w:spacing w:lineRule="auto" w:line="288" w:before="0" w:after="12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Other operating expenses include overhead costs of operating the Company’s production facilities and providing chemical management services to customers and direct SG&amp;A.</w:t>
      </w:r>
    </w:p>
    <w:p>
      <w:pPr>
        <w:pStyle w:val="TextBody"/>
        <w:bidi w:val="0"/>
        <w:spacing w:lineRule="auto" w:line="288" w:before="0" w:after="12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Product costs includes the $6.0 million amortization of the fair value step-up in Dipsol's inventories as a result of the acquisition for the nine months ended September 30, 2025, which is comprised of approximately $2.6 million in the Americas segment, $3.0 million in the Asia/Pacific segment, and $0.4 million in the EMEA segment. </w:t>
      </w:r>
    </w:p>
    <w:p>
      <w:pPr>
        <w:pStyle w:val="TextBody"/>
        <w:bidi w:val="0"/>
        <w:spacing w:lineRule="auto" w:line="288" w:before="0" w:after="12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 xml:space="preserve">Product costs includes a $0.7 million loss and a $2.9 million gain related to immaterial out-of-period adjustments for inventory for the three and nine months ended September 30, 2025, respectively. The $0.7 million loss was recognized in the Americas segment during the three months ended September 30, 2025. The </w:t>
      </w:r>
      <w:bookmarkStart w:id="0" w:name="i99e0c459032e457785a2f80e4714063f_6624"/>
      <w:bookmarkEnd w:id="0"/>
      <w:r>
        <w:rPr>
          <w:rFonts w:ascii="Times New Roman;serif" w:hAnsi="Times New Roman;serif"/>
          <w:b w:val="false"/>
          <w:color w:val="000000"/>
          <w:sz w:val="20"/>
        </w:rPr>
        <w:t xml:space="preserve">$2.9 million gain recognized during the nine months ended September 30, 2025 was comprised of a $0.7 million gain in the Americas segment and a $2.2 million gain in the EMEA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segment operating earnings to income (loss) before taxes and equity in net income of associated companies in the Company’s Condensed Consolidated Statements of Operations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505"/>
        <w:gridCol w:w="1164"/>
        <w:gridCol w:w="1170"/>
        <w:gridCol w:w="230"/>
        <w:gridCol w:w="903"/>
        <w:gridCol w:w="118"/>
        <w:gridCol w:w="118"/>
        <w:gridCol w:w="118"/>
        <w:gridCol w:w="118"/>
        <w:gridCol w:w="230"/>
        <w:gridCol w:w="903"/>
        <w:gridCol w:w="118"/>
        <w:gridCol w:w="109"/>
        <w:gridCol w:w="109"/>
        <w:gridCol w:w="109"/>
        <w:gridCol w:w="225"/>
        <w:gridCol w:w="884"/>
        <w:gridCol w:w="116"/>
        <w:gridCol w:w="116"/>
        <w:gridCol w:w="116"/>
        <w:gridCol w:w="116"/>
        <w:gridCol w:w="225"/>
        <w:gridCol w:w="884"/>
        <w:gridCol w:w="116"/>
        <w:gridCol w:w="109"/>
        <w:gridCol w:w="109"/>
        <w:gridCol w:w="167"/>
      </w:tblGrid>
      <w:tr>
        <w:trPr/>
        <w:tc>
          <w:tcPr>
            <w:tcW w:w="150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and administrative expenses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corporate assets and amortization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taxes and equity in net income of associated companies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Company’s reportable segments’ depreciation for the three and nine months ended September 30, 2025 and 2024:</w:t>
      </w:r>
    </w:p>
    <w:tbl>
      <w:tblPr>
        <w:tblW w:w="9566"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299"/>
        <w:gridCol w:w="874"/>
        <w:gridCol w:w="154"/>
        <w:gridCol w:w="154"/>
        <w:gridCol w:w="154"/>
        <w:gridCol w:w="154"/>
        <w:gridCol w:w="299"/>
        <w:gridCol w:w="874"/>
        <w:gridCol w:w="154"/>
        <w:gridCol w:w="109"/>
        <w:gridCol w:w="109"/>
        <w:gridCol w:w="109"/>
        <w:gridCol w:w="262"/>
        <w:gridCol w:w="898"/>
        <w:gridCol w:w="135"/>
        <w:gridCol w:w="135"/>
        <w:gridCol w:w="135"/>
        <w:gridCol w:w="135"/>
        <w:gridCol w:w="262"/>
        <w:gridCol w:w="898"/>
        <w:gridCol w:w="135"/>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5 – Net Sales and Revenue Recognition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revenues are realized from the sale of process fluids and services to manufacturers of steel, aluminum, automotive, aerospace, industrial and agricultural equipment, and durable goods. As previously disclosed in the Company’s 2024 Form 10-K, the Company’s five largest customers combined (each composed of multiple subsidiaries or divisions with semiautonomous purchasing authority) accounted for approximately 12% of consolidated net sales for 2024, with its largest customer accounting for approximately 3% of consolidated net sales.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contract assets recorded on its Condensed Consolidated Balance Sheets as of September 30, 2025 or December 31,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$2.8 million and $4.2 million of deferred revenue as of September 30, 2025 and December 31, 2024, respectively. For the nine months ended September 30, 2025, the Company satisfied materially all of the associated performance obligations and recognized into revenue materially all advance payments received and recorded as of December 31, 2024.</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reportable segments, and in most cases, are approximately proportionate to the level of total sales in each reportable segment.</w:t>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net sales by segment and customer industry.</w:t>
      </w:r>
    </w:p>
    <w:tbl>
      <w:tblPr>
        <w:tblW w:w="809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160,264 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493,842 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7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9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462,274 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7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6 -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certain facilities, vehicles, and machinery and equipment with remaining lease terms up to 9 years. Operating lease expense is recognized on a straight-line basis over the lease term. In addition, the Company has certain land use leases with remaining lease terms up to 90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variable lease costs, sublease income, or finance leases for the three and nine months ended September 30, 2025 and 2024. The components of the Company’s lease expense are as follows:</w:t>
      </w:r>
    </w:p>
    <w:tbl>
      <w:tblPr>
        <w:tblW w:w="7109" w:type="dxa"/>
        <w:jc w:val="center"/>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leases is as follows:</w:t>
      </w:r>
    </w:p>
    <w:tbl>
      <w:tblPr>
        <w:tblW w:w="10205" w:type="dxa"/>
        <w:jc w:val="center"/>
        <w:tblInd w:w="0" w:type="dxa"/>
        <w:tblLayout w:type="fixed"/>
        <w:tblCellMar>
          <w:top w:w="28" w:type="dxa"/>
          <w:left w:w="28" w:type="dxa"/>
          <w:bottom w:w="28" w:type="dxa"/>
          <w:right w:w="28" w:type="dxa"/>
        </w:tblCellMar>
      </w:tblPr>
      <w:tblGrid>
        <w:gridCol w:w="1893"/>
        <w:gridCol w:w="1661"/>
        <w:gridCol w:w="167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893"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lease liabilities activity: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is as follows:</w:t>
      </w:r>
    </w:p>
    <w:tbl>
      <w:tblPr>
        <w:tblW w:w="6836" w:type="dxa"/>
        <w:jc w:val="center"/>
        <w:tblInd w:w="0" w:type="dxa"/>
        <w:tblLayout w:type="fixed"/>
        <w:tblCellMar>
          <w:top w:w="28" w:type="dxa"/>
          <w:left w:w="28" w:type="dxa"/>
          <w:bottom w:w="28" w:type="dxa"/>
          <w:right w:w="28" w:type="dxa"/>
        </w:tblCellMar>
      </w:tblPr>
      <w:tblGrid>
        <w:gridCol w:w="1411"/>
        <w:gridCol w:w="1242"/>
        <w:gridCol w:w="1247"/>
        <w:gridCol w:w="229"/>
        <w:gridCol w:w="782"/>
        <w:gridCol w:w="294"/>
        <w:gridCol w:w="109"/>
        <w:gridCol w:w="109"/>
        <w:gridCol w:w="109"/>
        <w:gridCol w:w="220"/>
        <w:gridCol w:w="754"/>
        <w:gridCol w:w="330"/>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20,028 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September 30, 2025 were as follows:</w:t>
      </w:r>
    </w:p>
    <w:tbl>
      <w:tblPr>
        <w:tblW w:w="5330" w:type="dxa"/>
        <w:jc w:val="center"/>
        <w:tblInd w:w="0" w:type="dxa"/>
        <w:tblLayout w:type="fixed"/>
        <w:tblCellMar>
          <w:top w:w="28" w:type="dxa"/>
          <w:left w:w="28" w:type="dxa"/>
          <w:bottom w:w="28" w:type="dxa"/>
          <w:right w:w="28" w:type="dxa"/>
        </w:tblCellMar>
      </w:tblPr>
      <w:tblGrid>
        <w:gridCol w:w="1535"/>
        <w:gridCol w:w="1351"/>
        <w:gridCol w:w="1358"/>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 and beyond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Present value of lease liabilities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year ended December 31, 2024, the Company entered into a new lease agreement for office and laboratory space in Radnor, Pennsylvania for the purpose of relocating its global headquarters. The lease for one portion of the laboratory space is expected to commence in the second quarter of 2026. The lease for the remaining portions of laboratory and office space is expected to commence upon the completion of the lessor owned leasehold improvements, which is expected to be in the second half of 2026. The cumulative future lease commitment for the laboratory and office space is $79.7 million. The future lease commitments relating to this lease were not included in the lease liabilities balance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 Restructuring and Related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2022, the Company initiated a global cost and optimization program to improve its cost structure and drive a more profitable and productive organization. As of September 30, 2025, the program included restructuring and associated severance costs to reduce headcount by approximately 420 positions globally. These actions are expected to be substantially complete by the end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Employee separation benefits vary depending on local regulations across countries. The timing to finalize costs associated with all actions will depend on a number of factors and is subject to change. In addition to the global cost and optimization program described above, the Company continues to take actions to optimize its facility footprint. Restructuring costs incurred during the three and nine months ended September 30, 2025 and 2024 include employee severance and asset-related and facility closure costs, including non-cash asset write-offs, which are recorded in Restructuring and related charges, net in the Company’s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the Company’s accrual for its restructuring program and facility closure actions are as follows:</w:t>
      </w:r>
    </w:p>
    <w:tbl>
      <w:tblPr>
        <w:tblW w:w="5295" w:type="dxa"/>
        <w:jc w:val="center"/>
        <w:tblInd w:w="0" w:type="dxa"/>
        <w:tblLayout w:type="fixed"/>
        <w:tblCellMar>
          <w:top w:w="28" w:type="dxa"/>
          <w:left w:w="28" w:type="dxa"/>
          <w:bottom w:w="28" w:type="dxa"/>
          <w:right w:w="28" w:type="dxa"/>
        </w:tblCellMar>
      </w:tblPr>
      <w:tblGrid>
        <w:gridCol w:w="1498"/>
        <w:gridCol w:w="1319"/>
        <w:gridCol w:w="1322"/>
        <w:gridCol w:w="359"/>
        <w:gridCol w:w="436"/>
        <w:gridCol w:w="361"/>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December 31, 2024</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and facility closure charges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against the reserve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September 30, 2025</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9,717</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liability related to the restructuring program and facility closure actions was $9.7 million as of September 30, 2025, which consisted of $4.8 million recognized in Accrued restructuring in the Condensed Consolidated Balance Sheets and $4.9 million recognized in Other non-current liabilities in the Condensed Consolidated Balance Sheets. The total liability was $2.3 million as of December 31, 2024, which was recognized in Accrued restructuring in the Condensed Consolidated Balance Sheets.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plans for closure of certain manufacturing and non-manufacturing facilities, the Company has made available for sale certain facilities and properties. As of September 30, 2025, the Company classified properties in the Americas segment with an aggregate book value of approximately $1.2 million as held-for-sale. These assets are recorded in Prepaid expenses and other current assets in the Company’s Condensed Consolidated Balance Sheets. The Company expects to complete the sale of these properties over the next 12 months. During the nine months ended September 30, 2025, the Company completed the sale of certain property previously classified as held for sale for a gain of $2.2 million, which is recorded in Other (expense) income, net in the Company’s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 Share-Based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$3.5 million and $10.4 million, respectively, of share-based compensation expense in its Condensed Consolidated Statements of Operations for the three and nine months ended September 30, 2025, compared to $4.3 million and $12.4 million, respectively, for the three and nine months ended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unrecognized compensation expense related to non-vested restricted shares was $0.2 million, to be recognized over a weighted average remaining period of 0.4 years.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120"/>
        <w:jc w:val="both"/>
        <w:rPr/>
      </w:pPr>
      <w:r>
        <w:rPr>
          <w:rFonts w:ascii="Times New Roman;serif" w:hAnsi="Times New Roman;serif"/>
          <w:b w:val="false"/>
          <w:color w:val="000000"/>
          <w:sz w:val="20"/>
        </w:rPr>
        <w:t>During the nine months ended September 30, 2025, the Company granted 80,100 restricted stock units under its LTIP</w:t>
      </w:r>
      <w:r>
        <w:rPr>
          <w:rFonts w:ascii="Times New Roman;serif" w:hAnsi="Times New Roman;serif"/>
          <w:b w:val="false"/>
          <w:color w:val="000000"/>
          <w:sz w:val="20"/>
          <w:shd w:fill="FFFFFF" w:val="clear"/>
        </w:rPr>
        <w:t xml:space="preserve">, which are subject to time-based vesting, generally over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to three years.</w:t>
      </w:r>
      <w:r>
        <w:rPr>
          <w:color w:val="000000"/>
        </w:rPr>
        <w:t xml:space="preserve"> </w:t>
      </w:r>
      <w:r>
        <w:rPr>
          <w:rFonts w:ascii="Times New Roman;serif" w:hAnsi="Times New Roman;serif"/>
          <w:b w:val="false"/>
          <w:color w:val="000000"/>
          <w:sz w:val="20"/>
        </w:rPr>
        <w:t>The fair value of these grants is based on the closing price of the Company’s common stock on the date of grant. As of September 30, 2025, unrecognized compensation expense related to non-vested restricted stock units was $9.1 million, to be recognized over a weighted average remaining period of 1.5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20" w:after="120"/>
        <w:jc w:val="both"/>
        <w:rPr/>
      </w:pPr>
      <w:r>
        <w:rPr>
          <w:rFonts w:ascii="Times New Roman;serif" w:hAnsi="Times New Roman;serif"/>
          <w:b w:val="false"/>
          <w:color w:val="000000"/>
          <w:sz w:val="20"/>
        </w:rPr>
        <w:t xml:space="preserve">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w:t>
      </w:r>
      <w:r>
        <w:rPr>
          <w:rFonts w:ascii="Times New Roman;serif" w:hAnsi="Times New Roman;serif"/>
          <w:b w:val="false"/>
          <w:color w:val="000000"/>
          <w:sz w:val="20"/>
          <w:shd w:fill="FFFFFF" w:val="clear"/>
        </w:rPr>
        <w:t>three years</w:t>
      </w:r>
      <w:r>
        <w:rPr>
          <w:color w:val="000000"/>
        </w:rPr>
        <w:t xml:space="preserve"> </w:t>
      </w:r>
      <w:r>
        <w:rPr>
          <w:rFonts w:ascii="Times New Roman;serif" w:hAnsi="Times New Roman;serif"/>
          <w:b w:val="false"/>
          <w:color w:val="000000"/>
          <w:sz w:val="20"/>
        </w:rPr>
        <w:t>and the measurement period of the market-based and performance objectives is generally from January 1 of the year of grant through December 31 of the year prior to issuance of the shares.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mentioned above, a portion of the Company’s PSUs are subject to the achievement of the Company’s TSR relative to the performance of a selected peer group. For PSUs subject to relative TSR performance granted in 2025 and 2024, the Company’s peer group was the S&amp;P Composite 1500 Chemicals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Compensation expense for PSUs is measured based on the grant date fair value and is recognized on a straight-line vesting method basis over the applicable vesting period. During the nine months ended September 30, 2025, the Company granted 26,658 PSUs with a ROIC condition. The fair value of these grants is based on the closing trading price of the Company’s common stock on the date of grant. During the nine months ended September 30, 2025, the Company granted 26,608 PSUs with a relative TSR condition. These PSUs are valued using a Monte Carlo simulation on the grant date and had a grant-date fair value of $150.90 per unit, which was developed based on the assumptions set forth in the table below:</w:t>
      </w:r>
    </w:p>
    <w:tbl>
      <w:tblPr>
        <w:tblW w:w="2655" w:type="dxa"/>
        <w:jc w:val="center"/>
        <w:tblInd w:w="0" w:type="dxa"/>
        <w:tblLayout w:type="fixed"/>
        <w:tblCellMar>
          <w:top w:w="28" w:type="dxa"/>
          <w:left w:w="28" w:type="dxa"/>
          <w:bottom w:w="28" w:type="dxa"/>
          <w:right w:w="28" w:type="dxa"/>
        </w:tblCellMar>
      </w:tblPr>
      <w:tblGrid>
        <w:gridCol w:w="679"/>
        <w:gridCol w:w="596"/>
        <w:gridCol w:w="600"/>
        <w:gridCol w:w="228"/>
        <w:gridCol w:w="228"/>
        <w:gridCol w:w="32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br/>
              <w:t xml:space="preserve">Grants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approximately $7.6 million of total unrecognized compensation cost related to PSUs, which the Company expects to recognize over a weighted-average period of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 Pension and Other Postretirement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(income) are as follows:</w:t>
      </w:r>
    </w:p>
    <w:tbl>
      <w:tblPr>
        <w:tblW w:w="10205" w:type="dxa"/>
        <w:jc w:val="center"/>
        <w:tblInd w:w="0" w:type="dxa"/>
        <w:tblLayout w:type="fixed"/>
        <w:tblCellMar>
          <w:top w:w="28" w:type="dxa"/>
          <w:left w:w="28" w:type="dxa"/>
          <w:bottom w:w="28" w:type="dxa"/>
          <w:right w:w="28" w:type="dxa"/>
        </w:tblCellMar>
      </w:tblPr>
      <w:tblGrid>
        <w:gridCol w:w="718"/>
        <w:gridCol w:w="350"/>
        <w:gridCol w:w="328"/>
        <w:gridCol w:w="211"/>
        <w:gridCol w:w="467"/>
        <w:gridCol w:w="109"/>
        <w:gridCol w:w="109"/>
        <w:gridCol w:w="109"/>
        <w:gridCol w:w="109"/>
        <w:gridCol w:w="353"/>
        <w:gridCol w:w="285"/>
        <w:gridCol w:w="213"/>
        <w:gridCol w:w="109"/>
        <w:gridCol w:w="109"/>
        <w:gridCol w:w="109"/>
        <w:gridCol w:w="226"/>
        <w:gridCol w:w="304"/>
        <w:gridCol w:w="117"/>
        <w:gridCol w:w="117"/>
        <w:gridCol w:w="117"/>
        <w:gridCol w:w="117"/>
        <w:gridCol w:w="226"/>
        <w:gridCol w:w="436"/>
        <w:gridCol w:w="117"/>
        <w:gridCol w:w="109"/>
        <w:gridCol w:w="109"/>
        <w:gridCol w:w="109"/>
        <w:gridCol w:w="211"/>
        <w:gridCol w:w="616"/>
        <w:gridCol w:w="109"/>
        <w:gridCol w:w="109"/>
        <w:gridCol w:w="109"/>
        <w:gridCol w:w="109"/>
        <w:gridCol w:w="353"/>
        <w:gridCol w:w="325"/>
        <w:gridCol w:w="246"/>
        <w:gridCol w:w="109"/>
        <w:gridCol w:w="109"/>
        <w:gridCol w:w="109"/>
        <w:gridCol w:w="223"/>
        <w:gridCol w:w="409"/>
        <w:gridCol w:w="115"/>
        <w:gridCol w:w="115"/>
        <w:gridCol w:w="115"/>
        <w:gridCol w:w="115"/>
        <w:gridCol w:w="223"/>
        <w:gridCol w:w="409"/>
        <w:gridCol w:w="175"/>
      </w:tblGrid>
      <w:tr>
        <w:trPr/>
        <w:tc>
          <w:tcPr>
            <w:tcW w:w="7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 amortization</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amortization</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Employer Contributions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$4.0 million of contributions have been made to the Company’s U.S. and foreign pension plans. Contributions to other postretirement benefit plans were $0.2 million. Taking into consideration current minimum cash contribution requirements, the Company currently expects to make full year cash contributions of approximately $6.7 million to its U.S. and foreign pension plans and approximately $0.2 million to its other postretirement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10 – Other (Expense) Income,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Other (expense) income, net are as follows:</w:t>
      </w:r>
    </w:p>
    <w:tbl>
      <w:tblPr>
        <w:tblW w:w="10205" w:type="dxa"/>
        <w:jc w:val="center"/>
        <w:tblInd w:w="0" w:type="dxa"/>
        <w:tblLayout w:type="fixed"/>
        <w:tblCellMar>
          <w:top w:w="28" w:type="dxa"/>
          <w:left w:w="28" w:type="dxa"/>
          <w:bottom w:w="28" w:type="dxa"/>
          <w:right w:w="28" w:type="dxa"/>
        </w:tblCellMar>
      </w:tblPr>
      <w:tblGrid>
        <w:gridCol w:w="2026"/>
        <w:gridCol w:w="1752"/>
        <w:gridCol w:w="1762"/>
        <w:gridCol w:w="211"/>
        <w:gridCol w:w="533"/>
        <w:gridCol w:w="109"/>
        <w:gridCol w:w="109"/>
        <w:gridCol w:w="109"/>
        <w:gridCol w:w="109"/>
        <w:gridCol w:w="211"/>
        <w:gridCol w:w="466"/>
        <w:gridCol w:w="109"/>
        <w:gridCol w:w="109"/>
        <w:gridCol w:w="109"/>
        <w:gridCol w:w="109"/>
        <w:gridCol w:w="211"/>
        <w:gridCol w:w="683"/>
        <w:gridCol w:w="109"/>
        <w:gridCol w:w="109"/>
        <w:gridCol w:w="109"/>
        <w:gridCol w:w="109"/>
        <w:gridCol w:w="367"/>
        <w:gridCol w:w="318"/>
        <w:gridCol w:w="357"/>
      </w:tblGrid>
      <w:tr>
        <w:trPr/>
        <w:tc>
          <w:tcPr>
            <w:tcW w:w="202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 refunds and other related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3,755</w:t>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disposals of property, plant, equipment and other assets, net</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3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interruption insurance proceeds</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costs, net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adjustment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(loss) income, net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other (expense)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Non-income tax refunds and other related credits includes $1.8 million of indirect tax credits and interest received during the three and nine months ended September 30, 2025 relating to the Brazil Supreme Court ruling in regard to certain non-income (indirect) taxes that have been previously charged and paid. </w:t>
      </w:r>
    </w:p>
    <w:p>
      <w:pPr>
        <w:pStyle w:val="TextBody"/>
        <w:bidi w:val="0"/>
        <w:spacing w:lineRule="auto" w:line="288" w:before="0" w:after="120"/>
        <w:jc w:val="both"/>
        <w:rPr/>
      </w:pPr>
      <w:r>
        <w:rPr>
          <w:rFonts w:ascii="Times New Roman;serif" w:hAnsi="Times New Roman;serif"/>
          <w:b w:val="false"/>
          <w:color w:val="000000"/>
          <w:sz w:val="20"/>
        </w:rPr>
        <w:t xml:space="preserve">(Loss) gain on disposals of property, plant, equipment and other assets, net, includes the gain of $2.2 million recognized for the sale of certain property previously classified as held for sale during the nine months ended September 30, 2025.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for more information.</w:t>
      </w:r>
    </w:p>
    <w:p>
      <w:pPr>
        <w:pStyle w:val="TextBody"/>
        <w:bidi w:val="0"/>
        <w:spacing w:lineRule="auto" w:line="288" w:before="0" w:after="120"/>
        <w:jc w:val="both"/>
        <w:rPr/>
      </w:pPr>
      <w:r>
        <w:rPr>
          <w:rFonts w:ascii="Times New Roman;serif" w:hAnsi="Times New Roman;serif"/>
          <w:b w:val="false"/>
          <w:color w:val="000000"/>
          <w:sz w:val="20"/>
        </w:rPr>
        <w:t xml:space="preserve">Foreign exchange losses, net includes a $1.4 million foreign exchange loss, respectively, during the nine months ended September 30, 2025 relating to the change in fair value of the foreign exchange forward contracts entered into in connection with the acquisition of Dipsol.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pStyle w:val="TextBody"/>
        <w:bidi w:val="0"/>
        <w:spacing w:lineRule="auto" w:line="288" w:before="0" w:after="120"/>
        <w:jc w:val="both"/>
        <w:rPr/>
      </w:pPr>
      <w:r>
        <w:rPr>
          <w:rFonts w:ascii="Times New Roman;serif" w:hAnsi="Times New Roman;serif"/>
          <w:b w:val="false"/>
          <w:color w:val="000000"/>
          <w:sz w:val="20"/>
        </w:rPr>
        <w:t xml:space="preserve">Business interruption insurance proceeds during the three and nine months ended September 30, 2024 reflects an insurance recovery of $1.0 million related to production losses due to an electrical fire in 2021 that resulted in temporary shutdown of production at one of the Company’s production facilities. See Note 18,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for additional discussion regarding the Company’s business interruption claims.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Product liability claim costs, net represents expense related to a payment by the Company in connection with a product liability dispute with a customer, net of insurance recoveries during the nine months ended September 30,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Multiemployer plan withdrawal charge during the three and nine months ended September 30, 2025 represents a $0.9 million expense related to the Company withdrawing from the Cleveland Bakers and Teamsters Pension Fund, a multiemployer defined benefit pension plan, in connection with a site closure under the Company’s restructuring program and facility closure actions. </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11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nine months ended September 30, 2025 were 26.2% and (169.5)%, respectively, compared to 28.9% and 29.7%, respectively, for the three and nine months ended September 30, 2024. The Company’s effective tax rate for the three months ended September 30, 2025 was largely driven by our mix of pre-tax earnings and withholding taxes offset by return to provision adjustments and net favorable reductions in uncertain tax positions. The Company’s effective tax rate for the nine months ended September 30, 2025 was largely driven by our mix of pre-tax earnings, goodwill impairment, and withholding taxes offset by return to provision adjustments and net favorable reductions in uncertain tax positions. Comparatively, the effective tax rate for the three months ended September 30, 2024 was largely driven by the mix of pre-tax earnings, withholding taxes, and changes in uncertain tax positions offset by return to provision adjustments. The effective tax rate for the nine months ended September 30, 2024 was further impacted by certain one-time charges related to an intercompany intangible asset transfer offset by changes in uncertain tax positions.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OBBB also includes provisions that could impact our international business and which are still being evaluated. ASU 2023-09 Income Taxes (Topic 740) requires the effects of changes in tax rates and laws on deferred tax balances to be recognized in the period in which the relevant legislation is enacted. The OBBB may affect the Company’s tax assets and liabilities in future periods. The legislation has multiple effective dates, with certain provisions effective in 2025 and other provisions implemented through 2027. While the Company continues to evaluate the potential impacts of the provisions effective in 2026 and 2027, the Company does not expect the provisions effective in 2025 to have a material impact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12 – Earnings Per Share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earnings (loss) per share calculations:</w:t>
      </w:r>
    </w:p>
    <w:tbl>
      <w:tblPr>
        <w:tblW w:w="10205" w:type="dxa"/>
        <w:jc w:val="center"/>
        <w:tblInd w:w="0" w:type="dxa"/>
        <w:tblLayout w:type="fixed"/>
        <w:tblCellMar>
          <w:top w:w="28" w:type="dxa"/>
          <w:left w:w="28" w:type="dxa"/>
          <w:bottom w:w="28" w:type="dxa"/>
          <w:right w:w="28" w:type="dxa"/>
        </w:tblCellMar>
      </w:tblPr>
      <w:tblGrid>
        <w:gridCol w:w="1772"/>
        <w:gridCol w:w="1528"/>
        <w:gridCol w:w="1539"/>
        <w:gridCol w:w="211"/>
        <w:gridCol w:w="721"/>
        <w:gridCol w:w="109"/>
        <w:gridCol w:w="109"/>
        <w:gridCol w:w="109"/>
        <w:gridCol w:w="109"/>
        <w:gridCol w:w="211"/>
        <w:gridCol w:w="721"/>
        <w:gridCol w:w="109"/>
        <w:gridCol w:w="109"/>
        <w:gridCol w:w="109"/>
        <w:gridCol w:w="109"/>
        <w:gridCol w:w="211"/>
        <w:gridCol w:w="790"/>
        <w:gridCol w:w="109"/>
        <w:gridCol w:w="109"/>
        <w:gridCol w:w="109"/>
        <w:gridCol w:w="109"/>
        <w:gridCol w:w="211"/>
        <w:gridCol w:w="826"/>
        <w:gridCol w:w="156"/>
      </w:tblGrid>
      <w:tr>
        <w:trPr/>
        <w:tc>
          <w:tcPr>
            <w:tcW w:w="17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loss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17,363,947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17,837,858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17,524,377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17,889,168</w:t>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loss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17,363,947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17,837,858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17,524,377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17,889,168</w:t>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20,799</w:t>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17,421,090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17,864,335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17,545,666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17,909,967</w:t>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stock options, restricted stock units, and PSUs are not included in the diluted earnings per share calculation when the effect would be anti-dilutive. The number of anti-dilutive shares were 27,037 and 41,854, respectively, for the three and nine months ended September 30, 2025, compared to 19,374 and 31,377, respectively, for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 Goodwill and Other Intangible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nine months ended September 30, 2025 were as follows:</w:t>
      </w:r>
    </w:p>
    <w:tbl>
      <w:tblPr>
        <w:tblW w:w="9371" w:type="dxa"/>
        <w:jc w:val="center"/>
        <w:tblInd w:w="0" w:type="dxa"/>
        <w:tblLayout w:type="fixed"/>
        <w:tblCellMar>
          <w:top w:w="28" w:type="dxa"/>
          <w:left w:w="28" w:type="dxa"/>
          <w:bottom w:w="28" w:type="dxa"/>
          <w:right w:w="28" w:type="dxa"/>
        </w:tblCellMar>
      </w:tblPr>
      <w:tblGrid>
        <w:gridCol w:w="1356"/>
        <w:gridCol w:w="1195"/>
        <w:gridCol w:w="1199"/>
        <w:gridCol w:w="211"/>
        <w:gridCol w:w="826"/>
        <w:gridCol w:w="109"/>
        <w:gridCol w:w="109"/>
        <w:gridCol w:w="109"/>
        <w:gridCol w:w="109"/>
        <w:gridCol w:w="226"/>
        <w:gridCol w:w="569"/>
        <w:gridCol w:w="144"/>
        <w:gridCol w:w="109"/>
        <w:gridCol w:w="109"/>
        <w:gridCol w:w="109"/>
        <w:gridCol w:w="211"/>
        <w:gridCol w:w="826"/>
        <w:gridCol w:w="109"/>
        <w:gridCol w:w="109"/>
        <w:gridCol w:w="109"/>
        <w:gridCol w:w="109"/>
        <w:gridCol w:w="211"/>
        <w:gridCol w:w="826"/>
        <w:gridCol w:w="109"/>
        <w:gridCol w:w="109"/>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Goodwill recognized for Dipsol acquisition</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Goodwill recognized for Natech acquisition</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for CSI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Goodwill recognized for Sutai acquisition</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During the nine months ended September 30, 2025, the Company finalized the working capital settlements which impacted the goodwill recorded.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for additional information. </w:t>
      </w:r>
    </w:p>
    <w:p>
      <w:pPr>
        <w:pStyle w:val="TextBody"/>
        <w:bidi w:val="0"/>
        <w:spacing w:before="0" w:after="120"/>
        <w:jc w:val="left"/>
        <w:rPr/>
      </w:pPr>
      <w:r>
        <w:rPr/>
      </w:r>
    </w:p>
    <w:tbl>
      <w:tblPr>
        <w:tblW w:w="5963" w:type="dxa"/>
        <w:jc w:val="center"/>
        <w:tblInd w:w="0" w:type="dxa"/>
        <w:tblLayout w:type="fixed"/>
        <w:tblCellMar>
          <w:top w:w="28" w:type="dxa"/>
          <w:left w:w="28" w:type="dxa"/>
          <w:bottom w:w="28" w:type="dxa"/>
          <w:right w:w="28" w:type="dxa"/>
        </w:tblCellMar>
      </w:tblPr>
      <w:tblGrid>
        <w:gridCol w:w="1054"/>
        <w:gridCol w:w="925"/>
        <w:gridCol w:w="931"/>
        <w:gridCol w:w="215"/>
        <w:gridCol w:w="844"/>
        <w:gridCol w:w="111"/>
        <w:gridCol w:w="109"/>
        <w:gridCol w:w="109"/>
        <w:gridCol w:w="109"/>
        <w:gridCol w:w="218"/>
        <w:gridCol w:w="854"/>
        <w:gridCol w:w="112"/>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Accumulated impairment losses </w:t>
            </w:r>
            <w:r>
              <w:rPr>
                <w:rFonts w:ascii="Times New Roman;serif" w:hAnsi="Times New Roman;serif"/>
                <w:b w:val="false"/>
                <w:color w:val="000000"/>
                <w:sz w:val="13"/>
              </w:rPr>
              <w:t>(1)</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518,894 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impairment losses are attributable to the non-cash impairment charges of $88.8 million and $93.0 million to write down the carrying value of the EMEA reporting unit during the second quarter of 2025 and the fourth quarter of 2022, respectively. These amounts include the impact of currency translation.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completes its annual goodwill and indefinite-lived intangible asset impairment tests during the fourth quarter of each year, or more frequently if triggering events indicate a possible impairment in one or more of its reporting units. The Company continually evaluates financial performance, economic conditions and other recent developments in assessing if a triggering event indicates that the carrying value of goodwill, indefinite-lived, or long-lived assets might be impaired.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concluded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As a result of this conclusion, the Company completed an interim impairment assessment as of June 30, 2025 for its EMEA reporting unit and the related asset group. The Company concluded that the undiscounted cash flows exceeded the carrying value of the EMEA asset group, and therefore that the long-lived assets are not impaired. In completing a quantitative goodwill impairment test, the Company compares the reporting unit’s fair value, based on future discounted cash flows, to its carrying value in order to determine if an impairment of goodwill exists. The estimates of future discounted cash flows involve considerable judgment and are based upon certain significant assumptions including the weighted average cost of capital (“WACC”) as well as projected EBITDA, which includes assumptions related to revenue growth rates, gross margin levels and operating expenses. As a result of the impact of the uncertainty around tariffs, and continued soft end market conditions driving lower current year EMEA earnings and a decline in projected future EMEA earnings, as well as an increase in the WACC assumption utilized in the Company’s 2024 annual impairment assessment, the Company concluded that the estimated fair value of the EMEA reporting unit was less than its carrying value. As a result, a pre-tax, non-cash impairment charge of $88.8 million ($86.7 million after-tax) to write down the remaining carrying value amount of the EMEA reporting unit Goodwill was recorded in the second quarter of 2025, reflected in “Impairment charges” in the Consolidated Statements of Operations for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for definite-lived intangible assets were as follows:</w:t>
      </w:r>
    </w:p>
    <w:tbl>
      <w:tblPr>
        <w:tblW w:w="10630" w:type="dxa"/>
        <w:jc w:val="center"/>
        <w:tblInd w:w="0" w:type="dxa"/>
        <w:tblLayout w:type="fixed"/>
        <w:tblCellMar>
          <w:top w:w="28" w:type="dxa"/>
          <w:left w:w="28" w:type="dxa"/>
          <w:bottom w:w="28" w:type="dxa"/>
          <w:right w:w="28" w:type="dxa"/>
        </w:tblCellMar>
      </w:tblPr>
      <w:tblGrid>
        <w:gridCol w:w="656"/>
        <w:gridCol w:w="287"/>
        <w:gridCol w:w="288"/>
        <w:gridCol w:w="494"/>
        <w:gridCol w:w="534"/>
        <w:gridCol w:w="397"/>
        <w:gridCol w:w="109"/>
        <w:gridCol w:w="109"/>
        <w:gridCol w:w="109"/>
        <w:gridCol w:w="472"/>
        <w:gridCol w:w="438"/>
        <w:gridCol w:w="343"/>
        <w:gridCol w:w="109"/>
        <w:gridCol w:w="109"/>
        <w:gridCol w:w="109"/>
        <w:gridCol w:w="495"/>
        <w:gridCol w:w="448"/>
        <w:gridCol w:w="333"/>
        <w:gridCol w:w="114"/>
        <w:gridCol w:w="114"/>
        <w:gridCol w:w="114"/>
        <w:gridCol w:w="466"/>
        <w:gridCol w:w="431"/>
        <w:gridCol w:w="350"/>
        <w:gridCol w:w="109"/>
        <w:gridCol w:w="109"/>
        <w:gridCol w:w="109"/>
        <w:gridCol w:w="494"/>
        <w:gridCol w:w="448"/>
        <w:gridCol w:w="333"/>
        <w:gridCol w:w="109"/>
        <w:gridCol w:w="109"/>
        <w:gridCol w:w="109"/>
        <w:gridCol w:w="447"/>
        <w:gridCol w:w="406"/>
        <w:gridCol w:w="420"/>
      </w:tblGrid>
      <w:tr>
        <w:trPr/>
        <w:tc>
          <w:tcPr>
            <w:tcW w:w="6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rights to sell</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337,586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543,805</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formulations and product technology</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74,473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97,884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418,300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641,785</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amortizes definite-lived intangible assets on a straight-line basis over their useful lives. The Company recorded amortization expense as follows:</w:t>
      </w:r>
    </w:p>
    <w:tbl>
      <w:tblPr>
        <w:tblW w:w="7095" w:type="dxa"/>
        <w:jc w:val="center"/>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Estimated annual aggregate amortization expense for the current year and subsequent five years is as follows:</w:t>
      </w:r>
    </w:p>
    <w:tbl>
      <w:tblPr>
        <w:tblW w:w="4172" w:type="dxa"/>
        <w:jc w:val="center"/>
        <w:tblInd w:w="0" w:type="dxa"/>
        <w:tblLayout w:type="fixed"/>
        <w:tblCellMar>
          <w:top w:w="28" w:type="dxa"/>
          <w:left w:w="28" w:type="dxa"/>
          <w:bottom w:w="28" w:type="dxa"/>
          <w:right w:w="28" w:type="dxa"/>
        </w:tblCellMar>
      </w:tblPr>
      <w:tblGrid>
        <w:gridCol w:w="1172"/>
        <w:gridCol w:w="1031"/>
        <w:gridCol w:w="1037"/>
        <w:gridCol w:w="211"/>
        <w:gridCol w:w="298"/>
        <w:gridCol w:w="423"/>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16,499</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2026</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63,634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63,294</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62,821</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61,682</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59,338</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indefinite-lived intangible assets for trademarks and tradenames totaling $201.1 million and $185.3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14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debt:</w:t>
      </w:r>
    </w:p>
    <w:tbl>
      <w:tblPr>
        <w:tblW w:w="10051"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35"/>
        <w:gridCol w:w="135"/>
        <w:gridCol w:w="135"/>
        <w:gridCol w:w="262"/>
        <w:gridCol w:w="1026"/>
        <w:gridCol w:w="135"/>
        <w:gridCol w:w="109"/>
        <w:gridCol w:w="109"/>
        <w:gridCol w:w="109"/>
        <w:gridCol w:w="250"/>
        <w:gridCol w:w="250"/>
        <w:gridCol w:w="251"/>
        <w:gridCol w:w="127"/>
        <w:gridCol w:w="127"/>
        <w:gridCol w:w="127"/>
        <w:gridCol w:w="246"/>
        <w:gridCol w:w="965"/>
        <w:gridCol w:w="258"/>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Outstanding</w:t>
              <w:br/>
              <w:t>Balance</w:t>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48,820 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Term Loan</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488,824 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5.62%</w:t>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508,863 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138,767 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development bonds</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875,234 </w:t>
            </w:r>
          </w:p>
        </w:tc>
        <w:tc>
          <w:tcPr>
            <w:tcW w:w="13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708,267 </w:t>
            </w:r>
          </w:p>
        </w:tc>
        <w:tc>
          <w:tcPr>
            <w:tcW w:w="2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and current portion of long-term debts</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(35,949)</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(37,554)</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838,522 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669,614 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val="false"/>
          <w:color w:val="000000"/>
          <w:sz w:val="20"/>
        </w:rPr>
        <w:t xml:space="preserve">As of September 30, 2025, the Company was in compliance with all of the Credit Facility covenants. See Note 19, </w:t>
      </w:r>
      <w:r>
        <w:rPr>
          <w:rFonts w:ascii="Times New Roman;serif" w:hAnsi="Times New Roman;serif"/>
          <w:b w:val="false"/>
          <w:i/>
          <w:color w:val="000000"/>
          <w:sz w:val="20"/>
        </w:rPr>
        <w:t xml:space="preserve">Debt, </w:t>
      </w:r>
      <w:r>
        <w:rPr>
          <w:rFonts w:ascii="Times New Roman;serif" w:hAnsi="Times New Roman;serif"/>
          <w:b w:val="false"/>
          <w:color w:val="000000"/>
          <w:sz w:val="20"/>
        </w:rPr>
        <w:t>to Consolidated Financial Statements in the Company’s 2024 Form 10-K.</w:t>
      </w:r>
    </w:p>
    <w:p>
      <w:pPr>
        <w:pStyle w:val="TextBody"/>
        <w:bidi w:val="0"/>
        <w:spacing w:lineRule="auto" w:line="288" w:before="0" w:after="120"/>
        <w:jc w:val="both"/>
        <w:rPr/>
      </w:pPr>
      <w:r>
        <w:rPr>
          <w:rFonts w:ascii="Times New Roman;serif" w:hAnsi="Times New Roman;serif"/>
          <w:b w:val="false"/>
          <w:color w:val="000000"/>
          <w:sz w:val="20"/>
        </w:rPr>
        <w:t>The weighted average variable interest rate incurred on the outstanding borrowings under the Credit Facility during the</w:t>
      </w:r>
      <w:r>
        <w:rPr>
          <w:color w:val="000000"/>
          <w:shd w:fill="FFFFFF" w:val="clear"/>
        </w:rPr>
        <w:t xml:space="preserve"> </w:t>
      </w:r>
      <w:r>
        <w:rPr>
          <w:rFonts w:ascii="Times New Roman;serif" w:hAnsi="Times New Roman;serif"/>
          <w:b w:val="false"/>
          <w:color w:val="000000"/>
          <w:sz w:val="20"/>
          <w:shd w:fill="FFFFFF" w:val="clear"/>
        </w:rPr>
        <w:t xml:space="preserve">three and nine months </w:t>
      </w:r>
      <w:r>
        <w:rPr>
          <w:rFonts w:ascii="Times New Roman;serif" w:hAnsi="Times New Roman;serif"/>
          <w:b w:val="false"/>
          <w:color w:val="000000"/>
          <w:sz w:val="20"/>
        </w:rPr>
        <w:t xml:space="preserve">ended September 30, 2025 was approximately 5.2% for both periods. As of September 30, 2025, the interest rate on the outstanding borrowings under the Credit Facility was approximately 5.1%.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$273 million, which is net of bank letters of credit of approximately $2 million, as of September 30, 2025. </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to an average fixed rate of 3.64% plus an applicable margin as provided in the Credit Facility based on the Company’s consolidated net leverage ratio. As of September 30, 2025, the aggregate interest rate on the swaps, including the fixed base rate plus the applicable margin, was 5.0%.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are amortized into Interest expense over the five-year term of the Credit Facility. As of September 30, 2025 and December 31, 2024, the Company had $0.8 million and $1.1 million, respectively, of debt issuance costs recorded as a reduction of Long-term debt and $1.6 million and $2.4 million, respectively, of debt issuance costs recorded within Other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Industrial development bonds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fixed rate, industrial development authority bonds totaling $10.0 million in principal amount due in 2028. These bonds have similar covenants to the Credit Facility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Bank lines of credit and other debt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September 30, 2025 was approximately $57 million.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bank letters of credit described in the “Credit facilities” subsection above, the Company’s other off-balance sheet arrangements include certain financial and other guarantees. The Company’s total bank letters of credit and guarantees outstanding as of September 30, 2025 were approximately $7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the following debt related expenses included within Interest expense in the Condensed Consolidated Statements of Operations:</w:t>
      </w:r>
    </w:p>
    <w:tbl>
      <w:tblPr>
        <w:tblW w:w="8346" w:type="dxa"/>
        <w:jc w:val="center"/>
        <w:tblInd w:w="0" w:type="dxa"/>
        <w:tblLayout w:type="fixed"/>
        <w:tblCellMar>
          <w:top w:w="28" w:type="dxa"/>
          <w:left w:w="28" w:type="dxa"/>
          <w:bottom w:w="28" w:type="dxa"/>
          <w:right w:w="28" w:type="dxa"/>
        </w:tblCellMar>
      </w:tblPr>
      <w:tblGrid>
        <w:gridCol w:w="1087"/>
        <w:gridCol w:w="952"/>
        <w:gridCol w:w="96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311"/>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33,585 </w:t>
            </w:r>
          </w:p>
        </w:tc>
        <w:tc>
          <w:tcPr>
            <w:tcW w:w="31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33,265 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34,644 </w:t>
            </w:r>
          </w:p>
        </w:tc>
        <w:tc>
          <w:tcPr>
            <w:tcW w:w="3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Based on the variable interest rates associated with the Credit Facility, as of September 30, 2025 and as of December 31, 2024, the amounts at which the Company’s total debt were recorded are not materially different from their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 Accumulated Other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reclassifications from and resulting balances of accumulated other comprehensive income (“AOCI”):</w:t>
      </w:r>
    </w:p>
    <w:tbl>
      <w:tblPr>
        <w:tblW w:w="10205" w:type="dxa"/>
        <w:jc w:val="left"/>
        <w:tblInd w:w="0" w:type="dxa"/>
        <w:tblLayout w:type="fixed"/>
        <w:tblCellMar>
          <w:top w:w="28" w:type="dxa"/>
          <w:left w:w="28" w:type="dxa"/>
          <w:bottom w:w="28" w:type="dxa"/>
          <w:right w:w="28" w:type="dxa"/>
        </w:tblCellMar>
      </w:tblPr>
      <w:tblGrid>
        <w:gridCol w:w="1243"/>
        <w:gridCol w:w="826"/>
        <w:gridCol w:w="773"/>
        <w:gridCol w:w="219"/>
        <w:gridCol w:w="901"/>
        <w:gridCol w:w="113"/>
        <w:gridCol w:w="109"/>
        <w:gridCol w:w="109"/>
        <w:gridCol w:w="109"/>
        <w:gridCol w:w="211"/>
        <w:gridCol w:w="759"/>
        <w:gridCol w:w="109"/>
        <w:gridCol w:w="109"/>
        <w:gridCol w:w="109"/>
        <w:gridCol w:w="109"/>
        <w:gridCol w:w="363"/>
        <w:gridCol w:w="829"/>
        <w:gridCol w:w="188"/>
        <w:gridCol w:w="109"/>
        <w:gridCol w:w="109"/>
        <w:gridCol w:w="109"/>
        <w:gridCol w:w="253"/>
        <w:gridCol w:w="742"/>
        <w:gridCol w:w="131"/>
        <w:gridCol w:w="109"/>
        <w:gridCol w:w="109"/>
        <w:gridCol w:w="109"/>
        <w:gridCol w:w="211"/>
        <w:gridCol w:w="864"/>
        <w:gridCol w:w="162"/>
      </w:tblGrid>
      <w:tr>
        <w:trPr/>
        <w:tc>
          <w:tcPr>
            <w:tcW w:w="12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Currency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w:t>
            </w:r>
          </w:p>
          <w:p>
            <w:pPr>
              <w:pStyle w:val="TableContents"/>
              <w:bidi w:val="0"/>
              <w:spacing w:lineRule="auto" w:line="288" w:before="0" w:after="0"/>
              <w:jc w:val="center"/>
              <w:rPr/>
            </w:pPr>
            <w:r>
              <w:rPr>
                <w:rFonts w:ascii="Times New Roman;serif" w:hAnsi="Times New Roman;serif"/>
                <w:b/>
                <w:color w:val="000000"/>
                <w:sz w:val="20"/>
              </w:rPr>
              <w:t xml:space="preserve">Adjustments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w:t>
              <w:br/>
              <w:t>(Loss)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w:t>
              <w:br/>
              <w:t xml:space="preserve">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(103,831)</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(115,181)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2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(104,235)</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(115,333)</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219"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(159,574)</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(165,762)</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2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21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(118,039)</w:t>
            </w:r>
          </w:p>
        </w:tc>
        <w:tc>
          <w:tcPr>
            <w:tcW w:w="1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(10,781)</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8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(128,448)</w:t>
            </w:r>
          </w:p>
        </w:tc>
        <w:tc>
          <w:tcPr>
            <w:tcW w:w="1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mark-to-market impacts associated with net investment hedges.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tbl>
      <w:tblPr>
        <w:tblW w:w="10205" w:type="dxa"/>
        <w:jc w:val="center"/>
        <w:tblInd w:w="0" w:type="dxa"/>
        <w:tblLayout w:type="fixed"/>
        <w:tblCellMar>
          <w:top w:w="28" w:type="dxa"/>
          <w:left w:w="28" w:type="dxa"/>
          <w:bottom w:w="28" w:type="dxa"/>
          <w:right w:w="28" w:type="dxa"/>
        </w:tblCellMar>
      </w:tblPr>
      <w:tblGrid>
        <w:gridCol w:w="1204"/>
        <w:gridCol w:w="830"/>
        <w:gridCol w:w="833"/>
        <w:gridCol w:w="211"/>
        <w:gridCol w:w="898"/>
        <w:gridCol w:w="109"/>
        <w:gridCol w:w="109"/>
        <w:gridCol w:w="109"/>
        <w:gridCol w:w="109"/>
        <w:gridCol w:w="211"/>
        <w:gridCol w:w="761"/>
        <w:gridCol w:w="109"/>
        <w:gridCol w:w="109"/>
        <w:gridCol w:w="109"/>
        <w:gridCol w:w="109"/>
        <w:gridCol w:w="371"/>
        <w:gridCol w:w="822"/>
        <w:gridCol w:w="193"/>
        <w:gridCol w:w="109"/>
        <w:gridCol w:w="109"/>
        <w:gridCol w:w="109"/>
        <w:gridCol w:w="250"/>
        <w:gridCol w:w="731"/>
        <w:gridCol w:w="130"/>
        <w:gridCol w:w="109"/>
        <w:gridCol w:w="109"/>
        <w:gridCol w:w="109"/>
        <w:gridCol w:w="211"/>
        <w:gridCol w:w="866"/>
        <w:gridCol w:w="157"/>
      </w:tblGrid>
      <w:tr>
        <w:trPr/>
        <w:tc>
          <w:tcPr>
            <w:tcW w:w="120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Currency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w:t>
            </w:r>
          </w:p>
          <w:p>
            <w:pPr>
              <w:pStyle w:val="TableContents"/>
              <w:bidi w:val="0"/>
              <w:spacing w:lineRule="auto" w:line="288" w:before="0" w:after="0"/>
              <w:jc w:val="center"/>
              <w:rPr/>
            </w:pPr>
            <w:r>
              <w:rPr>
                <w:rFonts w:ascii="Times New Roman;serif" w:hAnsi="Times New Roman;serif"/>
                <w:b/>
                <w:color w:val="000000"/>
                <w:sz w:val="20"/>
              </w:rPr>
              <w:t>Adjustments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w:t>
              <w:br/>
              <w:t>(Loss)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(192,841)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5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09"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9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(115,333)</w:t>
            </w:r>
          </w:p>
        </w:tc>
        <w:tc>
          <w:tcPr>
            <w:tcW w:w="15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(115,417)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(124,415)</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09"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(118,039)</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(10,781)</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9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3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(128,448)</w:t>
            </w:r>
          </w:p>
        </w:tc>
        <w:tc>
          <w:tcPr>
            <w:tcW w:w="15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mark-to-market impacts associated with net investment hedges.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for more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reclassifications related to unrealized gain (loss) in available-for-sale securities relate to the Company’s equity interest in Primex, a captive insurance company, and are recorded in equity in net income of associated companies. The amounts reported in other comprehensive income for noncontrolling interest are related to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16 – Fair Value Measurements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values its company-owned life insurance policies at fair value. The Company owns an immaterial amount of company-owned life insurance policies as of September 30, 2025 and December 31, 2024.</w:t>
      </w:r>
    </w:p>
    <w:p>
      <w:pPr>
        <w:pStyle w:val="TextBody"/>
        <w:bidi w:val="0"/>
        <w:spacing w:lineRule="auto" w:line="288" w:before="0" w:after="120"/>
        <w:jc w:val="both"/>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a description of the Company’s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Hedging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interest rate swap agreements, and cross-currency swap agreements. The Company does not hold or enter into derivative financial instruments for trading or speculative purposes.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(expense) income, net. The fair value of the forward contract is determined from sources independent of the Company, including the financial institutions which are party to the derivative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September 30, 2025 were entered into as hedges of the Japanese yen and Mexican peso against the U.S. dollar and had the following notional U.S. dollar values (in millions):</w:t>
      </w:r>
    </w:p>
    <w:tbl>
      <w:tblPr>
        <w:tblW w:w="2935" w:type="dxa"/>
        <w:jc w:val="center"/>
        <w:tblInd w:w="0" w:type="dxa"/>
        <w:tblLayout w:type="fixed"/>
        <w:tblCellMar>
          <w:top w:w="28" w:type="dxa"/>
          <w:left w:w="28" w:type="dxa"/>
          <w:bottom w:w="28" w:type="dxa"/>
          <w:right w:w="28" w:type="dxa"/>
        </w:tblCellMar>
      </w:tblPr>
      <w:tblGrid>
        <w:gridCol w:w="456"/>
        <w:gridCol w:w="400"/>
        <w:gridCol w:w="403"/>
        <w:gridCol w:w="109"/>
        <w:gridCol w:w="109"/>
        <w:gridCol w:w="109"/>
        <w:gridCol w:w="262"/>
        <w:gridCol w:w="896"/>
        <w:gridCol w:w="191"/>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9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28,700 </w:t>
            </w:r>
          </w:p>
        </w:tc>
        <w:tc>
          <w:tcPr>
            <w:tcW w:w="1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pPr>
      <w:r>
        <w:rPr>
          <w:rFonts w:ascii="Times New Roman;serif" w:hAnsi="Times New Roman;serif"/>
          <w:b w:val="false"/>
          <w:color w:val="000000"/>
          <w:sz w:val="20"/>
        </w:rPr>
        <w:t xml:space="preserve">In connection with the acquisition of Dipsol as described in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$1.4 million foreign currency loss during the nine months ended September 30, 2025 in Other (expense) income, net relating to the change in fair value of these instruments as of the settlement date.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September 30, 2025 had maturities occurring over a period of up to one month.</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See Note 14, </w:t>
      </w:r>
      <w:r>
        <w:rPr>
          <w:rFonts w:ascii="Times New Roman;serif" w:hAnsi="Times New Roman;serif"/>
          <w:b w:val="false"/>
          <w:i/>
          <w:color w:val="000000"/>
          <w:sz w:val="20"/>
        </w:rPr>
        <w:t>Debt</w:t>
      </w:r>
      <w:r>
        <w:rPr>
          <w:rFonts w:ascii="Times New Roman;serif" w:hAnsi="Times New Roman;serif"/>
          <w:b w:val="false"/>
          <w:color w:val="000000"/>
          <w:sz w:val="20"/>
        </w:rPr>
        <w:t>, for additional information. 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entered into a fixed-for-fixed cross currency swap for a notional amount of $75.0 million to hedge the variability of exchange rate impacts between the U.S. Dollar and the European euro. Under the terms of the cross-currency swap agreement, the Company notionally exchanged $75.0 million at an interest rate of 1.9% for 65.8 million EUR at an interest rate of 0.0%. The cross-currency swap is designated as a net investment hedge on a pre-tax basis and expires in June 2027.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fixed-for-fixed cross currency swaps with an aggregate notional amount totaling $100.0 million to hedge the variability of exchange rate impacts between the U.S. Dollar and Japanese yen. Under the terms of the cross-currency swap agreements, the Company notionally exchanged $100.0 million at a weighted average interest rate of 3.1% for 14.3 billion JPY at a weighted average interest rate of 0.0%. The cross-currency swaps are designated as net investment hedges on an after-tax basis and expire in April 2028.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fixed-for-fixed cross-currency swaps are marked to market at each reporting date and any unrealized gains or losses are included in unrealized currency translation adjustments, within AOCI. The Company uses the spot method to evaluate the effectiveness of the net investment hedges.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balance sheet classification and fair values of the Company’s derivative instruments, which are Level 2 measurements, are as follows:</w:t>
      </w:r>
    </w:p>
    <w:tbl>
      <w:tblPr>
        <w:tblW w:w="10205" w:type="dxa"/>
        <w:jc w:val="center"/>
        <w:tblInd w:w="0" w:type="dxa"/>
        <w:tblLayout w:type="fixed"/>
        <w:tblCellMar>
          <w:top w:w="28" w:type="dxa"/>
          <w:left w:w="28" w:type="dxa"/>
          <w:bottom w:w="28" w:type="dxa"/>
          <w:right w:w="28" w:type="dxa"/>
        </w:tblCellMar>
      </w:tblPr>
      <w:tblGrid>
        <w:gridCol w:w="991"/>
        <w:gridCol w:w="873"/>
        <w:gridCol w:w="875"/>
        <w:gridCol w:w="109"/>
        <w:gridCol w:w="109"/>
        <w:gridCol w:w="109"/>
        <w:gridCol w:w="1318"/>
        <w:gridCol w:w="1318"/>
        <w:gridCol w:w="1320"/>
        <w:gridCol w:w="109"/>
        <w:gridCol w:w="109"/>
        <w:gridCol w:w="109"/>
        <w:gridCol w:w="285"/>
        <w:gridCol w:w="837"/>
        <w:gridCol w:w="149"/>
        <w:gridCol w:w="109"/>
        <w:gridCol w:w="109"/>
        <w:gridCol w:w="109"/>
        <w:gridCol w:w="342"/>
        <w:gridCol w:w="658"/>
        <w:gridCol w:w="258"/>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585" w:type="dxa"/>
            <w:gridSpan w:val="6"/>
            <w:tcBorders/>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3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unrealized gain deferred to AOCI:</w:t>
      </w:r>
    </w:p>
    <w:tbl>
      <w:tblPr>
        <w:tblW w:w="9996" w:type="dxa"/>
        <w:jc w:val="center"/>
        <w:tblInd w:w="0" w:type="dxa"/>
        <w:tblLayout w:type="fixed"/>
        <w:tblCellMar>
          <w:top w:w="28" w:type="dxa"/>
          <w:left w:w="28" w:type="dxa"/>
          <w:bottom w:w="28" w:type="dxa"/>
          <w:right w:w="28" w:type="dxa"/>
        </w:tblCellMar>
      </w:tblPr>
      <w:tblGrid>
        <w:gridCol w:w="765"/>
        <w:gridCol w:w="674"/>
        <w:gridCol w:w="676"/>
        <w:gridCol w:w="109"/>
        <w:gridCol w:w="109"/>
        <w:gridCol w:w="109"/>
        <w:gridCol w:w="1429"/>
        <w:gridCol w:w="1429"/>
        <w:gridCol w:w="1432"/>
        <w:gridCol w:w="109"/>
        <w:gridCol w:w="109"/>
        <w:gridCol w:w="109"/>
        <w:gridCol w:w="293"/>
        <w:gridCol w:w="859"/>
        <w:gridCol w:w="153"/>
        <w:gridCol w:w="109"/>
        <w:gridCol w:w="109"/>
        <w:gridCol w:w="109"/>
        <w:gridCol w:w="357"/>
        <w:gridCol w:w="686"/>
        <w:gridCol w:w="262"/>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location and the amount of net gain (loss) recognized in the Company’s Condensed Consolidated Statements of Operations related to derivative instruments:</w:t>
      </w:r>
    </w:p>
    <w:tbl>
      <w:tblPr>
        <w:tblW w:w="10205" w:type="dxa"/>
        <w:jc w:val="center"/>
        <w:tblInd w:w="0" w:type="dxa"/>
        <w:tblLayout w:type="fixed"/>
        <w:tblCellMar>
          <w:top w:w="28" w:type="dxa"/>
          <w:left w:w="28" w:type="dxa"/>
          <w:bottom w:w="28" w:type="dxa"/>
          <w:right w:w="28" w:type="dxa"/>
        </w:tblCellMar>
      </w:tblPr>
      <w:tblGrid>
        <w:gridCol w:w="760"/>
        <w:gridCol w:w="670"/>
        <w:gridCol w:w="672"/>
        <w:gridCol w:w="109"/>
        <w:gridCol w:w="109"/>
        <w:gridCol w:w="109"/>
        <w:gridCol w:w="946"/>
        <w:gridCol w:w="946"/>
        <w:gridCol w:w="948"/>
        <w:gridCol w:w="109"/>
        <w:gridCol w:w="109"/>
        <w:gridCol w:w="109"/>
        <w:gridCol w:w="211"/>
        <w:gridCol w:w="616"/>
        <w:gridCol w:w="109"/>
        <w:gridCol w:w="109"/>
        <w:gridCol w:w="109"/>
        <w:gridCol w:w="109"/>
        <w:gridCol w:w="218"/>
        <w:gridCol w:w="443"/>
        <w:gridCol w:w="109"/>
        <w:gridCol w:w="109"/>
        <w:gridCol w:w="109"/>
        <w:gridCol w:w="109"/>
        <w:gridCol w:w="211"/>
        <w:gridCol w:w="616"/>
        <w:gridCol w:w="109"/>
        <w:gridCol w:w="109"/>
        <w:gridCol w:w="109"/>
        <w:gridCol w:w="109"/>
        <w:gridCol w:w="211"/>
        <w:gridCol w:w="616"/>
        <w:gridCol w:w="159"/>
      </w:tblGrid>
      <w:tr>
        <w:trPr/>
        <w:tc>
          <w:tcPr>
            <w:tcW w:w="7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1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18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val="false"/>
          <w:color w:val="000000"/>
          <w:sz w:val="20"/>
        </w:rPr>
        <w:t xml:space="preserve">As previously disclosed in its 2024 Form 10-K, the Company is party to certain environmental matters and other litigation. See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Company’s 2024 Form 10-K for more information. During the three and nine months ended September 30, 2025, there have been no 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$5.5 million and $5.3 million as of September 30, 2025 and December 31, 2024, respectively, for these ongoing matters.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previously disclosed in its 2024 Form 10-K that one of its North American production facilities experienced an electrical fire in 2021 that resulted in property damage and the temporary shutdown of production. The Company and its insurance carrier reviewed the impact of the electrical fire on the production facility’s operations as it relates to a potential business interruption insurance claim. In July 2024, the Company and its insurance carrier settled this claim for $1.0 million.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and nine months ended September 30, 2025, there are no new environmental matters or litigation that the Company believes will have a material adverse effect on the Company’s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r>
        <w:rPr>
          <w:rFonts w:ascii="Times New Roman;serif" w:hAnsi="Times New Roman;serif"/>
          <w:b/>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used in this Report, the terms “Quaker Houghton,” the “Company,” “we” and “our” refer to Quaker Chemical Corporation (doing business as Quaker Houghton), its subsidiaries, and associated companies, unless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in the third quarter of 2025 were $493.8 million, an increase of 7% compared to $462.3 million in the third quarter of 2024. This increase was primarily driven by a contribution from acquisitions of approximately 5%, an increase in organic sales volumes of approximately 3%, and a favorable impact from foreign currency translation of approximately 1%, partially offset by a decline in selling price and product mix of approximately 2%. The increase in organic sales volumes compared to the prior year was primarily a result of continued growth in the Asia/Pacific segment and new business wins across all segments, helping to offset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 </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reported net income in the third quarter of 2025 of $30.5 million, or $1.75 earnings per diluted share, compared to $32.3 million, or $1.81 earnings per diluted share in the third quarter of 2024. Excluding non-recurring and non-core items in each period, the Company’s third quarter 2025 non-GAAP net income and earnings per diluted share were $36.3 million and $2.08 compared to $34.0 million and $1.89, respectively, in the prior year. The increase in current quarter Non-GAAP earnings was primarily driven by an increase in net sales, partially offset by lower gross margins and an increase in selling, general and administrative expenses (“SG&amp;A”). The Company’s current quarter adjusted EBITDA was $82.9 million compared to $78.6 million in the third quarter of 2024, primarily driven by the increase in net sales and consistent operating margins. See the Non-GAAP Measures and Consolidated Operations Review sections of this Item below for additional details. </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Company’s third quarter 2025 operating performance in each of its three reportable segments: (i) Americas; (ii) EMEA; and (iii) Asia/Pacific,</w:t>
      </w:r>
      <w:r>
        <w:rPr>
          <w:color w:val="000000"/>
        </w:rPr>
        <w:t xml:space="preserve"> </w:t>
      </w:r>
      <w:r>
        <w:rPr>
          <w:rFonts w:ascii="Times New Roman;serif" w:hAnsi="Times New Roman;serif"/>
          <w:b w:val="false"/>
          <w:color w:val="000000"/>
          <w:sz w:val="20"/>
        </w:rPr>
        <w:t>reflects similar drivers to that of the Company’s consolidated performance. Operating earnings for the EMEA and Asia/Pacific segments increased compared to the prior year quarter, primarily driven by an increase in net sales and further contribution from acquisitions, partially offset by lower segment operating margins in the Asia/Pacific segment. Operating earnings for the Americas segment decreased, as an increase in net sales was offset by a decrease in segment operating margins. Additional details of segment operating performance are provided in the Reportable Segments Review in the Operations section of this It</w:t>
      </w:r>
      <w:r>
        <w:rPr>
          <w:rFonts w:ascii="Times New Roman;serif" w:hAnsi="Times New Roman;serif"/>
          <w:b w:val="false"/>
          <w:color w:val="000000"/>
          <w:sz w:val="20"/>
          <w:shd w:fill="FFFFFF" w:val="clear"/>
        </w:rPr>
        <w: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were $89.9 million in the first nine months of 2025 compared to $141.5 million in the first nine months of 2024. The lower operating cash flow year-over-year reflects lower operating performance, higher cash outflows from restructuring activities and higher outflows from working capital in the first nine months of 2025 compared to the first nine months of 2024. The key drivers of the Company’s operating cash flow and working capital are further discussed in the Company’s Liquidity and Capital Resources section of this Item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Overall, the Company’s results in the third quarter of 2025 reflect an increase in sales volumes in all segments, driven by new business wins, despite a continuation of challenging end market conditions, and the Company’s continued focus on delivering on its long-term financial and strategic initiatives.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OBBB also includes provisions that could impact our international business and which are still being evaluated. ASU 2023-09 Income Taxes (Topic 740) requires the effects of changes in tax rates and laws on deferred tax balances to be recognized in the period in which the relevant legislation is enacted. The OBBB may affect the Company’s tax assets and liabilities in future periods. The legislation has multiple effective dates, with certain provisions effective in 2025 and other provisions implemented through 2027. While the Company continues to evaluate the potential impacts of the provisions effective in 2026 and 2027, the Company does not expect the provisions effective in 2025 to have a material impact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“Management’s Discussion and Analysis” and “Note 1 – Significant Accounting Policies” to the Consolidated Financial Statements in our 2024 Form 10-K. There have been no material changes to the critical accounting policies and estimates disclosed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12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Recently Issued Accounting Standards</w:t>
      </w:r>
      <w:r>
        <w:rPr>
          <w:rFonts w:ascii="Times New Roman;serif" w:hAnsi="Times New Roman;serif"/>
          <w:b w:val="false"/>
          <w:color w:val="000000"/>
          <w:sz w:val="20"/>
        </w:rPr>
        <w:t>, to the Condensed Consolidated Financial Statements for a discussion regarding recently adopted accounting standards and recently issued accounting standards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had cash and cash equivalents of $172.0 million and $188.9 million as of September 30, 2025 and December 31, 2024, respectively. Cash held by subsidiaries in foreign countries was approximately $164.9 million and $180.6 million at September 30, 2025 and December 31, 2024, respectively. The $16.9 million decrease in cash and cash equivalents was the net result of $193.0 million of cash used in investing activities, partially offset by $79.2 million of cash provided by financing activities, $89.9 million of cash provided by operating activities, and a $7.0 million favorable impact of foreign currency translation.</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flows provided by operating activities were $89.9 million in the first nine months of 2025 compared to $141.5 million in the first nine months of 2024. The decrease in net operating cash flow year-over-year reflects lower operating performance in the first nine months of 2025 compared to 2024, higher outflows from restructuring activities, and an increase in net cash outflows from working capital, primarily due to lower inflows from the timing of collection of accounts receivable and higher outflows for the purchases of inventories.</w:t>
      </w:r>
    </w:p>
    <w:p>
      <w:pPr>
        <w:pStyle w:val="TextBody"/>
        <w:bidi w:val="0"/>
        <w:spacing w:lineRule="auto" w:line="288" w:before="0" w:after="120"/>
        <w:jc w:val="both"/>
        <w:rPr/>
      </w:pPr>
      <w:r>
        <w:rPr>
          <w:rFonts w:ascii="Times New Roman;serif" w:hAnsi="Times New Roman;serif"/>
          <w:b w:val="false"/>
          <w:color w:val="000000"/>
          <w:sz w:val="20"/>
          <w:shd w:fill="FFFFFF" w:val="clear"/>
        </w:rPr>
        <w:t>Net cash flows used in investing activities were $193.0 million in the first nine months of 2025 compared to $55.8 million in the first nine months of 2024. The increase in cash used in investing activities year-over-year is primarily the result of $164.2 million of payments, net of cash acquired, in the current year related to the acquisitions of Chemical Solutions &amp; Innovations (Pty) Ltd. (“CSI”), Dipsol Chemicals Co., Ltd., (“Dipsol”) and Natech, Ltd., (“Natech”) and a $14.3 million increase in payments related to capital expenditures. The prior year included $39.3 million of payments, net of cash acquired, related to the acquisitions of I.K.V. Tribologie IKVT and its subsidiaries (“IKV”) and the Sutai Group (“Sutai”). See Note 2,</w:t>
      </w:r>
      <w:r>
        <w:rPr>
          <w:color w:val="000000"/>
          <w:shd w:fill="FFFFFF" w:val="clear"/>
        </w:rPr>
        <w:t xml:space="preserve"> </w:t>
      </w:r>
      <w:r>
        <w:rPr>
          <w:rFonts w:ascii="Times New Roman;serif" w:hAnsi="Times New Roman;serif"/>
          <w:b w:val="false"/>
          <w:i/>
          <w:color w:val="000000"/>
          <w:sz w:val="20"/>
          <w:shd w:fill="FFFFFF" w:val="clear"/>
        </w:rPr>
        <w:t>Business Acquisitions</w:t>
      </w:r>
      <w:r>
        <w:rPr>
          <w:rFonts w:ascii="Times New Roman;serif" w:hAnsi="Times New Roman;serif"/>
          <w:b w:val="false"/>
          <w:color w:val="000000"/>
          <w:sz w:val="20"/>
          <w:shd w:fill="FFFFFF" w:val="clear"/>
        </w:rPr>
        <w:t>, to the Condensed Consolidated Financial Statements for further information about business acquisitions.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flows provided by financing activities were $79.2 million in the first nine months of 2025 compared to $67.0 million cash used in financing activities in the first nine months of 2024. The increase in financing cash inflows is primarily driven by $168.9 million of net borrowings on the Company’s revolving credit facility in the first nine months of 2025, a $138.4 million increase compared to the prior year, which the Company used for the purpose of funding the purchase price of the Dipsol acquisition as well as for other corporate purposes. In addition, during the first nine months of 2025, the Company made term loan debt payments of approximately $26.0 million, a $22.6 million decrease in payments compared to the prior year. This was offset by payments of approximately $36.5 million for repurchases of the Company’s common stock under its share repurchase program in the current year, a $13.6 million increase compared to the prior year. </w:t>
      </w:r>
    </w:p>
    <w:p>
      <w:pPr>
        <w:pStyle w:val="TextBody"/>
        <w:bidi w:val="0"/>
        <w:spacing w:lineRule="auto" w:line="288" w:before="0" w:after="120"/>
        <w:jc w:val="both"/>
        <w:rPr/>
      </w:pPr>
      <w:r>
        <w:rPr>
          <w:rFonts w:ascii="Times New Roman;serif" w:hAnsi="Times New Roman;serif"/>
          <w:b w:val="false"/>
          <w:color w:val="000000"/>
          <w:sz w:val="20"/>
        </w:rPr>
        <w:t xml:space="preserve">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September 30, 2025, the Company was in compliance with all of the Credit Facility covenants. Refer to the description of the Company’s primary Credit Facility in Note 19, </w:t>
      </w:r>
      <w:r>
        <w:rPr>
          <w:rFonts w:ascii="Times New Roman;serif" w:hAnsi="Times New Roman;serif"/>
          <w:b w:val="false"/>
          <w:i/>
          <w:color w:val="000000"/>
          <w:sz w:val="20"/>
        </w:rPr>
        <w:t>Debt</w:t>
      </w:r>
      <w:r>
        <w:rPr>
          <w:rFonts w:ascii="Times New Roman;serif" w:hAnsi="Times New Roman;serif"/>
          <w:b w:val="false"/>
          <w:color w:val="000000"/>
          <w:sz w:val="20"/>
        </w:rPr>
        <w:t>, to the Consolidated Financial Statements in its 2024 Form 10-K.</w:t>
      </w:r>
    </w:p>
    <w:p>
      <w:pPr>
        <w:pStyle w:val="TextBody"/>
        <w:bidi w:val="0"/>
        <w:spacing w:lineRule="auto" w:line="288" w:before="0" w:after="120"/>
        <w:jc w:val="both"/>
        <w:rPr/>
      </w:pPr>
      <w:r>
        <w:rPr>
          <w:rFonts w:ascii="Times New Roman;serif" w:hAnsi="Times New Roman;serif"/>
          <w:b w:val="false"/>
          <w:color w:val="000000"/>
          <w:sz w:val="20"/>
          <w:shd w:fill="FFFFFF" w:val="clear"/>
        </w:rPr>
        <w:t>As o</w:t>
      </w:r>
      <w:r>
        <w:rPr>
          <w:rFonts w:ascii="Times New Roman;serif" w:hAnsi="Times New Roman;serif"/>
          <w:b w:val="false"/>
          <w:color w:val="000000"/>
          <w:sz w:val="20"/>
        </w:rPr>
        <w:t xml:space="preserve">f September 30, 2025 and December 31, 2024, the Company had Credit Facility borrowings outstanding of $863.4 million and $696.5 million, respectively. The Company’s other debt obligations are primarily industrial development bonds, bank lines of credit and municipality-related loans, which totaled $11.8 million as of each of September 30, 2025 and December 31, 2024. Total unused capacity under these arrangements, excluding the Credit Facility, as of September 30, 2025 was approximately $57 million. The Company’s total net debt as of September 30, 2025, which consists of total borrowings of $875.2 million less cash and cash equivalents of $172.0 million, was approximately $703.2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rPr>
        <w:t>The weighted average variable interest rate incurred on the outstanding borrowings under the Credit Facility during the</w:t>
      </w:r>
      <w:r>
        <w:rPr>
          <w:color w:val="000000"/>
          <w:shd w:fill="FFFFFF" w:val="clear"/>
        </w:rPr>
        <w:t xml:space="preserv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w:t>
      </w:r>
      <w:r>
        <w:rPr>
          <w:rFonts w:ascii="Times New Roman;serif" w:hAnsi="Times New Roman;serif"/>
          <w:b w:val="false"/>
          <w:color w:val="000000"/>
          <w:sz w:val="20"/>
        </w:rPr>
        <w:t xml:space="preserve">ended September 30, 2025 was approximately 5.2% for both periods. As of September 30, 2025, the interest rate on the outstanding borrowings under the Credit Facility was approximately 5.1%.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$273 million, which is net of bank letters of credit of approximately $2 million, as of September 30, 2025. </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September 30, 2025, the aggregate interest rate on the swaps, including the fixed base rate plus the applicable margin, was 5.0%.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are amortized into Interest expense over the five-year term of the Credit Facility. As of September 30, 2025 and December 31, 2024, the Company had $0.8 million and $1.1 million, respectively, of debt issuance costs recorded as a reduction of Long-term debt and $1.6 million and $2.4 million, respectively, of debt issuance costs recorded within Other assets.</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 uses foreign exchange forward contracts to economically hedge the impact of the variability in exchange rates on certain foreign currency-denominated assets and liabilities</w:t>
      </w:r>
      <w:r>
        <w:rPr>
          <w:rFonts w:ascii="Times New Roman;serif" w:hAnsi="Times New Roman;serif"/>
          <w:b w:val="false"/>
          <w:color w:val="000000"/>
          <w:sz w:val="20"/>
        </w:rPr>
        <w:t xml:space="preserve">. Additionally,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settled on April 1, 2025 in connection with the Dipsol acquisition. During the first nine months of 2025 and 2024, the Company recognized $0.5 million of other income and $2.0 million of other expense, respectively, relating to changes in fair value of foreign exchange forward contracts.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both"/>
        <w:rPr/>
      </w:pPr>
      <w:r>
        <w:rPr>
          <w:rFonts w:ascii="Times New Roman;serif" w:hAnsi="Times New Roman;serif"/>
          <w:b w:val="false"/>
          <w:color w:val="000000"/>
          <w:sz w:val="20"/>
        </w:rPr>
        <w:t>During 2022, the Company initiated a global cost and optimization program to improve its cost structure and drive a more profitable and productive organization. The Company has achieved its annualized cost savings goal from this program of at least $20 million. During the nine months ended September 30, 2025, the Company approved additional actions under the program, which are expected to generate approximately an additional $40.0 million of annualized cost savings. These actions are expected to be substantially complete by the end of 2026. The Company recognized restructuring and related charges of $31.1 million and $4.8 million for the nine months ended September 30, 2025 and 2024, respectively, under this program and for our facility closure actions. The Company made cash payments related to the settlement of restructuring liabilities under the program during the first</w:t>
      </w:r>
      <w:r>
        <w:rPr>
          <w:color w:val="000000"/>
          <w:shd w:fill="FFFFFF" w:val="clear"/>
        </w:rPr>
        <w:t xml:space="preserve"> </w:t>
      </w:r>
      <w:r>
        <w:rPr>
          <w:rFonts w:ascii="Times New Roman;serif" w:hAnsi="Times New Roman;serif"/>
          <w:b w:val="false"/>
          <w:color w:val="000000"/>
          <w:sz w:val="20"/>
        </w:rPr>
        <w:t>nine months of 2025 of approximately $21.7 million compared to $6.4 million in the</w:t>
      </w:r>
      <w:r>
        <w:rPr>
          <w:color w:val="000000"/>
          <w:shd w:fill="FFFFFF" w:val="clear"/>
        </w:rPr>
        <w:t xml:space="preserve"> </w:t>
      </w:r>
      <w:r>
        <w:rPr>
          <w:rFonts w:ascii="Times New Roman;serif" w:hAnsi="Times New Roman;serif"/>
          <w:b w:val="false"/>
          <w:color w:val="000000"/>
          <w:sz w:val="20"/>
          <w:shd w:fill="FFFFFF" w:val="clear"/>
        </w:rPr>
        <w:t xml:space="preserve">first </w:t>
      </w:r>
      <w:r>
        <w:rPr>
          <w:rFonts w:ascii="Times New Roman;serif" w:hAnsi="Times New Roman;serif"/>
          <w:b w:val="false"/>
          <w:color w:val="000000"/>
          <w:sz w:val="20"/>
        </w:rPr>
        <w:t xml:space="preserve">nine months of 2024. The Company expects total one-time cash costs of this program to be approximately 1 to 1.5 times annualized savings.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the Company’s gross liability for uncertain tax positions, including interest and penalties, was $17.7 million. The Company cannot determine a reliable estimate of the timing of cash flows related to its uncertain tax position liability. However, should the entire liability be paid, the amount of the payment may be reduced by up to $7.7 million as a result of offsetting benefits in other tax jurisdictions.</w:t>
      </w:r>
    </w:p>
    <w:p>
      <w:pPr>
        <w:pStyle w:val="TextBody"/>
        <w:bidi w:val="0"/>
        <w:spacing w:lineRule="auto" w:line="288" w:before="0" w:after="120"/>
        <w:jc w:val="both"/>
        <w:rPr/>
      </w:pPr>
      <w:r>
        <w:rPr>
          <w:rFonts w:ascii="Times New Roman;serif" w:hAnsi="Times New Roman;serif"/>
          <w:b w:val="false"/>
          <w:color w:val="000000"/>
          <w:sz w:val="20"/>
        </w:rPr>
        <w:t xml:space="preserve">As previously disclosed, the Board of Directors of the Company has approved a share repurchase program (“2024 Share Repurchase Program”), authorizing the Company to repurchase up to an aggregate of $150 million of the Company’s outstanding common stock and replacing the prior share repurchase program. The 2024 Share Repurchase Program was effective immediately and has no expiration date. The Company made certain purchases under the 2024 Share Repurchase Program during the nine months ended September 30, 2025. See Item 2, </w:t>
      </w:r>
      <w:r>
        <w:rPr>
          <w:rFonts w:ascii="Times New Roman;serif" w:hAnsi="Times New Roman;serif"/>
          <w:b w:val="false"/>
          <w:i/>
          <w:color w:val="000000"/>
          <w:sz w:val="20"/>
        </w:rPr>
        <w:t>Unregistered Sales of Equity Securities, Use of Proceeds and Issuer Purchases of Equity Securities</w:t>
      </w:r>
      <w:r>
        <w:rPr>
          <w:rFonts w:ascii="Times New Roman;serif" w:hAnsi="Times New Roman;serif"/>
          <w:b w:val="false"/>
          <w:color w:val="000000"/>
          <w:sz w:val="20"/>
        </w:rPr>
        <w:t>, within Part II of this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additional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the Third Quarter of 2025 with the Third Quarter of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from the prior year:</w:t>
      </w:r>
    </w:p>
    <w:tbl>
      <w:tblPr>
        <w:tblW w:w="10205" w:type="dxa"/>
        <w:jc w:val="left"/>
        <w:tblInd w:w="0" w:type="dxa"/>
        <w:tblLayout w:type="fixed"/>
        <w:tblCellMar>
          <w:top w:w="28" w:type="dxa"/>
          <w:left w:w="28" w:type="dxa"/>
          <w:bottom w:w="28" w:type="dxa"/>
          <w:right w:w="28" w:type="dxa"/>
        </w:tblCellMar>
      </w:tblPr>
      <w:tblGrid>
        <w:gridCol w:w="439"/>
        <w:gridCol w:w="386"/>
        <w:gridCol w:w="391"/>
        <w:gridCol w:w="109"/>
        <w:gridCol w:w="109"/>
        <w:gridCol w:w="109"/>
        <w:gridCol w:w="271"/>
        <w:gridCol w:w="263"/>
        <w:gridCol w:w="658"/>
        <w:gridCol w:w="109"/>
        <w:gridCol w:w="109"/>
        <w:gridCol w:w="109"/>
        <w:gridCol w:w="474"/>
        <w:gridCol w:w="474"/>
        <w:gridCol w:w="1185"/>
        <w:gridCol w:w="109"/>
        <w:gridCol w:w="109"/>
        <w:gridCol w:w="109"/>
        <w:gridCol w:w="304"/>
        <w:gridCol w:w="304"/>
        <w:gridCol w:w="764"/>
        <w:gridCol w:w="109"/>
        <w:gridCol w:w="109"/>
        <w:gridCol w:w="109"/>
        <w:gridCol w:w="359"/>
        <w:gridCol w:w="359"/>
        <w:gridCol w:w="898"/>
        <w:gridCol w:w="109"/>
        <w:gridCol w:w="109"/>
        <w:gridCol w:w="109"/>
        <w:gridCol w:w="180"/>
        <w:gridCol w:w="181"/>
        <w:gridCol w:w="301"/>
        <w:gridCol w:w="109"/>
        <w:gridCol w:w="109"/>
        <w:gridCol w:w="161"/>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in the third quarter of 2025 were $493.8 million, an increase of 7% compared to $462.3 million in the third quarter of 2024. This increase was primarily driven by a contribution from acquisitions of approximately 5%, an increase in organic sales volumes of approximately 3%, and a favorable impact from foreign currency translation of approximately 1%, partially offset by a decline in selling price and product mix of approximately 2%. The increase in organic sales volumes compared to the prior year was primarily a result of continued growth in the Asia/Pacific segment and new business wins across all segments, helping to offset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 </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Cost of goods sold (“COGS”) was $313.0 million in the third quarter of 2025 compared to $289.7 million in the third quarter of 2024, an increase of approximately $23.3 million, or 8%. The increase in COGS reflects an increase in spend on the increase in current year sales volumes and an increase in </w:t>
      </w:r>
      <w:r>
        <w:rPr>
          <w:rFonts w:ascii="Times New Roman;serif" w:hAnsi="Times New Roman;serif"/>
          <w:b w:val="false"/>
          <w:color w:val="000000"/>
          <w:sz w:val="20"/>
        </w:rPr>
        <w:t xml:space="preserve">raw material costs and manufacturing costs. </w:t>
      </w:r>
      <w:r>
        <w:rPr>
          <w:rFonts w:ascii="Times New Roman;serif" w:hAnsi="Times New Roman;serif"/>
          <w:b w:val="false"/>
          <w:color w:val="000000"/>
          <w:sz w:val="20"/>
          <w:shd w:fill="FFFFFF" w:val="clear"/>
        </w:rPr>
        <w:t xml:space="preserve">Additionally, COGS in the third quarter of 2025 includes a $0.7 million loss related to an out-of-period inventory adjustment. </w:t>
      </w:r>
    </w:p>
    <w:p>
      <w:pPr>
        <w:pStyle w:val="TextBody"/>
        <w:bidi w:val="0"/>
        <w:spacing w:lineRule="auto" w:line="288" w:before="0" w:after="120"/>
        <w:jc w:val="both"/>
        <w:rPr/>
      </w:pPr>
      <w:r>
        <w:rPr>
          <w:rFonts w:ascii="Times New Roman;serif" w:hAnsi="Times New Roman;serif"/>
          <w:b w:val="false"/>
          <w:color w:val="000000"/>
          <w:sz w:val="20"/>
          <w:shd w:fill="FFFFFF" w:val="clear"/>
        </w:rPr>
        <w:t>Gross profit was $180.9 million in the third quarter of 2025 compared to $172.5 million in the third quarter of 2024, an increase of $8.4 million, or 5% primarily due to an increase in sales,</w:t>
      </w:r>
      <w:r>
        <w:rPr>
          <w:color w:val="000000"/>
        </w:rPr>
        <w:t xml:space="preserve"> </w:t>
      </w:r>
      <w:r>
        <w:rPr>
          <w:rFonts w:ascii="Times New Roman;serif" w:hAnsi="Times New Roman;serif"/>
          <w:b w:val="false"/>
          <w:color w:val="000000"/>
          <w:sz w:val="20"/>
        </w:rPr>
        <w:t>an increase in raw material and manufacturing costs a</w:t>
      </w:r>
      <w:r>
        <w:rPr>
          <w:rFonts w:ascii="Times New Roman;serif" w:hAnsi="Times New Roman;serif"/>
          <w:b w:val="false"/>
          <w:color w:val="000000"/>
          <w:sz w:val="20"/>
          <w:shd w:fill="FFFFFF" w:val="clear"/>
        </w:rPr>
        <w:t>nd a loss on an out-of-period inventory adjustment, as mentioned above. The Company’s reported gross margin in the third quarter of 2025 was 36.6% compared to 37.3% in the third quarter of 2024. The Company’s non-GAAP gross margin in the third quarter of 2025 was 36.8% compared to 37.3% in the third quarter of 2024. See the Non-GAAP Measures section of this Item below for additional details.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SG&amp;A expense was $126.5 million in the third quarter of 2025 compared to $118.2 million in the third quarter of 2024, an increase of approximately $8.3 million, or 7%, primarily driven by an increase in SG&amp;A expense related to acquisitions, partially offset by lower incentive compensation. </w:t>
      </w:r>
    </w:p>
    <w:p>
      <w:pPr>
        <w:pStyle w:val="TextBody"/>
        <w:bidi w:val="0"/>
        <w:spacing w:lineRule="auto" w:line="288" w:before="0" w:after="120"/>
        <w:jc w:val="both"/>
        <w:rPr/>
      </w:pPr>
      <w:r>
        <w:rPr>
          <w:rFonts w:ascii="Times New Roman;serif" w:hAnsi="Times New Roman;serif"/>
          <w:b w:val="false"/>
          <w:color w:val="000000"/>
          <w:sz w:val="20"/>
        </w:rPr>
        <w:t xml:space="preserve">The Company incurred Restructuring and related charges of $7.7 million and $2.6 million during the third quarter of 2025 and 2024, respectively, primarily related to additional reductions in headcount and facility closure costs under the Company’s restructuring program. See the Non-GAAP Measures section below and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income in the third quarter of 2025 was $46.6 million compared to $51.7 million in the third quarter of 2024. Excluding non-recurring and non-core expenses that are not indicative of the future operating performance of the Company described in the Non-GAAP Measures section of this Item below, the Company’s non-GAAP operating income was $57.9 million in the third quarter of 2025 and $54.2 million in the third quarter of 2024. The increase was primarily due to an increase in net sales, partially offset by lower gross margins and higher SG&amp;A, primarily related to acquisitions, as described above.</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The Company had Other expense, net of $0.3 million in the third quarter of 2025 as compared to Other income, net of $0.8 million in the third quarter of 2024. Both the third quarter of 2025 and 2024 included foreign exchange transaction losses, which were $1.6 million higher in the current year, and income from non-income tax credits, which were $1.9 million higher in the current year. The third quarter of 2025 also included $0.6 million of interest income and a $0.9 million multiemployer plan withdrawal charge. The third quarter of 2024 included a </w:t>
      </w:r>
      <w:r>
        <w:rPr>
          <w:rFonts w:ascii="Times New Roman;serif" w:hAnsi="Times New Roman;serif"/>
          <w:b w:val="false"/>
          <w:color w:val="000000"/>
          <w:sz w:val="20"/>
        </w:rPr>
        <w:t>$1.0 million business interruption insurance recovery.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was $10.9 million in the third quarter of 2025 compared to $10.3 million in the third quarter of 2024, an increase of approximately $0.6 million, primarily as a result of higher outstanding borrowings, partially offset by decreases in interest rates.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effective tax rates for the third quarters of 2025 and 2024 were 26.2% and 28.9%, respectively. The Company’s effective tax rate for the third quarter of 2025 was largely driven by our mix of pre-tax earnings and withholding taxes, offset by return to provision adjustments and net favorable reductions in uncertain tax positions. Comparatively, the effective tax rate for the third quarter of 2024 was largely driven by the mix of pre-tax earnings, withholding taxes, and changes in uncertain tax positions offset by return to provision adjustments. Excluding the impact of non-core items in each quarter, described in the Non-GAAP Measures section of this Item below, the Company estimates that its effective tax rates for the third quarters of 2025 and 2024 would have been approximately 28% and 29%, respectively.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$4.3 million in the third quarter of 2025 compared to $2.4 million in the third quarter of 2024, an increase of $1.9 million, primarily due to higher current year income from the Company’s 32% investment in Primex, a captive insurance company and higher current year income from the Company’s 50% equity interest in a joint venture in Korea.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less than $0.1 million in the third quarter of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the First Nine Months of 2025 with the First Nine Months of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from the prior year:</w:t>
      </w:r>
    </w:p>
    <w:tbl>
      <w:tblPr>
        <w:tblW w:w="10205" w:type="dxa"/>
        <w:jc w:val="left"/>
        <w:tblInd w:w="0" w:type="dxa"/>
        <w:tblLayout w:type="fixed"/>
        <w:tblCellMar>
          <w:top w:w="28" w:type="dxa"/>
          <w:left w:w="28" w:type="dxa"/>
          <w:bottom w:w="28" w:type="dxa"/>
          <w:right w:w="28" w:type="dxa"/>
        </w:tblCellMar>
      </w:tblPr>
      <w:tblGrid>
        <w:gridCol w:w="439"/>
        <w:gridCol w:w="386"/>
        <w:gridCol w:w="391"/>
        <w:gridCol w:w="109"/>
        <w:gridCol w:w="109"/>
        <w:gridCol w:w="109"/>
        <w:gridCol w:w="263"/>
        <w:gridCol w:w="263"/>
        <w:gridCol w:w="658"/>
        <w:gridCol w:w="109"/>
        <w:gridCol w:w="109"/>
        <w:gridCol w:w="109"/>
        <w:gridCol w:w="475"/>
        <w:gridCol w:w="475"/>
        <w:gridCol w:w="1188"/>
        <w:gridCol w:w="109"/>
        <w:gridCol w:w="109"/>
        <w:gridCol w:w="109"/>
        <w:gridCol w:w="305"/>
        <w:gridCol w:w="305"/>
        <w:gridCol w:w="765"/>
        <w:gridCol w:w="109"/>
        <w:gridCol w:w="109"/>
        <w:gridCol w:w="109"/>
        <w:gridCol w:w="359"/>
        <w:gridCol w:w="359"/>
        <w:gridCol w:w="899"/>
        <w:gridCol w:w="109"/>
        <w:gridCol w:w="109"/>
        <w:gridCol w:w="109"/>
        <w:gridCol w:w="179"/>
        <w:gridCol w:w="182"/>
        <w:gridCol w:w="301"/>
        <w:gridCol w:w="109"/>
        <w:gridCol w:w="109"/>
        <w:gridCol w:w="160"/>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were $1,420.2 million in the first nine months of 2025 compared to $1,395.6 million in the first nine months of 2024. The net sales increase of $24.6 million, or 2%, year-over-year reflects contributions from acquisitions of approximately 4% and an increase in organic sales volumes of approximately 1%, partially offset by decreases in selling price and product mix of approximately 2% and unfavorable foreign currency of approximately 1%. The increase in organic sales volumes, which was led by the Asia/Pacific segment, was primarily a result of continued new business wins across all segments, offsetting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COGS were $906.3 million in the first nine months of 2025 compared to $865.8 million in the first nine months of 2024. The increase in COGS of approximately $40.5 million, or 5%, reflects an increase in spend on the increase in current year sales volumes and an increase in global raw material costs and manufacturing costs. Additionally, COGS in the first nine months of 2025 includes $6.0 million amortization of the fair value step-up in Dipsol’s inventories as a result of the Dipsol acquisition, which is partially offset by a $2.9 million gain related to an out-of-period inventory adjustment.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rPr>
        <w:t>Gross profit was $513.8 million in the first nine months of 2025 compared to $529.8 million in the first nine months of 2024, a decrease of approximately $16.0 million, or 3%</w:t>
      </w:r>
      <w:r>
        <w:rPr>
          <w:rFonts w:ascii="Times New Roman;serif" w:hAnsi="Times New Roman;serif"/>
          <w:b w:val="false"/>
          <w:color w:val="000000"/>
          <w:sz w:val="20"/>
          <w:shd w:fill="FFFFFF" w:val="clear"/>
        </w:rPr>
        <w:t xml:space="preserve">, primarily as a result of </w:t>
      </w:r>
      <w:r>
        <w:rPr>
          <w:rFonts w:ascii="Times New Roman;serif" w:hAnsi="Times New Roman;serif"/>
          <w:b w:val="false"/>
          <w:color w:val="000000"/>
          <w:sz w:val="20"/>
        </w:rPr>
        <w:t>an increase in the Company’s raw material costs and manufacturing costs, as w</w:t>
      </w:r>
      <w:r>
        <w:rPr>
          <w:rFonts w:ascii="Times New Roman;serif" w:hAnsi="Times New Roman;serif"/>
          <w:b w:val="false"/>
          <w:color w:val="000000"/>
          <w:sz w:val="20"/>
          <w:shd w:fill="FFFFFF" w:val="clear"/>
        </w:rPr>
        <w:t>el</w:t>
      </w:r>
      <w:r>
        <w:rPr>
          <w:rFonts w:ascii="Times New Roman;serif" w:hAnsi="Times New Roman;serif"/>
          <w:b w:val="false"/>
          <w:color w:val="000000"/>
          <w:sz w:val="20"/>
        </w:rPr>
        <w:t>l as the $6.0 million amortization of the fair value step-up in Dipsol’s inventories as a result of the Dipsol acquisition, partially offset by an increase in net sales and a $2.9 million gain related to an out-of-period inventory adjustment. The Company’s reported gross margin in the first nine months of 2025 was 36.2% compared to 38.0% in the first nine months of 2024. The Company’s non-GAAP gross margin in the first nine months of 2025 was 36.4% compared to 38.0% in the first nine months of 2024. See the Non-GAAP Measures section of this Item below for additional details.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was $372.1 million in the first nine months of 2025 compared to $359.4 million in the first nine months of 2024, an increase of $12.7 million, or 4%, primarily driven by an increase in SG&amp;A relating to acquisitions, partially offset by lower incentive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Restructuring and related charges of $31.1 million and $4.8 million during the first nine months of 2025 and 2024, respectively, related to additional reductions in headcount and facility closure costs under the Company’s restructuring program. See the Non-GAAP Measures section of this Item, below.</w:t>
      </w:r>
    </w:p>
    <w:p>
      <w:pPr>
        <w:pStyle w:val="TextBody"/>
        <w:bidi w:val="0"/>
        <w:spacing w:lineRule="auto" w:line="288" w:before="0" w:after="120"/>
        <w:jc w:val="both"/>
        <w:rPr/>
      </w:pPr>
      <w:r>
        <w:rPr>
          <w:rFonts w:ascii="Times New Roman;serif" w:hAnsi="Times New Roman;serif"/>
          <w:b w:val="false"/>
          <w:color w:val="000000"/>
          <w:sz w:val="20"/>
        </w:rPr>
        <w:t xml:space="preserve">During the second quarter of 2025, the Company recorded an $88.8 million non-cash impairment charge to write down the remaining value of goodwill associated with the Company’s EMEA reportable segment. This non-cash impairment charge is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There were no similar impairment charges during the first nine months of 2024. See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jc w:val="both"/>
        <w:rPr/>
      </w:pPr>
      <w:r>
        <w:rPr>
          <w:rFonts w:ascii="Times New Roman;serif" w:hAnsi="Times New Roman;serif"/>
          <w:b w:val="false"/>
          <w:color w:val="000000"/>
          <w:sz w:val="20"/>
        </w:rPr>
        <w:t xml:space="preserve">Operating income in the first nine months of 2025 was $21.8 million compared to $165.7 million in the first nine months of 2024. The decrease in operating income was primarily driven by the $88.8 million non-cash impairment charge described above. Excluding non-recurring and non-core expenses that are not indicative of the future operating performance of the Company described in the Non-GAAP Measures section of this Item, below, the Company’s current year non-GAAP operating income decreased to $154.3 million for the first nine months of 2025 compared to $173.2 million in the prior year’s first nine months primarily due to lower gross profit </w:t>
      </w:r>
      <w:r>
        <w:rPr>
          <w:rFonts w:ascii="Times New Roman;serif" w:hAnsi="Times New Roman;serif"/>
          <w:b w:val="false"/>
          <w:color w:val="000000"/>
          <w:sz w:val="20"/>
          <w:shd w:fill="FFFFFF" w:val="clear"/>
        </w:rPr>
        <w:t>and an increase in SG&amp;A.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Other expense, net of $1.6 million in the first nine months of 2025 compared to Other income, net of $2.3 million in the first nine months of 2024. The first nine months of 2025 and 2024 both included foreign exchange transaction losses, which were $5.0 million higher in the current year and income from non-income tax credits, which were $0.9 million lower in the current year. The first nine months of 2025 also included a $2.1 million net gain on disposals of property, $2.0 million of interest income and a multiemployer plan withdrawal charge of $0.9 million, whereas the first nine months of 2024 included a $0.9 million expense associated with a payment related to a customer product liability dispute and a $1.0 million business interruption insurance recovery. See the Non-GAAP Measures section of this Item,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of $33.3 million increased $1.4 million in the first nine months of 2025 compared to $31.9 million in the first nine months of 2024 primarily as a result of higher outstanding borrowings, partially offset by decreases in interest rates.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effective tax rates for the first nine months of 2025 and 2024 were (169.5)% and 29.7%, respectively. The Company’s effective tax rate for the nine months ended September 30, 2025 was largely driven by the mix of pre-tax earnings, goodwill impairment charges, and withholding taxes offset by return to provision adjustments and net favorable reductions in uncertain tax positions. Comparatively, the effective tax rate for the nine months ended September 30, 2024 were primarily impacted by the mix of pre-tax earnings, certain one-time charges related to an intercompany intangible asset transfer, and withholding taxes, offset by changes in uncertain tax positions and return to provision adjustments. Excluding the impact of non-core items in each period, described in the Non-GAAP Measures section of this Item, below, the Company estimates that its effective tax rates for the first nine months of 2025 and 2024 would have been approximately 28% in both periods.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factors, including forecasted mix of earnings, which may vary.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$12.3 million in the first nine months of 2025 compared to $6.9 million in the first nine months of 2024. The increase of $5.4 million was primarily due to higher current year income from the Company’s 50% equity interest in a joint venture in Korea and higher current year income from the Company’s 32% investment in Primex, a captive insurance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 was less than $0.1 million in the first nine months of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the Third Quarter of 2025 with the Third Quarter of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Segment operating earnings for each of the Company’s reportable segments are comprised of the segment’s net sales less directly related product costs and other operating expenses.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income, net.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Americas represented approximately 45% of the Company’s consolidated net sales in the third quarter of 2025. This segment’s net sales were $222.8 million, an increase of $2.5 million, or 1%, compared to the third quarter of 2024. This was driven by an increase in sales from the acquisition of Dipsol of approximately 2% and a favorable impact from foreign currency translation of approximately 1%, partially offset by a decrease in selling price and product mix of approximately 2%. The favorable foreign exchange impact was primarily due to the weakening of the U.S. dollar against the Mexican peso and Brazilian real. The decrease in selling price and product mix was primarily attributable to the impact of the mix of products, services and geographies and the impact of our index-based customer contracts. Sales volumes were consistent compared to the prior year and were primarily driven by new business wins despite a continuation of soft end market conditions further impacted by the uncertainty of tariffs, especially for metalworking applications. Segment operating earnings were $58.9 million, a decrease of $3.2 million, or 5%, compared to the third quarter of 2024, as an increase in net sales was partially offset by lower segment operating margins, primarily driven by lower gross margins for the segment.</w:t>
      </w:r>
    </w:p>
    <w:p>
      <w:pPr>
        <w:pStyle w:val="TextBody"/>
        <w:bidi w:val="0"/>
        <w:spacing w:lineRule="auto" w:line="288" w:before="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EMEA</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EMEA represented approximately </w:t>
      </w:r>
      <w:r>
        <w:rPr>
          <w:rFonts w:ascii="Times New Roman;serif" w:hAnsi="Times New Roman;serif"/>
          <w:b w:val="false"/>
          <w:color w:val="000000"/>
          <w:sz w:val="20"/>
        </w:rPr>
        <w:t>29%</w:t>
      </w:r>
      <w:r>
        <w:rPr>
          <w:color w:val="000000"/>
          <w:shd w:fill="FFFFFF" w:val="clear"/>
        </w:rPr>
        <w:t xml:space="preserve"> </w:t>
      </w:r>
      <w:r>
        <w:rPr>
          <w:rFonts w:ascii="Times New Roman;serif" w:hAnsi="Times New Roman;serif"/>
          <w:b w:val="false"/>
          <w:color w:val="000000"/>
          <w:sz w:val="20"/>
          <w:shd w:fill="FFFFFF" w:val="clear"/>
        </w:rPr>
        <w:t xml:space="preserve">of the Company’s consolidated net </w:t>
      </w:r>
      <w:r>
        <w:rPr>
          <w:rFonts w:ascii="Times New Roman;serif" w:hAnsi="Times New Roman;serif"/>
          <w:b w:val="false"/>
          <w:color w:val="000000"/>
          <w:sz w:val="20"/>
        </w:rPr>
        <w:t>sales in the third quarter of 2025. This segment’s net sales were $143.9 million, an increase of $9.8 million, or 7%, compared to the third quarter of 2024. This was driven by a favorable impact from foreign currency translation of approximately 3%, an increase in sales from the acquisitions of Dipsol, Natech and CSI of approximately 2%, an increase in organic sales volumes of approximately 1%, and an improvement in selling price and product mix of approximately 1%. The favorable foreign currency translation impact was primarily due to the weakening of the U.S. dollar against the Euro. The increase in organic sales volumes was primarily driven by new business wins, which helped offset a continuation of soft end market conditions, which were further impacted by the uncertainty of tariffs. The increase in selling price and product mix was primarily attributable to the impact of the mix of products, services and geographies and the impact of our index-based customer contracts. Segment operating earnings were $26.5 million, an increase of $1.8 million, or 7%, compared to the third quarter of 2024, primarily due to an increase in net sales.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0" w:after="120"/>
        <w:jc w:val="both"/>
        <w:rPr/>
      </w:pPr>
      <w:r>
        <w:rPr>
          <w:rFonts w:ascii="Times New Roman;serif" w:hAnsi="Times New Roman;serif"/>
          <w:b w:val="false"/>
          <w:color w:val="000000"/>
          <w:sz w:val="20"/>
        </w:rPr>
        <w:t>Asia/Pacific represented approximately 26% of the Company’s consoli</w:t>
      </w:r>
      <w:r>
        <w:rPr>
          <w:rFonts w:ascii="Times New Roman;serif" w:hAnsi="Times New Roman;serif"/>
          <w:b w:val="false"/>
          <w:color w:val="000000"/>
          <w:sz w:val="20"/>
          <w:shd w:fill="FFFFFF" w:val="clear"/>
        </w:rPr>
        <w:t>dated net s</w:t>
      </w:r>
      <w:r>
        <w:rPr>
          <w:rFonts w:ascii="Times New Roman;serif" w:hAnsi="Times New Roman;serif"/>
          <w:b w:val="false"/>
          <w:color w:val="000000"/>
          <w:sz w:val="20"/>
        </w:rPr>
        <w:t>ales in the third quarter of 2025. This segment’s net sales were $127.2 million, an increase of $19.3 million, or 18%, compared to the third quarter of 2024. This was driven by an increase in sales from the acquisition of Dipsol of approximately 14%, an increase in organic sales volumes of approximately 8%, and a favorable impact from foreign currency translation of approximately 1%, partially offset by a decrease in selling price and product mix of approximately 5%. The increase in organic sales volumes was primarily driven by new business wins despite a modest decrease in underlying market conditions. The favorable foreign currency translation impact was primarily due to the weakening of the U.S. dollar against the Chinese renminbi. The decrease in selling price and product mix was primarily attributable to the impact of the mix of products, services and geographies and the impact of our index-based customer contracts. Segment operating earnings were $35.6 million, an increase of $4.9 million, or 16%, compared to the third quarter of 2024, as an increase in net sales was partially offset by lower segment operating margins, primarily due to lower gross margins for the segment and higher SG&amp;A, primarily related to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the First Nine Months of 2025 with the First Nine Months of 2024</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120" w:after="120"/>
        <w:jc w:val="both"/>
        <w:rPr/>
      </w:pPr>
      <w:r>
        <w:rPr>
          <w:rFonts w:ascii="Times New Roman;serif" w:hAnsi="Times New Roman;serif"/>
          <w:b w:val="false"/>
          <w:color w:val="000000"/>
          <w:sz w:val="20"/>
        </w:rPr>
        <w:t xml:space="preserve">Americas represented approximately 46% of the Company’s consolidated net sales in the first nine months of 2025. This segment’s net sales were $657.6 million, a decrease of </w:t>
      </w:r>
      <w:r>
        <w:rPr>
          <w:rFonts w:ascii="Times New Roman;serif" w:hAnsi="Times New Roman;serif"/>
          <w:b w:val="false"/>
          <w:color w:val="000000"/>
          <w:sz w:val="20"/>
          <w:shd w:fill="FFFFFF" w:val="clear"/>
        </w:rPr>
        <w:t>$16.0 million,</w:t>
      </w:r>
      <w:r>
        <w:rPr>
          <w:color w:val="000000"/>
        </w:rPr>
        <w:t xml:space="preserve"> </w:t>
      </w:r>
      <w:r>
        <w:rPr>
          <w:rFonts w:ascii="Times New Roman;serif" w:hAnsi="Times New Roman;serif"/>
          <w:b w:val="false"/>
          <w:color w:val="000000"/>
          <w:sz w:val="20"/>
        </w:rPr>
        <w:t>or 2%</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compared to the first nine months of 2024. This was driven by an unfavorable impact of foreign currency translation of approximately 2% and a decrease in organic sales volumes of approximately 2%, partially offset by an increase in sales from the acquisition of Dipsol of approximately 2%. The unfavorable foreign exchange impact was primarily due to the strengthening of the U.S. dollar against the Brazilian real and Mexican peso during the first nine months of 2025 compared to 2024. The decline in organic sales volumes was primarily driven by a continuation of soft market conditions and customer order patterns, partially offset by new business wins. The Americas segment’s operating earnings were $176.4 million, a decrease of $16.7 million, or 9%, compared to the first nine months of 2024 primarily driven by lower net sales and lower segment operating margins, primarily due to lower gross margins for the segment.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EMEA represented approximately </w:t>
      </w:r>
      <w:r>
        <w:rPr>
          <w:rFonts w:ascii="Times New Roman;serif" w:hAnsi="Times New Roman;serif"/>
          <w:b w:val="false"/>
          <w:color w:val="000000"/>
          <w:sz w:val="20"/>
        </w:rPr>
        <w:t>29%</w:t>
      </w:r>
      <w:r>
        <w:rPr>
          <w:color w:val="000000"/>
          <w:shd w:fill="FFFFFF" w:val="clear"/>
        </w:rPr>
        <w:t xml:space="preserve"> </w:t>
      </w:r>
      <w:r>
        <w:rPr>
          <w:rFonts w:ascii="Times New Roman;serif" w:hAnsi="Times New Roman;serif"/>
          <w:b w:val="false"/>
          <w:color w:val="000000"/>
          <w:sz w:val="20"/>
          <w:shd w:fill="FFFFFF" w:val="clear"/>
        </w:rPr>
        <w:t xml:space="preserve">of the Company’s consolidated net sales in the first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This segment’s net sales were </w:t>
      </w:r>
      <w:r>
        <w:rPr>
          <w:rFonts w:ascii="Times New Roman;serif" w:hAnsi="Times New Roman;serif"/>
          <w:b w:val="false"/>
          <w:color w:val="000000"/>
          <w:sz w:val="20"/>
        </w:rPr>
        <w:t>$413.1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 increase</w:t>
      </w:r>
      <w:r>
        <w:rPr>
          <w:color w:val="000000"/>
          <w:shd w:fill="FFFFFF" w:val="clear"/>
        </w:rPr>
        <w:t xml:space="preserve"> </w:t>
      </w:r>
      <w:r>
        <w:rPr>
          <w:rFonts w:ascii="Times New Roman;serif" w:hAnsi="Times New Roman;serif"/>
          <w:b w:val="false"/>
          <w:color w:val="000000"/>
          <w:sz w:val="20"/>
          <w:shd w:fill="FFFFFF" w:val="clear"/>
        </w:rPr>
        <w:t xml:space="preserve">of $2.5 million, or </w:t>
      </w: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compared to the first nine months of 2024. This was a result of an increase in sales from acquisitions of Dipsol, Natech, CSI, and IKV of approximately 3% and a favorable foreign currency translation impact of approximately 3%, primarily due to the weakening of the U.S. dollar against the Euro, partially offset by a decrease in selling price and product mix of approximately 3% and a decrease in organic sales volumes of approximately 2%. The decrease in selling price and product mix was primarily attributable to the impact of the mix of products, services and geographies and the impact of our index-based customer contracts. The decline in sales volumes was primarily driven by softer market conditions, partially offset by continued new business wins. The EMEA segment’s operating earnings were $74.9 million, a decrease of $6.0 million, or 7%, compared to the first nine months of 2024 as an increase in net sales was offset by lower segment operating margins, primarily due to lower gross margins for the segment and higher SG&amp;A, primarily related to acquisitions.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120" w:after="120"/>
        <w:jc w:val="both"/>
        <w:rPr/>
      </w:pPr>
      <w:r>
        <w:rPr>
          <w:rFonts w:ascii="Times New Roman;serif" w:hAnsi="Times New Roman;serif"/>
          <w:b w:val="false"/>
          <w:color w:val="000000"/>
          <w:sz w:val="20"/>
        </w:rPr>
        <w:t>Asia/Pacific represented approximately 25% of the Company’s consolidated net sales in the first nine months of 2025. This segment’s net sales were</w:t>
      </w:r>
      <w:r>
        <w:rPr>
          <w:color w:val="000000"/>
          <w:shd w:fill="FFFFFF" w:val="clear"/>
        </w:rPr>
        <w:t xml:space="preserve"> </w:t>
      </w:r>
      <w:r>
        <w:rPr>
          <w:rFonts w:ascii="Times New Roman;serif" w:hAnsi="Times New Roman;serif"/>
          <w:b w:val="false"/>
          <w:color w:val="000000"/>
          <w:sz w:val="20"/>
        </w:rPr>
        <w:t>$349.5 million, an increase of $38.0 million, or 12%, compared to the first nine months of 2024. This was driven by contributions from acquisitions of Dipsol and Sutai of approximately 11% and an increase in organic sales volumes of approximately 6%, partially offset by lower selling price and product mix of approximately 4% and an unfavorable impact of foreign currency translation of approximately 1%. The increase in organic sales volumes was primarily driven by new business wins coupled with a more favorable end market environment compared to the prior year period. The decrease in selling price and product mix was primarily attributable to the impact of the mix of products, services and geographies and the impact of our index-based customer contracts. The unfavorable foreign exchange impact was primarily due to the strengthening of the U.S. dollar against the Chinese renminbi. The Asia/Pacific segment’s operating earnings were $90.2 million, a decrease of $1.8 million, or 2%, compared to the first nine months of 2024 as an increase in net sales was offset by lower segment operating margins, primarily due to lower gross margins for the segment and higher SG&amp;A, primarily related to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Non-GAAP Measures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Form 10-Q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The Company presents non-GAAP operating income, which is calculated as operating income plus or minus certain items that are not considered indicative of future operating performance or considered core to the Company’s operations. Additionally, the Company presents non-GAAP gross profit, which is calculated as gross profit plus or minus certain items that management believes are not considered indicative of future operating performance or considered core to the Company’s operations. Adjusted EBITDA margin, non-GAAP operating margin, and non-GAAP gross margin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tbl>
      <w:tblPr>
        <w:tblW w:w="10205" w:type="dxa"/>
        <w:jc w:val="left"/>
        <w:tblInd w:w="0" w:type="dxa"/>
        <w:tblLayout w:type="fixed"/>
        <w:tblCellMar>
          <w:top w:w="28" w:type="dxa"/>
          <w:left w:w="28" w:type="dxa"/>
          <w:bottom w:w="28" w:type="dxa"/>
          <w:right w:w="28" w:type="dxa"/>
        </w:tblCellMar>
      </w:tblPr>
      <w:tblGrid>
        <w:gridCol w:w="1467"/>
        <w:gridCol w:w="1238"/>
        <w:gridCol w:w="124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Gross Profit and Margin Reconciliations</w:t>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513,848 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529,830 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inventory and other adjustments (d)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516,937 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529,830 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 (%) (u)</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553"/>
        <w:gridCol w:w="1300"/>
        <w:gridCol w:w="1303"/>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7"/>
      </w:tblGrid>
      <w:tr>
        <w:trPr/>
        <w:tc>
          <w:tcPr>
            <w:tcW w:w="155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Operating Income and Margin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46,641 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51,718 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21,755 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165,693 </w:t>
            </w:r>
          </w:p>
        </w:tc>
        <w:tc>
          <w:tcPr>
            <w:tcW w:w="31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(b)</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31,128 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31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inventory and other adjustments (d)</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insolvency costs (i)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(n)</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(f)</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1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173,247 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 (%) (u)</w:t>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1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1616"/>
        <w:gridCol w:w="1268"/>
        <w:gridCol w:w="1271"/>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61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Adjusted EBITDA, Adjusted EBITDA Margin and Non-GAAP Net Income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(23,189)</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102,458 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63,907 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10,347 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31,925 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 (t)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40,453 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75,112 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76,283 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101,543 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238,743 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(c)</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inventory and other adjustments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insolvency costs (i)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(n)</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costs, net (j)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interruption insurance proceeds (k)</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acquisition-related hedges (l)</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Multiemployer plan withdrawal charge (o) </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non-income tax credits (p)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(f)</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246,135 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 (u)</w:t>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82,851 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78,562 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227,377 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246,135 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 (s)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63,907 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10,347 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31,925 </w:t>
            </w:r>
          </w:p>
        </w:tc>
        <w:tc>
          <w:tcPr>
            <w:tcW w:w="3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Taxes on income before equity in net income of associated companies - adjusted (t)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Acquisition-related depreciation and amortization (r)</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94,298 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109,886 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2176"/>
        <w:gridCol w:w="1811"/>
        <w:gridCol w:w="1816"/>
        <w:gridCol w:w="211"/>
        <w:gridCol w:w="511"/>
        <w:gridCol w:w="109"/>
        <w:gridCol w:w="109"/>
        <w:gridCol w:w="109"/>
        <w:gridCol w:w="109"/>
        <w:gridCol w:w="211"/>
        <w:gridCol w:w="511"/>
        <w:gridCol w:w="109"/>
        <w:gridCol w:w="109"/>
        <w:gridCol w:w="109"/>
        <w:gridCol w:w="109"/>
        <w:gridCol w:w="211"/>
        <w:gridCol w:w="560"/>
        <w:gridCol w:w="109"/>
        <w:gridCol w:w="109"/>
        <w:gridCol w:w="109"/>
        <w:gridCol w:w="109"/>
        <w:gridCol w:w="211"/>
        <w:gridCol w:w="511"/>
        <w:gridCol w:w="157"/>
      </w:tblGrid>
      <w:tr>
        <w:trPr/>
        <w:tc>
          <w:tcPr>
            <w:tcW w:w="217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Earnings per Diluted Share Reconciliations</w:t>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earnings (loss) per diluted share attributable to Quaker Chemical Corporation common shareholders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(c)</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inventory and other adjustments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(e)</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insolvency costs (i)</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(n)</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costs, net (j)</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interruption insurance proceeds (k)</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acquisition-related hedges (l)</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 (o)</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non-income tax credits (p)</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(f)</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Discrete tax items (q)</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(r)</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 (v)</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(a)Acquisition-related step-up inventory amortization represents the amortization of the fair value step-up in Dipsol’s inventories as a result of the acquisition which is recorded within Cost of goods sold in the Company’s Condensed Consolidated Statements of Operations.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(b)Restructuring and related charges, net represent the costs incurred by the Company associated with the Company’s restructuring program and facility closures.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(c)Acquisition-related expenses include expenses associated with the Company’s recent and potential acquisitions, including legal, financial, consulting and other costs.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(d)Loss (gain) on inventory and other adjustments represents immaterial out-of-period adjustments for inventory and other items and is recorded within Cost of goods sold and SG&amp;A in the Company’s Condensed Consolidated Statements of Operations.</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(e)Pension and postretirement benefit costs, non-service components represents the pre-tax, non-service components of the Company’s pension and postretirement net periodic benefit cost in each period. See Note 9 – </w:t>
      </w:r>
      <w:r>
        <w:rPr>
          <w:rFonts w:ascii="Times New Roman;serif" w:hAnsi="Times New Roman;serif"/>
          <w:b w:val="false"/>
          <w:i/>
          <w:color w:val="000000"/>
          <w:sz w:val="20"/>
        </w:rPr>
        <w:t>Pension and Other Postretirement Benefits,</w:t>
      </w:r>
      <w:r>
        <w:rPr>
          <w:color w:val="000000"/>
        </w:rPr>
        <w:t xml:space="preserve"> </w:t>
      </w:r>
      <w:r>
        <w:rPr>
          <w:rFonts w:ascii="Times New Roman;serif" w:hAnsi="Times New Roman;serif"/>
          <w:b w:val="false"/>
          <w:color w:val="000000"/>
          <w:sz w:val="20"/>
        </w:rPr>
        <w:t>and Note 10,</w:t>
      </w:r>
      <w:r>
        <w:rPr>
          <w:color w:val="000000"/>
        </w:rPr>
        <w:t xml:space="preserve"> </w:t>
      </w:r>
      <w:r>
        <w:rPr>
          <w:rFonts w:ascii="Times New Roman;serif" w:hAnsi="Times New Roman;serif"/>
          <w:b w:val="false"/>
          <w:i/>
          <w:color w:val="000000"/>
          <w:sz w:val="20"/>
        </w:rPr>
        <w:t xml:space="preserve">Other (expense) income, net, </w:t>
      </w:r>
      <w:r>
        <w:rPr>
          <w:rFonts w:ascii="Times New Roman;serif" w:hAnsi="Times New Roman;serif"/>
          <w:b w:val="false"/>
          <w:color w:val="000000"/>
          <w:sz w:val="20"/>
        </w:rPr>
        <w:t xml:space="preserve">to the Condensed Consolidated Financial Statements for additional information.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(f)Other charges (credits) include professional fees incurred in connection with tax audits, certain consultant and advisory expenses for the Company’s long-term strategic planning, and other items.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(h)</w:t>
      </w:r>
      <w:r>
        <w:rPr>
          <w:rFonts w:ascii="Times New Roman;serif" w:hAnsi="Times New Roman;serif"/>
          <w:b w:val="false"/>
          <w:color w:val="000000"/>
          <w:sz w:val="20"/>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and nine months ended September 30, 2025 and 2024. The charges incurred relate to the immediate recognition of foreign currency remeasurement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(i)Customer insolvency costs represent charges associated with a specific reserve for trade accounts receivable within the Company’s EMEA reportable segment related to a specific customer that filed for bankruptcy protection.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(j)</w:t>
      </w:r>
      <w:r>
        <w:rPr>
          <w:rFonts w:ascii="Times New Roman;serif" w:hAnsi="Times New Roman;serif"/>
          <w:b w:val="false"/>
          <w:color w:val="000000"/>
          <w:sz w:val="20"/>
        </w:rPr>
        <w:t>Product liability claim costs, net represents an expense related to the payment by the Company in connection with a product liability dispute with a customer, net of insurance recoveries. See Note 10,</w:t>
      </w:r>
      <w:r>
        <w:rPr>
          <w:color w:val="000000"/>
        </w:rPr>
        <w:t xml:space="preserve"> </w:t>
      </w:r>
      <w:r>
        <w:rPr>
          <w:rFonts w:ascii="Times New Roman;serif" w:hAnsi="Times New Roman;serif"/>
          <w:b w:val="false"/>
          <w:i/>
          <w:color w:val="000000"/>
          <w:sz w:val="20"/>
        </w:rPr>
        <w:t xml:space="preserve">Other (expense) income, net, </w:t>
      </w:r>
      <w:r>
        <w:rPr>
          <w:rFonts w:ascii="Times New Roman;serif" w:hAnsi="Times New Roman;serif"/>
          <w:b w:val="false"/>
          <w:color w:val="000000"/>
          <w:sz w:val="20"/>
        </w:rPr>
        <w:t>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(k)Business interruption insurance proceeds reflects an insurance claim settlement receipt for the three and nine months ended September 30, 2024 related to production losses due to an electrical fire in 2021 that resulted in the temporary shutdown of production at one of the Company’s production facilities. See Note 18,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(l)Loss on acquisition-related hedges represents the mark-to-market and settlement of the foreign exchange forward contracts entered into March 2025 for an aggregate notional amount totaling $155.3 million to hedge the variability of exchange rate impacts between the U.S. Dollar and Japanese yen in connection with the acquisition of Dipsol.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and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(m)Gain on sale of assets represents the gain recognized on the sale of certain property previously classified as held for sale and gain on sale of other assets that are not considered core to the Company’s operations.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(n)Impairment charges represents the non-cash charge taken to write down the remaining carrying value of goodwill in the EMEA reportable segment during the second quarter of 2025. See Note 13, </w:t>
      </w:r>
      <w:r>
        <w:rPr>
          <w:rFonts w:ascii="Times New Roman;serif" w:hAnsi="Times New Roman;serif"/>
          <w:b w:val="false"/>
          <w:i/>
          <w:color w:val="000000"/>
          <w:sz w:val="20"/>
        </w:rPr>
        <w:t>Goodwill and Other Intangible Assets,</w:t>
      </w:r>
      <w:r>
        <w:rPr>
          <w:color w:val="000000"/>
        </w:rPr>
        <w:t xml:space="preserve"> </w:t>
      </w:r>
      <w:r>
        <w:rPr>
          <w:rFonts w:ascii="Times New Roman;serif" w:hAnsi="Times New Roman;serif"/>
          <w:b w:val="false"/>
          <w:color w:val="000000"/>
          <w:sz w:val="20"/>
        </w:rPr>
        <w:t xml:space="preserve">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(o)Multiemployer plan withdrawal charge represents the expense related to the Company withdrawing from the Cleveland Bakers and Teamsters Pension Fund, a multiemployer defined benefit pension plan, in connection with a site closure under the Company’s restructuring program and facility closure actions. See Note 7</w:t>
      </w:r>
      <w:r>
        <w:rPr>
          <w:rFonts w:ascii="Times New Roman;serif" w:hAnsi="Times New Roman;serif"/>
          <w:b w:val="false"/>
          <w:i/>
          <w:color w:val="000000"/>
          <w:sz w:val="20"/>
        </w:rPr>
        <w:t xml:space="preserve">, Restructuring and Related Activities,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10,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(p)Brazilian non-income tax credits represents indirect tax credits and interest related to the Brazil Supreme Court ruling in regard to certain non-income (indirect) taxes that have been previously charged and paid. See Note 10,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(q)Discrete tax items include certain impacts of uncertain tax positions. See Note 11, </w:t>
      </w:r>
      <w:r>
        <w:rPr>
          <w:rFonts w:ascii="Times New Roman;serif" w:hAnsi="Times New Roman;serif"/>
          <w:b w:val="false"/>
          <w:i/>
          <w:color w:val="000000"/>
          <w:sz w:val="20"/>
        </w:rPr>
        <w:t>Income Taxes</w:t>
      </w:r>
      <w:r>
        <w:rPr>
          <w:rFonts w:ascii="Times New Roman;serif" w:hAnsi="Times New Roman;serif"/>
          <w:b w:val="false"/>
          <w:color w:val="000000"/>
          <w:sz w:val="20"/>
        </w:rPr>
        <w:t>, to the Condensed Consolidated Financial Statements for more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(r)Acquisition-related depreciation and amortization represents amortization expense recorded for definite-lived intangible assets in connection with the Dipsol and Natech acquisitions and depreciation expense recorded in connection with the fair value step-up of Dipsol’s property, plant, and equipment.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and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for more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(s)</w:t>
      </w:r>
      <w:r>
        <w:rPr>
          <w:rFonts w:ascii="Times New Roman;serif" w:hAnsi="Times New Roman;serif"/>
          <w:b w:val="false"/>
          <w:color w:val="000000"/>
          <w:sz w:val="20"/>
        </w:rPr>
        <w:t xml:space="preserve">Depreciation and amortization for the three and nine months ended September 30, 2025 and 2024 each includes approximately $0.2 million and $0.7 million, respectively,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(t)</w:t>
      </w:r>
      <w:r>
        <w:rPr>
          <w:rFonts w:ascii="Times New Roman;serif" w:hAnsi="Times New Roman;serif"/>
          <w:b w:val="false"/>
          <w:color w:val="000000"/>
          <w:sz w:val="20"/>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 This caption also includes the impact of specific tax charges and benefits for the three and nine months ended September 30, 2025 and 2024.</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(u)The Company calculates adjusted EBITDA margin, non-GAAP operating margin, and non-GAAP gross margin as the percentage of adjusted EBITDA, non-GAAP operating income, and non-GAAP gross profit to consolidated net sales.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(v)In each given period, the Company calculates non-GAAP earnings per diluted share as non-GAAP net income attributable to the Company per weighted average diluted shares outstanding using the “two-class share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off-balance sheet items outstanding as of September 30, 2025 include approximately $7 million of bank letters of credit and guarantees. The bank letters of credit and guarantees are not significant to the Company’s liquidity or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Factors That May Affect Our Future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timing and extent of the impacts on our business from acts of war, terrorism and military conflicts, including those in Ukraine and the Middle East, as well as related economic, political and governmental actions taken by various governments and governmental organizations in response;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inflationary pressures, increases in raw material costs, supply chain constraints and other impacts of economic downturns, as well as high interest rates and their impact on our and our customers’ business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broader macroeconomic factors, including potential for changes in global and regional economic conditions, the possibility of global or regional slowdowns or recessions, other macroeconomic stresses and uncertainties, including potential impacts related to the recent actions of the federal government and responses thereto, as well as other political and geopolitical events, civil disturbances and endemics/pandemics or extreme weather events and other natural disasters that may adversely affect regional economic conditions and housing market;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political conditions and legislative and regulatory activity (or inactivity), including adoption of (or failure to adopt) new laws, regulations and executive orders, changes in existing laws, regulations and executive orders or the way they are interpreted or applied, and adoption of laws, regulations or executive orders that conflict among jurisdictions in which we operate;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future results and plans including our sustainability goals and enterprise strategy.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governments or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future terrorist attacks and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automotive, aerospace, industrial equipment, aluminum, and durable goods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or all of the forward-looking statements in this Report, in the Company’s 2024 Form 10-K and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Item 2, Management’s Discussion and Analysis of Financial Condition and Results of Operations.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can be found in the Company’s subsequent reports on Forms 10-K, 10-Q, 8-K and other related filings. We caution you not to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Quaker Houghton on the Internet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evaluated the information required under this Item that was disclosed in Part II, Item 7A, of our Annual Report on Form 10-K for the year ended December 31, 2024, and we believe there has been no material change to that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September 30, 2025, the end of the period covered by this Report, our disclosure controls and procedures (as defined in Rule 13a-15(e) under the Exchange Act) were effective.</w:t>
      </w:r>
    </w:p>
    <w:p>
      <w:pPr>
        <w:pStyle w:val="TextBody"/>
        <w:bidi w:val="0"/>
        <w:spacing w:lineRule="auto" w:line="288" w:before="0" w:after="120"/>
        <w:jc w:val="both"/>
        <w:rPr/>
      </w:pP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 xml:space="preserve">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September 30, 2025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w:t>
      </w:r>
      <w:r>
        <w:rPr>
          <w:rFonts w:ascii="Times New Roman;serif" w:hAnsi="Times New Roman;serif"/>
          <w:b w:val="false"/>
          <w:color w:val="000000"/>
          <w:sz w:val="20"/>
          <w:shd w:fill="FFFFFF" w:val="clear"/>
        </w:rPr>
        <w:t>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Items 3 and 4 of Part II are inapplicable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both"/>
        <w:rPr/>
      </w:pPr>
      <w:r>
        <w:rPr>
          <w:rFonts w:ascii="Times New Roman;serif" w:hAnsi="Times New Roman;serif"/>
          <w:b w:val="false"/>
          <w:color w:val="000000"/>
          <w:sz w:val="20"/>
        </w:rPr>
        <w:t xml:space="preserve">Incorporated by reference is the information in Note 18,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2024 Form 10-K. There have been no material changes to the risk factors described therein. However, the primary and secondary impacts of recent government actions including tariffs and trade policies, have impacted the global economy, disrupted global supply chains, created significant uncertainty and volatility in financial markets, and increased the risk of recession and elevated unemployment levels, and those conditions could continue or worsen. Accordingly, these actions and their impact on, among other things, the macroeconomic environment and regulatory policies could exacerbate the other risks and uncertainties set forth in “Item 1A. Risk Factors” in our 2024 10-K and could negatively impact our businesses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shares of the Company’s common stock acquired by the Company during the period covered by this Report:</w:t>
      </w:r>
    </w:p>
    <w:tbl>
      <w:tblPr>
        <w:tblW w:w="10205" w:type="dxa"/>
        <w:jc w:val="center"/>
        <w:tblInd w:w="0" w:type="dxa"/>
        <w:tblLayout w:type="fixed"/>
        <w:tblCellMar>
          <w:top w:w="28" w:type="dxa"/>
          <w:left w:w="28" w:type="dxa"/>
          <w:bottom w:w="28" w:type="dxa"/>
          <w:right w:w="28" w:type="dxa"/>
        </w:tblCellMar>
      </w:tblPr>
      <w:tblGrid>
        <w:gridCol w:w="691"/>
        <w:gridCol w:w="344"/>
        <w:gridCol w:w="346"/>
        <w:gridCol w:w="109"/>
        <w:gridCol w:w="109"/>
        <w:gridCol w:w="109"/>
        <w:gridCol w:w="367"/>
        <w:gridCol w:w="367"/>
        <w:gridCol w:w="369"/>
        <w:gridCol w:w="109"/>
        <w:gridCol w:w="109"/>
        <w:gridCol w:w="109"/>
        <w:gridCol w:w="231"/>
        <w:gridCol w:w="792"/>
        <w:gridCol w:w="119"/>
        <w:gridCol w:w="109"/>
        <w:gridCol w:w="109"/>
        <w:gridCol w:w="109"/>
        <w:gridCol w:w="739"/>
        <w:gridCol w:w="739"/>
        <w:gridCol w:w="742"/>
        <w:gridCol w:w="109"/>
        <w:gridCol w:w="109"/>
        <w:gridCol w:w="109"/>
        <w:gridCol w:w="444"/>
        <w:gridCol w:w="2274"/>
        <w:gridCol w:w="333"/>
      </w:tblGrid>
      <w:tr>
        <w:trPr/>
        <w:tc>
          <w:tcPr>
            <w:tcW w:w="6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t>
              <w:b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w:t>
              <w:br/>
              <w:t>Average</w:t>
              <w:br/>
              <w:t>Price Paid</w:t>
              <w:br/>
              <w:t xml:space="preserve">Per Share (1)(2)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w:t>
              <w:br/>
              <w:t>Total Number of</w:t>
              <w:br/>
              <w:t>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w:t>
              <w:br/>
              <w:t>Approximate Dollar Value of Shares that May Yet be Purchased Under the Plans or Programs (2)</w:t>
            </w:r>
          </w:p>
        </w:tc>
      </w:tr>
      <w:tr>
        <w:trPr/>
        <w:tc>
          <w:tcPr>
            <w:tcW w:w="13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68,065,837 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65,349,000 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64,262,315 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127.71 </w:t>
            </w:r>
          </w:p>
        </w:tc>
        <w:tc>
          <w:tcPr>
            <w:tcW w:w="11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64,262,315 </w:t>
            </w:r>
          </w:p>
        </w:tc>
        <w:tc>
          <w:tcPr>
            <w:tcW w:w="33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(1)1,168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(2)On February 28, 2024, the Board of Directors of the Company approved, and the Company announced, a share repurchase program, pursuant to which the Company is authorized to repurchase up to $150 million of Quaker Chemical Corporation common stock (the “2024 Share Repurchase Program”), which replaced the prior authorization and has no expiration date. The number of shares to be repurchased and the timing of such transactions will depend on a variety of factors, including market conditions.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Limitation on the Payment of Dividends</w:t>
      </w:r>
    </w:p>
    <w:p>
      <w:pPr>
        <w:pStyle w:val="TextBody"/>
        <w:bidi w:val="0"/>
        <w:spacing w:lineRule="auto" w:line="288" w:before="0" w:after="120"/>
        <w:jc w:val="both"/>
        <w:rPr/>
      </w:pPr>
      <w:r>
        <w:rPr>
          <w:rFonts w:ascii="Times New Roman;serif" w:hAnsi="Times New Roman;serif"/>
          <w:b w:val="false"/>
          <w:color w:val="000000"/>
          <w:sz w:val="20"/>
        </w:rPr>
        <w:t xml:space="preserve">The Credit Facility has certain limitations on the payment of dividends and other so-called restricted payment covenants. See Note 14, </w:t>
      </w:r>
      <w:r>
        <w:rPr>
          <w:rFonts w:ascii="Times New Roman;serif" w:hAnsi="Times New Roman;serif"/>
          <w:b w:val="false"/>
          <w:i/>
          <w:color w:val="000000"/>
          <w:sz w:val="20"/>
        </w:rPr>
        <w:t>Debt</w:t>
      </w:r>
      <w:r>
        <w:rPr>
          <w:rFonts w:ascii="Times New Roman;serif" w:hAnsi="Times New Roman;serif"/>
          <w:b w:val="false"/>
          <w:color w:val="000000"/>
          <w:sz w:val="20"/>
        </w:rPr>
        <w:t>,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20"/>
        <w:jc w:val="both"/>
        <w:rPr/>
      </w:pPr>
      <w:r>
        <w:rPr>
          <w:rFonts w:ascii="Times New Roman;serif" w:hAnsi="Times New Roman;serif"/>
          <w:b w:val="false"/>
          <w:color w:val="000000"/>
          <w:sz w:val="20"/>
        </w:rPr>
        <w:t xml:space="preserve">No director or officer (as defined in Rule 16a-1(f) promulgated under the Exchange Act) of the Company adopted or terminated any Rule 10b5-1 trading arrangement or any non-Rule 10b5-1 trading arrangement (as such terms are defined in Item 408 of Regulation S-K) during the quarter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78ffd87c5fc4b6d919a8ce783a3632e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40"/>
        <w:gridCol w:w="212"/>
        <w:gridCol w:w="217"/>
        <w:gridCol w:w="109"/>
        <w:gridCol w:w="109"/>
        <w:gridCol w:w="109"/>
        <w:gridCol w:w="2694"/>
        <w:gridCol w:w="2694"/>
        <w:gridCol w:w="3821"/>
      </w:tblGrid>
      <w:tr>
        <w:trPr/>
        <w:tc>
          <w:tcPr>
            <w:tcW w:w="2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2">
              <w:r>
                <w:rPr>
                  <w:rStyle w:val="InternetLink"/>
                  <w:rFonts w:ascii="Times New Roman;serif" w:hAnsi="Times New Roman;serif"/>
                  <w:b w:val="false"/>
                  <w:color w:val="0000FF"/>
                  <w:sz w:val="20"/>
                  <w:u w:val="single"/>
                </w:rPr>
                <w:t>Amended and Restated Articles of Incorporation (as amended through July 24, 2019). Incorporated by reference to Exhibit 3.1 as filed by the Registrant with its quarterly report on Form 10-Q filed on August 1, 2019.</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3">
              <w:r>
                <w:rPr>
                  <w:rStyle w:val="InternetLink"/>
                  <w:rFonts w:ascii="Times New Roman;serif" w:hAnsi="Times New Roman;serif"/>
                  <w:b w:val="false"/>
                  <w:color w:val="0000FF"/>
                  <w:sz w:val="20"/>
                  <w:u w:val="single"/>
                </w:rPr>
                <w:t>Amended and Restated By-laws (effective December 19, 2022). Incorporated by reference to Exhibit 3.1 as filed by the Registrant within its current report on Form 8-K on December 20, 2022.</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ex101stevendassingemployme.htm">
              <w:r>
                <w:rPr>
                  <w:rStyle w:val="InternetLink"/>
                  <w:rFonts w:ascii="Times New Roman;serif" w:hAnsi="Times New Roman;serif"/>
                  <w:b w:val="false"/>
                  <w:color w:val="000080"/>
                  <w:sz w:val="20"/>
                  <w:u w:val="single"/>
                </w:rPr>
                <w:t>Employment Agreement by and between Registrant and Steven Dassing, as amended July 21, 2025</w:t>
              </w:r>
            </w:hyperlink>
            <w:hyperlink w:anchor="ex101stevendassingemployme.htm">
              <w:r>
                <w:rPr>
                  <w:rStyle w:val="InternetLink"/>
                  <w:rFonts w:ascii="Times New Roman;serif" w:hAnsi="Times New Roman;serif"/>
                  <w:b w:val="false"/>
                  <w:color w:val="000080"/>
                  <w:sz w:val="20"/>
                  <w:u w:val="single"/>
                </w:rPr>
                <w:t>.*†^</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5q3-exx311.htm">
              <w:r>
                <w:rPr>
                  <w:rStyle w:val="InternetLink"/>
                  <w:rFonts w:ascii="Times New Roman;serif" w:hAnsi="Times New Roman;serif"/>
                  <w:b w:val="false"/>
                  <w:color w:val="0000FF"/>
                  <w:sz w:val="20"/>
                  <w:u w:val="single"/>
                </w:rPr>
                <w:t>Certification of Chief Executive Officer of the Company pursuant to Rule 13a-14(a) of the Securities Exchange Act of 1934.*</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5q3-exx312.htm">
              <w:r>
                <w:rPr>
                  <w:rStyle w:val="InternetLink"/>
                  <w:rFonts w:ascii="Times New Roman;serif" w:hAnsi="Times New Roman;serif"/>
                  <w:b w:val="false"/>
                  <w:color w:val="0000FF"/>
                  <w:sz w:val="20"/>
                  <w:u w:val="single"/>
                </w:rPr>
                <w:t>Certification of Chief Financial Officer of the Company pursuant to Rule 13a-14(a) of the Securities Exchange Act of 1934.*</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5q3-exx321.htm">
              <w:r>
                <w:rPr>
                  <w:rStyle w:val="InternetLink"/>
                  <w:rFonts w:ascii="Times New Roman;serif" w:hAnsi="Times New Roman;serif"/>
                  <w:b w:val="false"/>
                  <w:color w:val="0000FF"/>
                  <w:sz w:val="20"/>
                  <w:u w:val="single"/>
                </w:rPr>
                <w:t>Certification of Chief Executive Officer of the Company Pursuant to 18 U.S. C. Section 1350.**</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5q3-exx322.htm">
              <w:r>
                <w:rPr>
                  <w:rStyle w:val="InternetLink"/>
                  <w:rFonts w:ascii="Times New Roman;serif" w:hAnsi="Times New Roman;serif"/>
                  <w:b w:val="false"/>
                  <w:color w:val="0000FF"/>
                  <w:sz w:val="20"/>
                  <w:u w:val="single"/>
                </w:rPr>
                <w:t>Certification of Chief Financial Officer of the Company Pursuant to 18 U.S. C. Section 1350.**</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Schema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Management contract or compensatory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Certain portions of the exhibits that are not material and are of the type Quaker Houghton treats as confidential have been redacted pursuant to Item 601(b)(10)(iv) of Regulation S-K. Copies of the unredacted exhibits will be furnished to the SEC upon request.</w:t>
      </w:r>
    </w:p>
    <w:p>
      <w:pPr>
        <w:pStyle w:val="TextBody"/>
        <w:bidi w:val="0"/>
        <w:spacing w:before="0" w:after="120"/>
        <w:jc w:val="both"/>
        <w:rPr/>
      </w:pPr>
      <w:r>
        <w:rPr/>
      </w:r>
    </w:p>
    <w:p>
      <w:pPr>
        <w:pStyle w:val="TextBody"/>
        <w:bidi w:val="0"/>
        <w:spacing w:lineRule="auto" w:line="268" w:before="120" w:after="120"/>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both"/>
        <w:rPr/>
      </w:pPr>
      <w:hyperlink w:anchor="ia78ffd87c5fc4b6d919a8ce783a3632e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35"/>
        <w:gridCol w:w="471"/>
        <w:gridCol w:w="474"/>
        <w:gridCol w:w="2554"/>
        <w:gridCol w:w="2554"/>
        <w:gridCol w:w="3617"/>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1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87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Thomas Coler, Executive Vice President, Chief Financial Officer (officer duly authorized on behalf of, and principal financial officer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90650" cy="54292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4"/>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00" w:before="0" w:after="160"/>
        <w:jc w:val="right"/>
        <w:rPr>
          <w:rFonts w:ascii="Arial;sans-serif" w:hAnsi="Arial;sans-serif"/>
          <w:b/>
          <w:color w:val="000000"/>
          <w:sz w:val="22"/>
        </w:rPr>
      </w:pPr>
      <w:r>
        <w:rPr>
          <w:rFonts w:ascii="Arial;sans-serif" w:hAnsi="Arial;sans-serif"/>
          <w:b/>
          <w:color w:val="000000"/>
          <w:sz w:val="22"/>
        </w:rPr>
        <w:t>EXHIBIT 10.1</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July 18, 2025</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Steven Dassing Via Email</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Dear Steve:</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Further to our discussions, in recognition of your on-going responsibilities as VP and Corporate Controller and assuming the responsibility of Quaker Houghton's principle accounting officer, I am pleased to confirm your adjusted salary effective July 20, 2025. Your new base salary will be bi-weekly in the amount of $11,538.47 for an annualized salary of $300,000.22. You will be eligible for your next merit increase in 2026, reflective of performance year 2025.</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Annual Incentive Plan</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You will continue to be eligible to participate in the 2025 Annual Incentive Plan (AIP) with your annual target remaining 35% of your base salary. This bonus is adjusted for annual company and individual performance. You will be eligible for your next annual cash bonus payment in 2026, based on performance year 2025 results. All incentive compensation awards are made at the company's discretion and are subject to change and require the approval of the Compensation and Human Resources Committee of the Board of Directors.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The terms and conditions of your employment as they existed on your original hire date remain in effect, except as specifically set forth above and in restrictions from what you signed previously. Quaker Houghton reserves the right to modify your job title, duties, and compensation, as well as all company rules, practices, and other terms of employment.</w:t>
      </w:r>
    </w:p>
    <w:p>
      <w:pPr>
        <w:pStyle w:val="TextBody"/>
        <w:bidi w:val="0"/>
        <w:spacing w:lineRule="auto" w:line="300" w:before="0" w:after="160"/>
        <w:jc w:val="left"/>
        <w:rPr/>
      </w:pPr>
      <w:r>
        <w:rPr>
          <w:rFonts w:ascii="Arial;sans-serif" w:hAnsi="Arial;sans-serif"/>
          <w:b w:val="false"/>
          <w:color w:val="000000"/>
          <w:sz w:val="22"/>
        </w:rPr>
        <w:t xml:space="preserve">With your expanded responsibilities you will report directly to me. I look forward to our continued work together. After your review, please sign below to confirm your acceptance of this offer and return to Michelle Carter by no later than </w:t>
      </w:r>
      <w:r>
        <w:rPr>
          <w:rFonts w:ascii="Arial;sans-serif" w:hAnsi="Arial;sans-serif"/>
          <w:b/>
          <w:color w:val="000000"/>
          <w:sz w:val="22"/>
        </w:rPr>
        <w:t xml:space="preserve">TWO BUSINESS DAYS </w:t>
      </w:r>
      <w:r>
        <w:rPr>
          <w:rFonts w:ascii="Arial;sans-serif" w:hAnsi="Arial;sans-serif"/>
          <w:b w:val="false"/>
          <w:color w:val="000000"/>
          <w:sz w:val="22"/>
        </w:rPr>
        <w:t>from receipt of this offer. You may contact Michelle Carter or me with any questions.</w:t>
      </w:r>
    </w:p>
    <w:p>
      <w:pPr>
        <w:pStyle w:val="TextBody"/>
        <w:bidi w:val="0"/>
        <w:spacing w:before="0" w:after="160"/>
        <w:jc w:val="left"/>
        <w:rPr/>
      </w:pPr>
      <w:r>
        <w:rPr/>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lineRule="auto" w:line="288" w:before="0" w:after="160"/>
        <w:jc w:val="left"/>
        <w:rPr>
          <w:rFonts w:ascii="Arial;sans-serif" w:hAnsi="Arial;sans-serif"/>
          <w:b w:val="false"/>
          <w:color w:val="000000"/>
          <w:sz w:val="22"/>
          <w:u w:val="single"/>
        </w:rPr>
      </w:pPr>
      <w:r>
        <w:rPr>
          <w:rFonts w:ascii="Arial;sans-serif" w:hAnsi="Arial;sans-serif"/>
          <w:b w:val="false"/>
          <w:color w:val="000000"/>
          <w:sz w:val="22"/>
          <w:u w:val="single"/>
        </w:rPr>
        <w:t>/s/ TOM COLER</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Tom Coler</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EVP, Chief Financial Officer</w:t>
      </w: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2"/>
        </w:rPr>
      </w:pPr>
      <w:r>
        <w:rPr>
          <w:rFonts w:ascii="Arial;sans-serif" w:hAnsi="Arial;sans-serif"/>
          <w:b/>
          <w:color w:val="000000"/>
          <w:sz w:val="22"/>
        </w:rPr>
        <w:t>Employee Offer Acceptance</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I accept the terms and conditions outlined above:</w:t>
      </w:r>
    </w:p>
    <w:p>
      <w:pPr>
        <w:pStyle w:val="TextBody"/>
        <w:bidi w:val="0"/>
        <w:spacing w:lineRule="auto" w:line="288" w:before="0" w:after="160"/>
        <w:jc w:val="left"/>
        <w:rPr/>
      </w:pPr>
      <w:r>
        <w:rPr>
          <w:rFonts w:ascii="Arial;sans-serif" w:hAnsi="Arial;sans-serif"/>
          <w:b w:val="false"/>
          <w:color w:val="000000"/>
          <w:sz w:val="22"/>
          <w:u w:val="single"/>
        </w:rPr>
        <w:t>/s/ STEVEN DASSING</w:t>
      </w:r>
      <w:r>
        <w:rPr>
          <w:color w:val="000000"/>
        </w:rPr>
        <w:t xml:space="preserve">         </w:t>
      </w:r>
      <w:r>
        <w:rPr>
          <w:rFonts w:ascii="Arial;sans-serif" w:hAnsi="Arial;sans-serif"/>
          <w:b w:val="false"/>
          <w:color w:val="000000"/>
          <w:sz w:val="22"/>
          <w:u w:val="single"/>
        </w:rPr>
        <w:t>7/21/2025</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Steven Dassing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90650" cy="54292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5"/>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May 16, 2022</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Steven Dassing</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[REDACTED]</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[REDACTED]</w:t>
      </w:r>
    </w:p>
    <w:p>
      <w:pPr>
        <w:pStyle w:val="TextBody"/>
        <w:bidi w:val="0"/>
        <w:spacing w:before="0" w:after="0"/>
        <w:jc w:val="left"/>
        <w:rPr/>
      </w:pPr>
      <w:r>
        <w:rPr/>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Dear Steven:</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Congratulations! I am pleased to offer you the opportunity to join Quaker Houghton in the position of Corporate Controller located in Conshohocken, PA. Your tentative start date is May 31, 2022.</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This is an extremely exciting time of growth and opportunity for our company! In August 2019 we combined the two outstanding legacies of Quaker Chemical and Houghton International into a business that is the global leader in industrial process fluids.</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Salary</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Your salary will be payable on a bi-weekly basis at the rate of $8,269.24, which is annualized at $215,000.24. Since this position is classified as Exempt, you will not be eligible for overtime pay. You will be eligible for your first merit increase in 2023, reflective of performance year 2022.</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Annual Incentive Plan</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Quaker Houghton provides a comprehensive variable performance pay system. You are eligible to participate in the 2022 Annual Incentive Plan (AIP). Your annual target is 25% of your base salary. This bonus is adjusted for annual company performance and is prorated for your first year in the program. You will be eligible for your first annual cash bonus payment in 2023, based on performance year 2022 results. All incentive compensation awards are made at the company's discretion and are subject to change, and require the approval of Quaker Houghton and Management Development Committee of the Board of Directors. More information about this program will be reviewed with you by your manager.</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Annual Long Term Incentive Program</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You will be eligible to receive the 2022 Annual Long Term Incentive Plan award based on Company performance and Committee approval. You will receive additional information once the plan and award levels are approved by the Compensation Committee and Board of Directors. More information about this program will be sent to you from our Legal department.</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Sign-On Bonus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You are being offered a sign-on bonus in the amount of $50,000.00, less applicable payroll taxes. The sign-on bonus will be paid in the first available payroll after your start date. In the event that you either voluntarily leave your employment or are dismissed for cause within the first twelve (12) months following your start date, you acknowledge and agree that you have an obligation to repay the sign-on bonus monies you have received. Please review and sign the attached Sign</w:t>
        <w:softHyphen/>
        <w:t xml:space="preserve"> On Bonus Acknowledgement.</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90650" cy="5429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6"/>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Benefits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Quaker Houghton offers a Flexible Benefits Program which gives you the opportunity to choose from a variety of options creating a customized benefits package. Eligibility begins on the first of the month following your date of hire. Medical, dental, life and disability insurance coverages are offered as well as several voluntary plans. Quaker Houghton reserves the right to self-insure or insure its health care plans, to eliminate or modify the benefits it offers, and to change employee contribution amounts from time to time.</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On or about your first day of employment, you will receive an email with information regarding how to access the Quaker Houghton-ADP Portal where you will enroll in Quaker Houghton benefit plans.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 addition to these flexible benefits, Quaker Houghton also offers a 401(k) Retirement Savings Plan. In the next few weeks, you will receive an enrollment letter from Vanguard, which will describe the process to enroll in the 401(k) Retirement Savings Plan, as well as our automatic 401(k) enrollment process. You can save up to 75% of your before-tax or after-tax pay (Roth), up to the IRS annual limit. Quaker Houghton will match 50% of your savings up to 6% of pay with immediate vesting. To maximize the match, contribute a minimum of 6% to your 401(k), which will provide a 3% match.</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You will automatically be enrolled in the 401(k) at a 6% deferral rate approximately 30 days after your hire date. Your deferral rate will automatically increase annually by 1% up to 10%. You can opt out or change your contribution online at vanguard.com or by calling Vanguard Participant Services at 800-523-1188.</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 addition to your 401(k) contributions and the Quaker Houghton match, after you complete one year of service, Quaker Houghton will automatically make non-elective contributions to your account equal to 3% of your eligible compensation. You will receive this contribution even if you do not make deferral contributions to the 401(k) Plan.</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Paid Time Off/Holidays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As a new employee with Quaker Houghton, you are eligible for seventeen (17) days of Paid Time Off (PTO) and two (2) Floating Holidays per calendar year. Based on your start date of May 31, 2022, your PTO days are prorated to ten (10) days and your Floating Holidays to two (2) days for calendar year 2022. In addition, you are eligible for all remaining company paid holidays for the calendar year 2022.</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Dress Code</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Please note that in general, Quaker Houghton has a Business Casual Dress policy. Your manager will review your location-specific dress code with you.</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Non-Smoking Policy</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Please note that Quaker Houghton is a non-smoking company that does not allow associates to smoke in any of its facilities.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90650" cy="542925"/>
            <wp:effectExtent l="0" t="0" r="0" b="0"/>
            <wp:docPr id="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 descr=""/>
                    <pic:cNvPicPr>
                      <a:picLocks noChangeAspect="1" noChangeArrowheads="1"/>
                    </pic:cNvPicPr>
                  </pic:nvPicPr>
                  <pic:blipFill>
                    <a:blip r:embed="rId7"/>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Exclusivity</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You hereby undertake to work exclusively for Quaker Houghton and its subsidiaries. Furthermore, it is a condition of employment that you sign the attached Confidentiality &amp; Non-Competition Agreement, the terms of which are incorporated herein and form an essential part of this offer. It contains restrictive covenants, some of which may continue after employment with Quaker Houghton. Accordingly, you should carefully review the agreement and, if you desire, consult with an attorney.</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Pre-Employment Testing Requirements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This offer is contingent upon satisfactory results of a pre-employment background check, drug screening You will have three (3) business days from the time you receive Instructions from our vendor to obtain your pre-employment drug screening Failure to do so may result in rescinding of this offer.</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 addition to the pre-employment testing, you may be required to participate in random drug and/or alcohol testing as part of the safety program at your assigned work location. Failure to participate in such a testing program, or failure to successfully pass such a test, will be cause for termination.</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This offer of employment is extended through May 16, 2022. The offer Is contingent upon your successful completion of all pre-employment checks which may include but is not limited to a background investigation, education verification, employment verification, physical, and drug screening. This offer is also contingent upon your producing documents for the company's inspection that are sufficient to establish your employment eligibility in the United States prior to the commencement of your employment as required by law</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Steven, this is an exciting time in the life of Quaker Houghton, and we are confident that you will contribute to our future growth and success. If you have any questions regarding this offer, please feel free to contact your recruiter Tami Walsh at 215-201-8098.</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Please acknowledge formal acceptance of this offer by signing in the space provided and emailing a copy of this letter together with a signed copy of the Confidentiality &amp; Non-Competition Agreement and Sign On Bonus Acknowledgement to myself and all other parties on the email you received. This offer of employment is not deemed accepted until all signed documents have been received by Quaker Houghton.</w:t>
      </w:r>
    </w:p>
    <w:p>
      <w:pPr>
        <w:pStyle w:val="TextBody"/>
        <w:bidi w:val="0"/>
        <w:spacing w:before="0" w:after="160"/>
        <w:jc w:val="left"/>
        <w:rPr/>
      </w:pPr>
      <w:r>
        <w:rPr/>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lineRule="auto" w:line="288" w:before="0" w:after="160"/>
        <w:jc w:val="left"/>
        <w:rPr>
          <w:rFonts w:ascii="Arial;sans-serif" w:hAnsi="Arial;sans-serif"/>
          <w:b w:val="false"/>
          <w:color w:val="000000"/>
          <w:sz w:val="22"/>
          <w:u w:val="single"/>
        </w:rPr>
      </w:pPr>
      <w:r>
        <w:rPr>
          <w:rFonts w:ascii="Arial;sans-serif" w:hAnsi="Arial;sans-serif"/>
          <w:b w:val="false"/>
          <w:color w:val="000000"/>
          <w:sz w:val="22"/>
          <w:u w:val="single"/>
        </w:rPr>
        <w:t>/s/ DAVID WILL</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David Will</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VP and CAO</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90650" cy="5429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8"/>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5"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2"/>
        </w:rPr>
      </w:pPr>
      <w:r>
        <w:rPr>
          <w:rFonts w:ascii="Arial;sans-serif" w:hAnsi="Arial;sans-serif"/>
          <w:b/>
          <w:color w:val="000000"/>
          <w:sz w:val="22"/>
        </w:rPr>
        <w:t>I hereby accept this offer as given above and will commence my employment on May 31, 2022. I understand and acknowledge that this offer does not create an employment contract between the company and me; nor does it guarantee employment for any period of time; nor does it guarantee any particular terms and/or conditions of employment other than those specified above. I further understand and acknowledge that my employment relationship between the company and me will be "at will" and completely voluntary with both parties.</w:t>
      </w:r>
    </w:p>
    <w:p>
      <w:pPr>
        <w:pStyle w:val="TextBody"/>
        <w:bidi w:val="0"/>
        <w:spacing w:before="0" w:after="160"/>
        <w:jc w:val="left"/>
        <w:rPr/>
      </w:pPr>
      <w:r>
        <w:rPr/>
      </w:r>
    </w:p>
    <w:p>
      <w:pPr>
        <w:pStyle w:val="TextBody"/>
        <w:bidi w:val="0"/>
        <w:spacing w:lineRule="auto" w:line="288" w:before="0" w:after="160"/>
        <w:jc w:val="left"/>
        <w:rPr>
          <w:rFonts w:ascii="Arial;sans-serif" w:hAnsi="Arial;sans-serif"/>
          <w:b w:val="false"/>
          <w:color w:val="000000"/>
          <w:sz w:val="22"/>
          <w:u w:val="single"/>
        </w:rPr>
      </w:pPr>
      <w:r>
        <w:rPr>
          <w:rFonts w:ascii="Arial;sans-serif" w:hAnsi="Arial;sans-serif"/>
          <w:b w:val="false"/>
          <w:color w:val="000000"/>
          <w:sz w:val="22"/>
          <w:u w:val="single"/>
        </w:rPr>
        <w:t>/s/ STEVEN DASSING</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Steven Dassing</w:t>
      </w:r>
    </w:p>
    <w:p>
      <w:pPr>
        <w:pStyle w:val="TextBody"/>
        <w:bidi w:val="0"/>
        <w:spacing w:before="0" w:after="160"/>
        <w:jc w:val="left"/>
        <w:rPr/>
      </w:pPr>
      <w:r>
        <w:rPr/>
      </w:r>
    </w:p>
    <w:p>
      <w:pPr>
        <w:pStyle w:val="TextBody"/>
        <w:bidi w:val="0"/>
        <w:spacing w:lineRule="auto" w:line="288" w:before="0" w:after="160"/>
        <w:jc w:val="left"/>
        <w:rPr>
          <w:rFonts w:ascii="Arial;sans-serif" w:hAnsi="Arial;sans-serif"/>
          <w:b w:val="false"/>
          <w:color w:val="000000"/>
          <w:sz w:val="22"/>
          <w:u w:val="single"/>
        </w:rPr>
      </w:pPr>
      <w:r>
        <w:rPr>
          <w:rFonts w:ascii="Arial;sans-serif" w:hAnsi="Arial;sans-serif"/>
          <w:b w:val="false"/>
          <w:color w:val="000000"/>
          <w:sz w:val="22"/>
          <w:u w:val="single"/>
        </w:rPr>
        <w:t>5/16/2022</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90650" cy="542925"/>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9"/>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7"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Arial;sans-serif" w:hAnsi="Arial;sans-serif"/>
          <w:b/>
          <w:color w:val="000000"/>
          <w:sz w:val="22"/>
          <w:u w:val="single"/>
        </w:rPr>
      </w:pPr>
      <w:r>
        <w:rPr>
          <w:rFonts w:ascii="Arial;sans-serif" w:hAnsi="Arial;sans-serif"/>
          <w:b/>
          <w:color w:val="000000"/>
          <w:sz w:val="22"/>
          <w:u w:val="single"/>
        </w:rPr>
        <w:t>Quaker Houghton</w:t>
      </w:r>
    </w:p>
    <w:p>
      <w:pPr>
        <w:pStyle w:val="TextBody"/>
        <w:bidi w:val="0"/>
        <w:spacing w:lineRule="auto" w:line="300" w:before="0" w:after="0"/>
        <w:jc w:val="center"/>
        <w:rPr>
          <w:rFonts w:ascii="Arial;sans-serif" w:hAnsi="Arial;sans-serif"/>
          <w:b/>
          <w:color w:val="000000"/>
          <w:sz w:val="22"/>
          <w:u w:val="single"/>
        </w:rPr>
      </w:pPr>
      <w:r>
        <w:rPr>
          <w:rFonts w:ascii="Arial;sans-serif" w:hAnsi="Arial;sans-serif"/>
          <w:b/>
          <w:color w:val="000000"/>
          <w:sz w:val="22"/>
          <w:u w:val="single"/>
        </w:rPr>
        <w:t>Confidentiality and Non-Competition Covenants</w:t>
      </w:r>
    </w:p>
    <w:p>
      <w:pPr>
        <w:pStyle w:val="TextBody"/>
        <w:bidi w:val="0"/>
        <w:spacing w:before="0" w:after="0"/>
        <w:jc w:val="center"/>
        <w:rPr/>
      </w:pPr>
      <w:r>
        <w:rPr/>
      </w:r>
    </w:p>
    <w:p>
      <w:pPr>
        <w:pStyle w:val="TextBody"/>
        <w:bidi w:val="0"/>
        <w:spacing w:lineRule="auto" w:line="300" w:before="0" w:after="160"/>
        <w:jc w:val="left"/>
        <w:rPr/>
      </w:pPr>
      <w:r>
        <w:rPr>
          <w:rFonts w:ascii="Arial;sans-serif" w:hAnsi="Arial;sans-serif"/>
          <w:b w:val="false"/>
          <w:color w:val="000000"/>
          <w:sz w:val="22"/>
        </w:rPr>
        <w:t xml:space="preserve">This Agreement is between Quaker Houghton (the "Company") and </w:t>
      </w:r>
      <w:r>
        <w:rPr>
          <w:rFonts w:ascii="Arial;sans-serif" w:hAnsi="Arial;sans-serif"/>
          <w:b w:val="false"/>
          <w:color w:val="000000"/>
          <w:sz w:val="22"/>
          <w:u w:val="single"/>
        </w:rPr>
        <w:t>/s/ STEVE DASSING</w:t>
      </w:r>
      <w:r>
        <w:rPr>
          <w:color w:val="000000"/>
        </w:rPr>
        <w:t xml:space="preserve"> </w:t>
      </w:r>
      <w:r>
        <w:rPr>
          <w:rFonts w:ascii="Arial;sans-serif" w:hAnsi="Arial;sans-serif"/>
          <w:b w:val="false"/>
          <w:color w:val="000000"/>
          <w:sz w:val="22"/>
        </w:rPr>
        <w:t xml:space="preserve">(the "Employee"), whose current address is </w:t>
      </w:r>
      <w:r>
        <w:rPr>
          <w:rFonts w:ascii="Arial;sans-serif" w:hAnsi="Arial;sans-serif"/>
          <w:b w:val="false"/>
          <w:color w:val="000000"/>
          <w:sz w:val="22"/>
          <w:u w:val="single"/>
        </w:rPr>
        <w:t>[REDACTED]</w:t>
      </w:r>
      <w:r>
        <w:rPr>
          <w:rFonts w:ascii="Arial;sans-serif" w:hAnsi="Arial;sans-serif"/>
          <w:b w:val="false"/>
          <w:color w:val="000000"/>
          <w:sz w:val="22"/>
        </w:rPr>
        <w:t xml:space="preserve">. The effective date of this Agreement is </w:t>
      </w:r>
      <w:r>
        <w:rPr>
          <w:rFonts w:ascii="Arial;sans-serif" w:hAnsi="Arial;sans-serif"/>
          <w:b w:val="false"/>
          <w:color w:val="000000"/>
          <w:sz w:val="22"/>
          <w:u w:val="single"/>
        </w:rPr>
        <w:t>May 16, 2022</w:t>
      </w:r>
      <w:r>
        <w:rPr>
          <w:rFonts w:ascii="Arial;sans-serif" w:hAnsi="Arial;sans-serif"/>
          <w:b w:val="false"/>
          <w:color w:val="000000"/>
          <w:sz w:val="22"/>
        </w:rPr>
        <w:t>.</w:t>
      </w:r>
    </w:p>
    <w:p>
      <w:pPr>
        <w:pStyle w:val="TextBody"/>
        <w:bidi w:val="0"/>
        <w:spacing w:lineRule="auto" w:line="300" w:before="0" w:after="160"/>
        <w:jc w:val="left"/>
        <w:rPr/>
      </w:pPr>
      <w:r>
        <w:rPr>
          <w:rFonts w:ascii="Arial;sans-serif" w:hAnsi="Arial;sans-serif"/>
          <w:b w:val="false"/>
          <w:color w:val="000000"/>
          <w:sz w:val="22"/>
        </w:rPr>
        <w:t>1.    </w:t>
      </w:r>
      <w:r>
        <w:rPr>
          <w:rFonts w:ascii="Arial;sans-serif" w:hAnsi="Arial;sans-serif"/>
          <w:b/>
          <w:color w:val="000000"/>
          <w:sz w:val="22"/>
          <w:u w:val="single"/>
        </w:rPr>
        <w:t>NEED FOR AGREEMENT</w:t>
      </w:r>
      <w:r>
        <w:rPr>
          <w:color w:val="000000"/>
        </w:rPr>
        <w:t xml:space="preserve"> </w:t>
      </w:r>
      <w:r>
        <w:rPr>
          <w:rFonts w:ascii="Arial;sans-serif" w:hAnsi="Arial;sans-serif"/>
          <w:b w:val="false"/>
          <w:color w:val="000000"/>
          <w:sz w:val="22"/>
        </w:rPr>
        <w:t>- As part of Employee's employment by the Company, Employee will be placed in a position of trust and confidence and entrusted with the Company's confidential and proprietary information and trade secrets to enable Employee to carry out Employee's job functions. Because Employee has or will receive this type of confidential information, Employee understands that Employee has an obligation not to exploit Employee's access to this information for Employee's own personal interest or interests outside of the Company both during the time of Employee's employment and thereafter. Employee also understands that the Company is entitled to preserve its goodwill, confidential information, customer and employee relationships and investments though the use of the restrictive covenants contained in this Agreement.</w:t>
      </w:r>
    </w:p>
    <w:p>
      <w:pPr>
        <w:pStyle w:val="TextBody"/>
        <w:bidi w:val="0"/>
        <w:spacing w:lineRule="auto" w:line="300" w:before="0" w:after="160"/>
        <w:jc w:val="left"/>
        <w:rPr/>
      </w:pPr>
      <w:r>
        <w:rPr>
          <w:rFonts w:ascii="Arial;sans-serif" w:hAnsi="Arial;sans-serif"/>
          <w:b w:val="false"/>
          <w:color w:val="000000"/>
          <w:sz w:val="22"/>
        </w:rPr>
        <w:t>2.    </w:t>
      </w:r>
      <w:r>
        <w:rPr>
          <w:rFonts w:ascii="Arial;sans-serif" w:hAnsi="Arial;sans-serif"/>
          <w:b/>
          <w:color w:val="000000"/>
          <w:sz w:val="22"/>
          <w:u w:val="single"/>
        </w:rPr>
        <w:t>EMPLOYMENT DUTIES</w:t>
      </w:r>
      <w:r>
        <w:rPr>
          <w:rFonts w:ascii="Arial;sans-serif" w:hAnsi="Arial;sans-serif"/>
          <w:b w:val="false"/>
          <w:color w:val="000000"/>
          <w:sz w:val="22"/>
        </w:rPr>
        <w:t>- Employee will perform all duties customarily performed by the Company's employees holding the same or similar positions and all other duties that may be assigned to Employee from time to time. Employee's precise employment responsibilities may be extended, modified or curtailed from time to time at the sole discretion of the Company and such changes shall not alter any of Employee's obligations under this Agreement except as otherwise stated herein.</w:t>
      </w:r>
    </w:p>
    <w:p>
      <w:pPr>
        <w:pStyle w:val="TextBody"/>
        <w:bidi w:val="0"/>
        <w:spacing w:lineRule="auto" w:line="300" w:before="0" w:after="160"/>
        <w:jc w:val="left"/>
        <w:rPr/>
      </w:pPr>
      <w:r>
        <w:rPr>
          <w:rFonts w:ascii="Arial;sans-serif" w:hAnsi="Arial;sans-serif"/>
          <w:b w:val="false"/>
          <w:color w:val="000000"/>
          <w:sz w:val="22"/>
        </w:rPr>
        <w:t>3.    </w:t>
      </w:r>
      <w:r>
        <w:rPr>
          <w:rFonts w:ascii="Arial;sans-serif" w:hAnsi="Arial;sans-serif"/>
          <w:b/>
          <w:color w:val="000000"/>
          <w:sz w:val="22"/>
          <w:u w:val="single"/>
        </w:rPr>
        <w:t>BEST EFFORTS</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(a)    Employee agrees to devote Employee's best efforts and entire business time and attention to the Company's Business during the term of Employee's employment with the Company. Employee agrees that, during the term of Employee's employment, Employee will not engage in or have any ownership interest in any business activity, including any entity, that engages in or is planning to engage in activities (i) that are competitive with the Company's Business; and/or (ii) whose ownership would otherwise create a conflict of interest. For purposes of this Agreement, the term "Company's Business" shall mean the manufacture of industrial process fluids to the primary metals and metalworking markets.</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(b)    The restrictions in this Paragraph 3 will not apply if Employee fully discloses the competitive or potentially competitive activities, as the case may be, and receives written permission to engage in these activities by the Company's then Chief Executive Officer or the Vice President of Human Resources. The Company has total and complete discretion to withhold or grant this permission. If Employee has any questions or concerns about these restrictions, Employee is directed to contact the Vice President of Human Resources.</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(c)    The Company and Employee agree that the restrictions in this Paragraph 3 are not intended to, and do not, prevent ownership by Employee of up to 5% or $100,000, whichever is less, of any class of equity or debt securities of a competitive entity that is traded on a national security exchange.</w:t>
      </w:r>
    </w:p>
    <w:p>
      <w:pPr>
        <w:pStyle w:val="TextBody"/>
        <w:bidi w:val="0"/>
        <w:spacing w:lineRule="auto" w:line="300" w:before="0" w:after="160"/>
        <w:jc w:val="left"/>
        <w:rPr/>
      </w:pPr>
      <w:r>
        <w:rPr>
          <w:rFonts w:ascii="Arial;sans-serif" w:hAnsi="Arial;sans-serif"/>
          <w:b w:val="false"/>
          <w:color w:val="000000"/>
          <w:sz w:val="22"/>
        </w:rPr>
        <w:t>4.    </w:t>
      </w:r>
      <w:r>
        <w:rPr>
          <w:rFonts w:ascii="Arial;sans-serif" w:hAnsi="Arial;sans-serif"/>
          <w:b/>
          <w:color w:val="000000"/>
          <w:sz w:val="22"/>
          <w:u w:val="single"/>
        </w:rPr>
        <w:t>AT-WILL EMPLOYMENT</w:t>
      </w:r>
      <w:r>
        <w:rPr>
          <w:color w:val="000000"/>
        </w:rPr>
        <w:t xml:space="preserve"> </w:t>
      </w:r>
      <w:r>
        <w:rPr>
          <w:rFonts w:ascii="Arial;sans-serif" w:hAnsi="Arial;sans-serif"/>
          <w:b w:val="false"/>
          <w:color w:val="000000"/>
          <w:sz w:val="22"/>
        </w:rPr>
        <w:t xml:space="preserve">- Employee is an "at-will" employee of the Company, and either Employee or the Company can terminate the employment relationship at any time for any </w:t>
      </w:r>
    </w:p>
    <w:p>
      <w:pPr>
        <w:pStyle w:val="TextBody"/>
        <w:bidi w:val="0"/>
        <w:spacing w:before="0" w:after="0"/>
        <w:jc w:val="right"/>
        <w:rPr/>
      </w:pPr>
      <w:r>
        <w:rPr/>
        <w:drawing>
          <wp:inline distT="0" distB="0" distL="0" distR="0">
            <wp:extent cx="1390650" cy="542925"/>
            <wp:effectExtent l="0" t="0" r="0" b="0"/>
            <wp:docPr id="5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 descr=""/>
                    <pic:cNvPicPr>
                      <a:picLocks noChangeAspect="1" noChangeArrowheads="1"/>
                    </pic:cNvPicPr>
                  </pic:nvPicPr>
                  <pic:blipFill>
                    <a:blip r:embed="rId10"/>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reason. Employee's and the Company's obligations and rights under this Agreement are not affected by Employee's status as an "at-will" employee or by the termination of the employment relationship by either party for any reason.</w:t>
      </w:r>
    </w:p>
    <w:p>
      <w:pPr>
        <w:pStyle w:val="TextBody"/>
        <w:bidi w:val="0"/>
        <w:spacing w:lineRule="auto" w:line="300" w:before="0" w:after="160"/>
        <w:jc w:val="left"/>
        <w:rPr/>
      </w:pPr>
      <w:r>
        <w:rPr>
          <w:rFonts w:ascii="Arial;sans-serif" w:hAnsi="Arial;sans-serif"/>
          <w:b w:val="false"/>
          <w:color w:val="000000"/>
          <w:sz w:val="22"/>
        </w:rPr>
        <w:t>5.    </w:t>
      </w:r>
      <w:r>
        <w:rPr>
          <w:rFonts w:ascii="Arial;sans-serif" w:hAnsi="Arial;sans-serif"/>
          <w:b/>
          <w:color w:val="000000"/>
          <w:sz w:val="22"/>
          <w:u w:val="single"/>
        </w:rPr>
        <w:t>CONFIDENTIAL INFORMATION AND COMPANY PROPERTY</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(a)    Employee acknowledges that the Company and its subsidiaries, divisions and affiliates, as well as majority-owned companies of such subsidiaries, divisions and affiliates, and their respective successors (hereinafter collectively, the "Company") possess certain Confidential Information which has been and may be revealed to or learned by Employee during Employee's employment with the Company. Employee acknowledges that the term "Confidential Information" includes all information that has or could have commercial value or other utility in the Company's Business, or the unauthorized disclosure of which could be detrimental to the Company's interests, whether or not such information is specifically identified as Confidential Information by the Company.</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(b)    By way of example and not limitation, Confidential Information includes any and all information, whether or not meeting the legal definition of a trade secret, concerning the Company's actual, planned or contemplated: (i) marketing plans, business plans, strategies, forecasts, budgets, projections and costs; (ii) personnel information; (iii) customer, vendor and supplier lists; (iv) business operations, internal structures and financial affairs; (v) software and operating systems and procedures; (vi) pricing structure of the Company's services and products;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(vii) contracts with other parties; (viii} formulations, formulation information, and performance characteristics of the Company's products; and (ix) Inventions (as discussed in Paragraph 6 of this Agreement). Confidential Information does not include information that has become widely known to the public other than through the improper disclosure of Employee. Notwithstanding anything to the contrary in this Agreement, however, Confidential Information includes any and all information that the Company is obligated to maintain as confidential.</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(c)    During the term of Employee's employment with the Company and thereafter, Employee will not, directly or indirectly, use or disclose to anyone, or authorize disclosure or use of, any of the Confidential Information revealed to, learned by or created by Employee during the course of Employee's employment with the Company, unless such use or disclosure is both consistent with the Company's obligations and is for the sole purpose of carrying out Employee's duties to the Company. Employee further agrees that Employee will take all reasonable efforts to protect the confidentiality of Confidential Information.</w:t>
      </w:r>
    </w:p>
    <w:p>
      <w:pPr>
        <w:pStyle w:val="TextBody"/>
        <w:bidi w:val="0"/>
        <w:spacing w:before="0" w:after="160"/>
        <w:jc w:val="left"/>
        <w:rPr/>
      </w:pPr>
      <w:r>
        <w:rPr/>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(d)    Employee agrees that at the cessation of Employee's employment Employee will return to the Company immediately any Company property, whether or not the property contains Confidential Information, in Employee's possession, custody or control. Employee further agrees that upon termination of Employee's employment for any reason: (I) Employee will immediately return to the Company all materials, including but not limited to electronic files, documents, copies and derivatives, which contain Confidential Information; (ii) Employee will not retain any copies or derivatives of any such materials; and (iii) Employee will not use or disclose Confidential Information after Employee's separation of employment with the Company.</w:t>
      </w:r>
    </w:p>
    <w:p>
      <w:pPr>
        <w:pStyle w:val="TextBody"/>
        <w:bidi w:val="0"/>
        <w:spacing w:before="0" w:after="0"/>
        <w:jc w:val="right"/>
        <w:rPr/>
      </w:pPr>
      <w:r>
        <w:rPr/>
        <w:drawing>
          <wp:inline distT="0" distB="0" distL="0" distR="0">
            <wp:extent cx="1390650" cy="542925"/>
            <wp:effectExtent l="0" t="0" r="0" b="0"/>
            <wp:docPr id="6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8" descr=""/>
                    <pic:cNvPicPr>
                      <a:picLocks noChangeAspect="1" noChangeArrowheads="1"/>
                    </pic:cNvPicPr>
                  </pic:nvPicPr>
                  <pic:blipFill>
                    <a:blip r:embed="rId11"/>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1"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(e)    If, following Employee's employment with the Company, Employee is requested or required (by oral questions, interrogatories, requests for information or documents, subpoena, civil investigative demand or other process) to disclose Confidential Information, Employee will immediately notify the Company of such request or requirement so that the Company may take any action deemed by the Company to be necessary or advisable to protect the confidentiality of the Confidential Information. Unless the Company waives the protections of this Agreement in writing, Employee agrees to cooperate with the Company at the Company's sole expense to protect the confidentiality of the Confidential Information and to cooperate fully with the Company's efforts to protect the confidentiality of the Confidential Information.</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(f)    Notwithstanding anything to the contrary in this Agreement or otherwise, as provided for in the Defend Trade Secrets Act of 2016 (18 U.S.C. § 1833(b)),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Without limiting the foregoing, if Employee files a lawsuit for retaliation by Employer for reporting a suspected violation of law, Employee may disclose the trade secret to his or her attorney and use the trade secret information in the court proceeding, if Employee (x) files any document containing the trade secret under seal, and (y) does not disclose the trade secret, except pursuant to court order.</w:t>
      </w:r>
    </w:p>
    <w:p>
      <w:pPr>
        <w:pStyle w:val="TextBody"/>
        <w:bidi w:val="0"/>
        <w:spacing w:lineRule="auto" w:line="300" w:before="0" w:after="160"/>
        <w:jc w:val="left"/>
        <w:rPr/>
      </w:pPr>
      <w:r>
        <w:rPr>
          <w:rFonts w:ascii="Arial;sans-serif" w:hAnsi="Arial;sans-serif"/>
          <w:b w:val="false"/>
          <w:color w:val="000000"/>
          <w:sz w:val="22"/>
        </w:rPr>
        <w:t>6.    </w:t>
      </w:r>
      <w:r>
        <w:rPr>
          <w:rFonts w:ascii="Arial;sans-serif" w:hAnsi="Arial;sans-serif"/>
          <w:b/>
          <w:color w:val="000000"/>
          <w:sz w:val="22"/>
          <w:u w:val="single"/>
        </w:rPr>
        <w:t>INVENTIONS AND ASSIGNMENT OF INVENTIONS</w:t>
      </w:r>
      <w:r>
        <w:rPr>
          <w:color w:val="000000"/>
        </w:rPr>
        <w:t xml:space="preserve"> </w:t>
      </w:r>
      <w:r>
        <w:rPr>
          <w:rFonts w:ascii="Arial;sans-serif" w:hAnsi="Arial;sans-serif"/>
          <w:b w:val="false"/>
          <w:color w:val="000000"/>
          <w:sz w:val="22"/>
        </w:rPr>
        <w:t>- Employee shall promptly disclose to the Company any and all intellectual property, discoveries, inventions, technological innovations, improvements and copyrightable works conceived or made by Employee, solely or jointly, during Employee's employment with the Company whether or not conceived or made during working hours, relating in any manner to the business, business plans, or development plans of the Company. All such discoveries, inventions, technological innovations, improvements and copyrightable works, whether patentable or not patentable, shall be the exclusive property of the Company with respect to any and all countries. At the request and expense of the Company, at any time during Employee's employment or thereafter, Employee shall perform all lawful acts and execute, acknowledge and deliver all such instruments deemed necessary or desirable by the Company to vest or maintain in the Company all right, title and interest in and to such discoveries, inventions, technological innovations, improvements and copyrightable works recited in this section and to enable the Company to prepare, file and prosecute applications for patents and copyrights thereon in any and all countries selected by the Company, including renewals and reissues thereof, and to obtain or record sole and exclusive title to such applications, patents and copyrights for any and all said countries. To the extent to which work performed under this Agreement is eligible to be deemed "work for hire" for purposes of the United States Copyright laws, the parties intend for it to be work for hire.</w:t>
      </w:r>
    </w:p>
    <w:p>
      <w:pPr>
        <w:pStyle w:val="TextBody"/>
        <w:bidi w:val="0"/>
        <w:spacing w:lineRule="auto" w:line="300" w:before="0" w:after="160"/>
        <w:jc w:val="left"/>
        <w:rPr/>
      </w:pPr>
      <w:r>
        <w:rPr>
          <w:rFonts w:ascii="Arial;sans-serif" w:hAnsi="Arial;sans-serif"/>
          <w:b w:val="false"/>
          <w:color w:val="000000"/>
          <w:sz w:val="22"/>
        </w:rPr>
        <w:t>7.    </w:t>
      </w:r>
      <w:r>
        <w:rPr>
          <w:rFonts w:ascii="Arial;sans-serif" w:hAnsi="Arial;sans-serif"/>
          <w:b/>
          <w:color w:val="000000"/>
          <w:sz w:val="22"/>
          <w:u w:val="single"/>
        </w:rPr>
        <w:t>EMPLOYEE RESPONSIBILITIES AND RESTRICTIVE COVENANTS</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    Employee agrees that, during Employee's employment with the Company, and for a period of one (1) year after the end of Employee's employment with the Company for any reason, Employee will not directly or indirectly, in any capacity, whether as an owner, shareholder, agent, employee, independent contractor, partner, officer, director or ,n any other capacity, work for or perform services for a Competitor in the Territory. For purposes of this Agreement, "Competitor" means any business which manufactures, produces, sells or markets </w:t>
      </w:r>
    </w:p>
    <w:p>
      <w:pPr>
        <w:pStyle w:val="TextBody"/>
        <w:bidi w:val="0"/>
        <w:spacing w:before="0" w:after="0"/>
        <w:jc w:val="right"/>
        <w:rPr/>
      </w:pPr>
      <w:r>
        <w:rPr/>
        <w:drawing>
          <wp:inline distT="0" distB="0" distL="0" distR="0">
            <wp:extent cx="1390650" cy="542925"/>
            <wp:effectExtent l="0" t="0" r="0" b="0"/>
            <wp:docPr id="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9" descr=""/>
                    <pic:cNvPicPr>
                      <a:picLocks noChangeAspect="1" noChangeArrowheads="1"/>
                    </pic:cNvPicPr>
                  </pic:nvPicPr>
                  <pic:blipFill>
                    <a:blip r:embed="rId12"/>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3"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products or services that are competitive with the Company's Business, and/or that are competitive with any Company products or services: (i) that Employee worked with, sold, developed, marketed or handled; (i1) about which Employee had access to trade secrets or confidential information; or (iii) for which Employee provided shared services support, at any time during the last 24 months of Employee's employment with the Company. "Territory'' means any geographic area in which the Company sells or markets the products or services or operates the business identified in the previous sentence at the time Employee's employment with the Company ends.</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(b)    Employee agrees that, during Employee's employment with the Company, and for a period of one (1) year after the end of Employee's employment with the Company for any reason, Employee will not directly or indirectly, in any capacity, whether as an owner, shareholder, agent, employee, independent contractor, partner, officer, director or in any other capacity, (a) solicit, request, or induce any of the Company's customers to curtail, terminate or diminish their business activities with the Company, or (b) solicit or accept business from any of the Company's customers on Employee's own behalf or on behalf of any third party or entity. This restriction applies only to customers with whom Employee had contact or otherwise had responsibility for at any time during the twelve month period immediately preceding the end of Employee's employment with the Company.</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(c)    Employee agrees that, for a period of one (1) year after the end of Employee's employment with the Company, Employee will not solicit, seek to employ, induce or attempt to induce to leave the Company, or seek to retain the services of, any person who was employed by the Company or affiliated as an independent contractor with the Company during Employee's last six (6) months of employment with the Company.</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(d)    Employee agrees that, for a period of one (1) year after the end of Employee's employment with the Company, Employee will promptly inform the Company in writing of any employment and/or business affiliations that Employee has with any individual, company or entity which is offering or planning to offer a service or product in competition with the Company. This information must include: (i) the name and address of the individual, business or business entity with which Employee has such a relationship; and (ii) the specific nature of Employee's business-related activities performed for or in connection with that individual, business or business entity. In addition, at the Company's request, Employee agrees to provide any and all additional information the Company reasonably believes to be necessary for the Company to determine if Employee is complying with Employee's obligations under this Agreement.</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(e)    The Company and Employee agree that the restrictions in this Paragraph 7 are not intended to, and do not, prevent ownership of up to 5% or $100,000, whichever is less, of any class of equity or debt securities of a competitive entity that is traded on a national security exchange.</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(f)    Employee acknowledges and agrees that the restrictions ,n this Paragraph are reasonable and necessary for the protection of the Company's legitimate business interests. Employee also acknowledges that these restrictions are reasonable in their restrictive effect, and that Employee expects to remain employable and able to earn a livelihood while abiding by the restrictions.</w:t>
      </w:r>
    </w:p>
    <w:p>
      <w:pPr>
        <w:pStyle w:val="TextBody"/>
        <w:bidi w:val="0"/>
        <w:spacing w:before="0" w:after="0"/>
        <w:jc w:val="right"/>
        <w:rPr/>
      </w:pPr>
      <w:r>
        <w:rPr/>
        <w:drawing>
          <wp:inline distT="0" distB="0" distL="0" distR="0">
            <wp:extent cx="1390650" cy="542925"/>
            <wp:effectExtent l="0" t="0" r="0" b="0"/>
            <wp:docPr id="6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0" descr=""/>
                    <pic:cNvPicPr>
                      <a:picLocks noChangeAspect="1" noChangeArrowheads="1"/>
                    </pic:cNvPicPr>
                  </pic:nvPicPr>
                  <pic:blipFill>
                    <a:blip r:embed="rId13"/>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(g)    Employee further acknowledges that Employee has received good and valuable consideration to which Employee would not otherwise be entitled in return for agreeing to the restrictions in this Agreement, and will continue to receive such consideration in the future. By way of example (but not limitation}, this consideration may include continued employment with the Company, salary increases and bonuses, continued participation in the Company's various benefits plans, access to confidential information and customer accounts, and other opportunities for training and advancement within the Company. Employee also acknowledges that these restrictions are an integral and essential part of this Agreement and are a necessary condition of Employee's continued employment with the Company.</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(h)     Employee agrees that a breach of the restrictions in this Agreement will cause irreparable injury to the Company, and that money damages for such a breach would be difficult or impossible to calculate, and would therefore fail to provide an adequate and complete remedy. Therefore, Employee agrees that the Company shall be entitled to enforce this Agreement by specific performance and/or to enjoin Employee from activities in violation of this Agreement.</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(i)    Employee agrees that if any of the restrictions above are held to be overbroad and/or unreasonable in duration or scope, the court or arbitrator responsible for such a determination shall have the power to reduce or limit the restrictions and to enforce the modified restrictions in revised form.</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(j)    Employee agrees that Employee intends to be legally bound by this Agreement and its restrictions, that Employee has had a full and fair opportunity to review the Agreement before deciding whether to sign and execute it, and that Employee has had the opportunity to consult with Employee's attorneys regarding the terms and restrictions herein.</w:t>
      </w:r>
    </w:p>
    <w:p>
      <w:pPr>
        <w:pStyle w:val="TextBody"/>
        <w:bidi w:val="0"/>
        <w:spacing w:lineRule="auto" w:line="300" w:before="0" w:after="160"/>
        <w:ind w:left="0" w:right="0" w:firstLine="720"/>
        <w:jc w:val="left"/>
        <w:rPr>
          <w:rFonts w:ascii="Arial;sans-serif" w:hAnsi="Arial;sans-serif"/>
          <w:b w:val="false"/>
          <w:color w:val="000000"/>
          <w:sz w:val="22"/>
        </w:rPr>
      </w:pPr>
      <w:r>
        <w:rPr>
          <w:rFonts w:ascii="Arial;sans-serif" w:hAnsi="Arial;sans-serif"/>
          <w:b w:val="false"/>
          <w:color w:val="000000"/>
          <w:sz w:val="22"/>
        </w:rPr>
        <w:t>(k)     It is understood and agreed that Paragraphs 7(a) and 7(b} of the Agreement shall have no force and effect in any jurisdiction where the restrictions in these paragraphs are legally unenforceable or otherwise prohibited.</w:t>
      </w:r>
    </w:p>
    <w:p>
      <w:pPr>
        <w:pStyle w:val="TextBody"/>
        <w:bidi w:val="0"/>
        <w:spacing w:lineRule="auto" w:line="300" w:before="0" w:after="160"/>
        <w:jc w:val="left"/>
        <w:rPr/>
      </w:pPr>
      <w:r>
        <w:rPr>
          <w:rFonts w:ascii="Arial;sans-serif" w:hAnsi="Arial;sans-serif"/>
          <w:b w:val="false"/>
          <w:color w:val="000000"/>
          <w:sz w:val="22"/>
        </w:rPr>
        <w:t>8.    </w:t>
      </w:r>
      <w:r>
        <w:rPr>
          <w:rFonts w:ascii="Arial;sans-serif" w:hAnsi="Arial;sans-serif"/>
          <w:b/>
          <w:color w:val="000000"/>
          <w:sz w:val="22"/>
          <w:u w:val="single"/>
        </w:rPr>
        <w:t>INJUNCTIVE RELIEF</w:t>
      </w:r>
      <w:r>
        <w:rPr>
          <w:color w:val="000000"/>
        </w:rPr>
        <w:t xml:space="preserve"> </w:t>
      </w:r>
      <w:r>
        <w:rPr>
          <w:rFonts w:ascii="Arial;sans-serif" w:hAnsi="Arial;sans-serif"/>
          <w:b w:val="false"/>
          <w:color w:val="000000"/>
          <w:sz w:val="22"/>
        </w:rPr>
        <w:t>- Employee acknowledges that the provisions of Paragraphs 5 through 7 are reasonable and necessary for the protection of the Company and that the Company will be irreparably damaged if such covenants are not specifically enforced. Accordingly, Employee agrees that, in addition to any other relief or remedies available to the Company, the Company shall be entitled to seek and obtain an appropriate injunction or other equitable remedy from any court of competent jurisdiction for the purposes of restraining Employee from any actual or threatened breach of such covenants, and no bond or securities will be required in connection therewith. If Employee breaches any of the covenants set forth in Paragraph 7 of this Agreement, and the Company proves Employee's breach in a forum of competent jurisdiction and/or the Company is awarded a permanent or temporary injunction against Employee's continuing breach, or damages arising from said breach, the length of the restricted periods in Paragraphs 7(a), 7(b) and 7(c) of his Agreement shall be extended to continue for an additional period of time equal to the length of time that Employee was shown to be in breach of any of the restrictions in Paragraph 7.</w:t>
      </w:r>
    </w:p>
    <w:p>
      <w:pPr>
        <w:pStyle w:val="TextBody"/>
        <w:bidi w:val="0"/>
        <w:spacing w:lineRule="auto" w:line="300" w:before="0" w:after="160"/>
        <w:jc w:val="left"/>
        <w:rPr/>
      </w:pPr>
      <w:r>
        <w:rPr>
          <w:rFonts w:ascii="Arial;sans-serif" w:hAnsi="Arial;sans-serif"/>
          <w:b w:val="false"/>
          <w:color w:val="000000"/>
          <w:sz w:val="22"/>
        </w:rPr>
        <w:t>9.    </w:t>
      </w:r>
      <w:r>
        <w:rPr>
          <w:rFonts w:ascii="Arial;sans-serif" w:hAnsi="Arial;sans-serif"/>
          <w:b/>
          <w:color w:val="000000"/>
          <w:sz w:val="22"/>
          <w:u w:val="single"/>
        </w:rPr>
        <w:t>NO PRIOR AGREEMENTS</w:t>
      </w:r>
      <w:r>
        <w:rPr>
          <w:color w:val="000000"/>
        </w:rPr>
        <w:t xml:space="preserve"> </w:t>
      </w:r>
      <w:r>
        <w:rPr>
          <w:rFonts w:ascii="Arial;sans-serif" w:hAnsi="Arial;sans-serif"/>
          <w:b w:val="false"/>
          <w:color w:val="000000"/>
          <w:sz w:val="22"/>
        </w:rPr>
        <w:t xml:space="preserve">- Employee represents that Employee is not a party to or otherwise subject to or bound by terms of any contract, agreement or understanding which in any manner would limit or otherwise affect Employee's ability to perform Employee's obligations </w:t>
      </w:r>
    </w:p>
    <w:p>
      <w:pPr>
        <w:pStyle w:val="TextBody"/>
        <w:bidi w:val="0"/>
        <w:spacing w:before="0" w:after="0"/>
        <w:jc w:val="right"/>
        <w:rPr/>
      </w:pPr>
      <w:r>
        <w:rPr/>
        <w:drawing>
          <wp:inline distT="0" distB="0" distL="0" distR="0">
            <wp:extent cx="1390650" cy="542925"/>
            <wp:effectExtent l="0" t="0" r="0" b="0"/>
            <wp:docPr id="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1" descr=""/>
                    <pic:cNvPicPr>
                      <a:picLocks noChangeAspect="1" noChangeArrowheads="1"/>
                    </pic:cNvPicPr>
                  </pic:nvPicPr>
                  <pic:blipFill>
                    <a:blip r:embed="rId14"/>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hereunder, including without limitation any contract, agreement or understanding containing terms and provisions similar in any manner to those contained in Paragraph 7 hereof. Employee further represents and warrants that Employee's employment with the Company will not require Employee to disclose or use any confidential information belonging to prior employers or other persons or entities.</w:t>
      </w:r>
    </w:p>
    <w:p>
      <w:pPr>
        <w:pStyle w:val="TextBody"/>
        <w:bidi w:val="0"/>
        <w:spacing w:lineRule="auto" w:line="300" w:before="0" w:after="160"/>
        <w:jc w:val="left"/>
        <w:rPr/>
      </w:pPr>
      <w:r>
        <w:rPr>
          <w:rFonts w:ascii="Arial;sans-serif" w:hAnsi="Arial;sans-serif"/>
          <w:b w:val="false"/>
          <w:color w:val="000000"/>
          <w:sz w:val="22"/>
        </w:rPr>
        <w:t>10.    </w:t>
      </w:r>
      <w:r>
        <w:rPr>
          <w:rFonts w:ascii="Arial;sans-serif" w:hAnsi="Arial;sans-serif"/>
          <w:b/>
          <w:color w:val="000000"/>
          <w:sz w:val="22"/>
          <w:u w:val="single"/>
        </w:rPr>
        <w:t>CORPORATE OPPORTUNITIES</w:t>
      </w:r>
      <w:r>
        <w:rPr>
          <w:color w:val="000000"/>
        </w:rPr>
        <w:t xml:space="preserve"> </w:t>
      </w:r>
      <w:r>
        <w:rPr>
          <w:rFonts w:ascii="Arial;sans-serif" w:hAnsi="Arial;sans-serif"/>
          <w:b w:val="false"/>
          <w:color w:val="000000"/>
          <w:sz w:val="22"/>
        </w:rPr>
        <w:t>- Employee acknowledges that Employee is obligated to disclose to the Company all business opportunities, potential business opportunities, recruiting opportunities, and/or potential recruiting opportunities that Employee becomes aware of during the course of Employee's employment with the Company so that the Company has the option of pursuing these opportunities or potential opportunities at its discretion. Employee shall not take any action to exploit a Company opportunity or potential opportunity that Employee becomes aware of during the course of Employee's employment for Employee's personal benefit or for the benefit of anyone other than the Company.</w:t>
      </w:r>
    </w:p>
    <w:p>
      <w:pPr>
        <w:pStyle w:val="TextBody"/>
        <w:bidi w:val="0"/>
        <w:spacing w:lineRule="auto" w:line="300" w:before="0" w:after="160"/>
        <w:jc w:val="left"/>
        <w:rPr/>
      </w:pPr>
      <w:r>
        <w:rPr>
          <w:rFonts w:ascii="Arial;sans-serif" w:hAnsi="Arial;sans-serif"/>
          <w:b w:val="false"/>
          <w:color w:val="000000"/>
          <w:sz w:val="22"/>
        </w:rPr>
        <w:t>11.    </w:t>
      </w:r>
      <w:r>
        <w:rPr>
          <w:rFonts w:ascii="Arial;sans-serif" w:hAnsi="Arial;sans-serif"/>
          <w:b/>
          <w:color w:val="000000"/>
          <w:sz w:val="22"/>
          <w:u w:val="single"/>
        </w:rPr>
        <w:t>REPRESENTATION</w:t>
      </w:r>
      <w:r>
        <w:rPr>
          <w:color w:val="000000"/>
        </w:rPr>
        <w:t xml:space="preserve"> </w:t>
      </w:r>
      <w:r>
        <w:rPr>
          <w:rFonts w:ascii="Arial;sans-serif" w:hAnsi="Arial;sans-serif"/>
          <w:b w:val="false"/>
          <w:color w:val="000000"/>
          <w:sz w:val="22"/>
        </w:rPr>
        <w:t>- Employee represents that Employee's experience and capabilities are such that the provisions of Paragraph 7 will not prevent Employee from earning a livelihood, and acknowledges that it would cause the Company serious and irreparable injury and cost if Employee were to use Employee's ability and knowledge in competition with the Company in violation of the provisions of Paragraph 7 or to otherwise breach the obligations contained in Paragraph 7.</w:t>
      </w:r>
    </w:p>
    <w:p>
      <w:pPr>
        <w:pStyle w:val="TextBody"/>
        <w:bidi w:val="0"/>
        <w:spacing w:lineRule="auto" w:line="300" w:before="0" w:after="160"/>
        <w:jc w:val="left"/>
        <w:rPr/>
      </w:pPr>
      <w:r>
        <w:rPr>
          <w:rFonts w:ascii="Arial;sans-serif" w:hAnsi="Arial;sans-serif"/>
          <w:b w:val="false"/>
          <w:color w:val="000000"/>
          <w:sz w:val="22"/>
        </w:rPr>
        <w:t>12.    </w:t>
      </w:r>
      <w:r>
        <w:rPr>
          <w:rFonts w:ascii="Arial;sans-serif" w:hAnsi="Arial;sans-serif"/>
          <w:b/>
          <w:color w:val="000000"/>
          <w:sz w:val="22"/>
          <w:u w:val="single"/>
        </w:rPr>
        <w:t>COVENANTS OF THE ESSENCE</w:t>
      </w:r>
      <w:r>
        <w:rPr>
          <w:color w:val="000000"/>
        </w:rPr>
        <w:t xml:space="preserve"> </w:t>
      </w:r>
      <w:r>
        <w:rPr>
          <w:rFonts w:ascii="Arial;sans-serif" w:hAnsi="Arial;sans-serif"/>
          <w:b w:val="false"/>
          <w:color w:val="000000"/>
          <w:sz w:val="22"/>
        </w:rPr>
        <w:t>- The covenants set forth in Paragraphs 5 through 7 are of the essence of this Agreement; they shall be construed as independent of any other provisions in this Agreement; and the existence of any claim or cause of action by Employee against the Company, whether predicated on this Agreement or not, shall not constitute a defense to the enforcement by the Company of these covenants.</w:t>
      </w:r>
    </w:p>
    <w:p>
      <w:pPr>
        <w:pStyle w:val="TextBody"/>
        <w:bidi w:val="0"/>
        <w:spacing w:lineRule="auto" w:line="300" w:before="0" w:after="160"/>
        <w:jc w:val="left"/>
        <w:rPr/>
      </w:pPr>
      <w:r>
        <w:rPr>
          <w:rFonts w:ascii="Arial;sans-serif" w:hAnsi="Arial;sans-serif"/>
          <w:b w:val="false"/>
          <w:color w:val="000000"/>
          <w:sz w:val="22"/>
        </w:rPr>
        <w:t>13.    </w:t>
      </w:r>
      <w:r>
        <w:rPr>
          <w:rFonts w:ascii="Arial;sans-serif" w:hAnsi="Arial;sans-serif"/>
          <w:b/>
          <w:color w:val="000000"/>
          <w:sz w:val="22"/>
          <w:u w:val="single"/>
        </w:rPr>
        <w:t>ENFORCEABILITY OF COVENANTS</w:t>
      </w:r>
      <w:r>
        <w:rPr>
          <w:color w:val="000000"/>
        </w:rPr>
        <w:t xml:space="preserve"> </w:t>
      </w:r>
      <w:r>
        <w:rPr>
          <w:rFonts w:ascii="Arial;sans-serif" w:hAnsi="Arial;sans-serif"/>
          <w:b w:val="false"/>
          <w:color w:val="000000"/>
          <w:sz w:val="22"/>
        </w:rPr>
        <w:t>- The restrictive covenants contained in Paragraphs 5 through 7 of this Agreement shall be enforceable by the Company regardless of the reason for Employee's termination from employment from the Company or whether Employee's termination is initiated by Employee or is initiated by the Company, and shall survive the termination of Employee's employment.</w:t>
      </w:r>
    </w:p>
    <w:p>
      <w:pPr>
        <w:pStyle w:val="TextBody"/>
        <w:bidi w:val="0"/>
        <w:spacing w:before="0" w:after="160"/>
        <w:jc w:val="left"/>
        <w:rPr/>
      </w:pPr>
      <w:r>
        <w:rPr/>
      </w:r>
    </w:p>
    <w:p>
      <w:pPr>
        <w:pStyle w:val="TextBody"/>
        <w:bidi w:val="0"/>
        <w:spacing w:lineRule="auto" w:line="300" w:before="0" w:after="160"/>
        <w:jc w:val="left"/>
        <w:rPr/>
      </w:pPr>
      <w:r>
        <w:rPr>
          <w:rFonts w:ascii="Arial;sans-serif" w:hAnsi="Arial;sans-serif"/>
          <w:b w:val="false"/>
          <w:color w:val="000000"/>
          <w:sz w:val="22"/>
        </w:rPr>
        <w:t>14.    </w:t>
      </w:r>
      <w:r>
        <w:rPr>
          <w:rFonts w:ascii="Arial;sans-serif" w:hAnsi="Arial;sans-serif"/>
          <w:b/>
          <w:color w:val="000000"/>
          <w:sz w:val="22"/>
          <w:u w:val="single"/>
        </w:rPr>
        <w:t>SERVICE OF PROCESS</w:t>
      </w:r>
      <w:r>
        <w:rPr>
          <w:color w:val="000000"/>
        </w:rPr>
        <w:t xml:space="preserve"> </w:t>
      </w:r>
      <w:r>
        <w:rPr>
          <w:rFonts w:ascii="Arial;sans-serif" w:hAnsi="Arial;sans-serif"/>
          <w:b w:val="false"/>
          <w:color w:val="000000"/>
          <w:sz w:val="22"/>
        </w:rPr>
        <w:t>- Employee hereby irrevocably consents to the service of any summons and complaint and any other process which may be served in any action or proceeding arising out of or related to this Agreement by the mailing by certified or registered mail of copies of such process to Employee at Employee's address as set forth on this Agreement, or such other address that Employee may give to the Company's Human Relations Department as Employee's home address.</w:t>
      </w:r>
    </w:p>
    <w:p>
      <w:pPr>
        <w:pStyle w:val="TextBody"/>
        <w:bidi w:val="0"/>
        <w:spacing w:lineRule="auto" w:line="300" w:before="0" w:after="160"/>
        <w:jc w:val="left"/>
        <w:rPr/>
      </w:pPr>
      <w:r>
        <w:rPr>
          <w:rFonts w:ascii="Arial;sans-serif" w:hAnsi="Arial;sans-serif"/>
          <w:b w:val="false"/>
          <w:color w:val="000000"/>
          <w:sz w:val="22"/>
        </w:rPr>
        <w:t>15.    </w:t>
      </w:r>
      <w:r>
        <w:rPr>
          <w:rFonts w:ascii="Arial;sans-serif" w:hAnsi="Arial;sans-serif"/>
          <w:b/>
          <w:color w:val="000000"/>
          <w:sz w:val="22"/>
          <w:u w:val="single"/>
        </w:rPr>
        <w:t>SEVERABILITY</w:t>
      </w:r>
      <w:r>
        <w:rPr>
          <w:color w:val="000000"/>
        </w:rPr>
        <w:t xml:space="preserve"> </w:t>
      </w:r>
      <w:r>
        <w:rPr>
          <w:rFonts w:ascii="Arial;sans-serif" w:hAnsi="Arial;sans-serif"/>
          <w:b w:val="false"/>
          <w:color w:val="000000"/>
          <w:sz w:val="22"/>
        </w:rPr>
        <w:t xml:space="preserve">- If any word, term, provision or paragraph of this Agreement ,s determined by a court of competent jurisdiction to be invalid or unenforceable for any reason, such determination shall not affect the remaining words, terms, provisions or paragraphs of his Agreement, which shall continue to be given full force and effect. If any word, term, provision or paragraph of this Agreement is determined by a court of competent jurisdiction to be unenforceable, the parties hereby expressly agree that the court making such determination shall have the power to reduce the duration and/or restrict the scope of such term, provision or </w:t>
      </w:r>
    </w:p>
    <w:p>
      <w:pPr>
        <w:pStyle w:val="TextBody"/>
        <w:bidi w:val="0"/>
        <w:spacing w:before="0" w:after="0"/>
        <w:jc w:val="right"/>
        <w:rPr/>
      </w:pPr>
      <w:r>
        <w:rPr/>
        <w:drawing>
          <wp:inline distT="0" distB="0" distL="0" distR="0">
            <wp:extent cx="1390650" cy="542925"/>
            <wp:effectExtent l="0" t="0" r="0" b="0"/>
            <wp:docPr id="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2" descr=""/>
                    <pic:cNvPicPr>
                      <a:picLocks noChangeAspect="1" noChangeArrowheads="1"/>
                    </pic:cNvPicPr>
                  </pic:nvPicPr>
                  <pic:blipFill>
                    <a:blip r:embed="rId15"/>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paragraph and/or delete or modify such specific words or phrases which the court shall deem necessary to permit enforcement of the remainder of this Agreement and such word, term, provision or paragraph in restricted form.</w:t>
      </w:r>
    </w:p>
    <w:p>
      <w:pPr>
        <w:pStyle w:val="TextBody"/>
        <w:bidi w:val="0"/>
        <w:spacing w:lineRule="auto" w:line="300" w:before="0" w:after="160"/>
        <w:jc w:val="left"/>
        <w:rPr/>
      </w:pPr>
      <w:r>
        <w:rPr>
          <w:rFonts w:ascii="Arial;sans-serif" w:hAnsi="Arial;sans-serif"/>
          <w:b w:val="false"/>
          <w:color w:val="000000"/>
          <w:sz w:val="22"/>
        </w:rPr>
        <w:t>16.    </w:t>
      </w:r>
      <w:r>
        <w:rPr>
          <w:rFonts w:ascii="Arial;sans-serif" w:hAnsi="Arial;sans-serif"/>
          <w:b/>
          <w:color w:val="000000"/>
          <w:sz w:val="22"/>
          <w:u w:val="single"/>
        </w:rPr>
        <w:t>WAIVER OF BREACH; SELECTIVE ENFORCEMENT</w:t>
      </w:r>
      <w:r>
        <w:rPr>
          <w:color w:val="000000"/>
        </w:rPr>
        <w:t xml:space="preserve"> </w:t>
      </w:r>
      <w:r>
        <w:rPr>
          <w:rFonts w:ascii="Arial;sans-serif" w:hAnsi="Arial;sans-serif"/>
          <w:b w:val="false"/>
          <w:color w:val="000000"/>
          <w:sz w:val="22"/>
        </w:rPr>
        <w:t>- The waiver by the Company of Employee's breach of any provision or covenant of this Agreement shall not operate or be construed as a waiver of any subsequent breach by Employee of the same or a different provision. Selective enforcement of this type of Agreement against some persons and not others shall in no way be construed as affecting the enforceability of this Agreement with Employee, or be construed in any way against the Company.</w:t>
      </w:r>
    </w:p>
    <w:p>
      <w:pPr>
        <w:pStyle w:val="TextBody"/>
        <w:bidi w:val="0"/>
        <w:spacing w:lineRule="auto" w:line="300" w:before="0" w:after="160"/>
        <w:jc w:val="left"/>
        <w:rPr/>
      </w:pPr>
      <w:r>
        <w:rPr>
          <w:rFonts w:ascii="Arial;sans-serif" w:hAnsi="Arial;sans-serif"/>
          <w:b w:val="false"/>
          <w:color w:val="000000"/>
          <w:sz w:val="22"/>
        </w:rPr>
        <w:t>17.    </w:t>
      </w:r>
      <w:r>
        <w:rPr>
          <w:rFonts w:ascii="Arial;sans-serif" w:hAnsi="Arial;sans-serif"/>
          <w:b/>
          <w:color w:val="000000"/>
          <w:sz w:val="22"/>
          <w:u w:val="single"/>
        </w:rPr>
        <w:t>ENTIRE AGREEMENT</w:t>
      </w:r>
      <w:r>
        <w:rPr>
          <w:rFonts w:ascii="Arial;sans-serif" w:hAnsi="Arial;sans-serif"/>
          <w:b w:val="false"/>
          <w:color w:val="000000"/>
          <w:sz w:val="22"/>
        </w:rPr>
        <w:t>- This Agreement cancels and supersedes all prior oral or written agreements, if any, between the Company and Employee on any subjects related to this Agreement. No subsequent amendment, alteration, change or addition to this Agreement shall be binding upon the Company unless reduced to writing and signed by both parties hereto.</w:t>
      </w:r>
    </w:p>
    <w:p>
      <w:pPr>
        <w:pStyle w:val="TextBody"/>
        <w:bidi w:val="0"/>
        <w:spacing w:lineRule="auto" w:line="300" w:before="0" w:after="160"/>
        <w:jc w:val="left"/>
        <w:rPr/>
      </w:pPr>
      <w:r>
        <w:rPr>
          <w:rFonts w:ascii="Arial;sans-serif" w:hAnsi="Arial;sans-serif"/>
          <w:b w:val="false"/>
          <w:color w:val="000000"/>
          <w:sz w:val="22"/>
        </w:rPr>
        <w:t>18.    </w:t>
      </w:r>
      <w:r>
        <w:rPr>
          <w:rFonts w:ascii="Arial;sans-serif" w:hAnsi="Arial;sans-serif"/>
          <w:b/>
          <w:color w:val="000000"/>
          <w:sz w:val="22"/>
          <w:u w:val="single"/>
        </w:rPr>
        <w:t>ASSIGNMENT</w:t>
      </w:r>
      <w:r>
        <w:rPr>
          <w:color w:val="000000"/>
        </w:rPr>
        <w:t xml:space="preserve"> </w:t>
      </w:r>
      <w:r>
        <w:rPr>
          <w:rFonts w:ascii="Arial;sans-serif" w:hAnsi="Arial;sans-serif"/>
          <w:b w:val="false"/>
          <w:color w:val="000000"/>
          <w:sz w:val="22"/>
        </w:rPr>
        <w:t>- This Agreement is binding upon Employee's heirs, executors, administrators and other legal representatives and will inure to the benefit of the Company, its successors, and its assigns. In the event that the Company should consolidate, merge into another entity, transfer all or substantially all of its assets or operations to another entity, or divide its assets or operations among a number of entities, this Agreement shall continue in full force and effect with regard to the surviving entity and may be assigned by the Company if necessary to achieve that purpose. In addition, this Agreement and the Company's rights thereunder may be assigned to any entity acquiring business or assets from the Company. Employee's obligations under this Agreement are personal in nature and may not be assigned by Employee to any other person or entity.</w:t>
      </w:r>
    </w:p>
    <w:p>
      <w:pPr>
        <w:pStyle w:val="TextBody"/>
        <w:bidi w:val="0"/>
        <w:spacing w:lineRule="auto" w:line="300" w:before="0" w:after="160"/>
        <w:jc w:val="left"/>
        <w:rPr/>
      </w:pPr>
      <w:r>
        <w:rPr>
          <w:rFonts w:ascii="Arial;sans-serif" w:hAnsi="Arial;sans-serif"/>
          <w:b w:val="false"/>
          <w:color w:val="000000"/>
          <w:sz w:val="22"/>
        </w:rPr>
        <w:t>19.    </w:t>
      </w:r>
      <w:r>
        <w:rPr>
          <w:rFonts w:ascii="Arial;sans-serif" w:hAnsi="Arial;sans-serif"/>
          <w:b/>
          <w:color w:val="000000"/>
          <w:sz w:val="22"/>
          <w:u w:val="single"/>
        </w:rPr>
        <w:t>CHOICE OF LAW</w:t>
      </w:r>
      <w:r>
        <w:rPr>
          <w:color w:val="000000"/>
        </w:rPr>
        <w:t xml:space="preserve"> </w:t>
      </w:r>
      <w:r>
        <w:rPr>
          <w:rFonts w:ascii="Arial;sans-serif" w:hAnsi="Arial;sans-serif"/>
          <w:b w:val="false"/>
          <w:color w:val="000000"/>
          <w:sz w:val="22"/>
        </w:rPr>
        <w:t>- All questions concerning the execution of this Agreement and the rights and liabilities of the parties hereunder shall be decided in accordance with the internal laws of the state where employee primarily performed Employee's services for the Company during the last twelve (12) months of Employee's tenure with the Company.</w:t>
      </w:r>
    </w:p>
    <w:p>
      <w:pPr>
        <w:pStyle w:val="TextBody"/>
        <w:bidi w:val="0"/>
        <w:spacing w:before="0" w:after="160"/>
        <w:jc w:val="left"/>
        <w:rPr/>
      </w:pPr>
      <w:r>
        <w:rPr/>
      </w:r>
    </w:p>
    <w:p>
      <w:pPr>
        <w:pStyle w:val="TextBody"/>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[Signature page follows]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90650" cy="542925"/>
            <wp:effectExtent l="0" t="0" r="0" b="0"/>
            <wp:docPr id="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3" descr=""/>
                    <pic:cNvPicPr>
                      <a:picLocks noChangeAspect="1" noChangeArrowheads="1"/>
                    </pic:cNvPicPr>
                  </pic:nvPicPr>
                  <pic:blipFill>
                    <a:blip r:embed="rId16"/>
                    <a:stretch>
                      <a:fillRect/>
                    </a:stretch>
                  </pic:blipFill>
                  <pic:spPr bwMode="auto">
                    <a:xfrm>
                      <a:off x="0" y="0"/>
                      <a:ext cx="1390650" cy="542925"/>
                    </a:xfrm>
                    <a:prstGeom prst="rect">
                      <a:avLst/>
                    </a:prstGeom>
                  </pic:spPr>
                </pic:pic>
              </a:graphicData>
            </a:graphic>
          </wp:inline>
        </w:drawing>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AGREED, INTENDING TO BE LEGALLY BOUND:</w:t>
      </w:r>
    </w:p>
    <w:p>
      <w:pPr>
        <w:pStyle w:val="TextBody"/>
        <w:bidi w:val="0"/>
        <w:spacing w:before="0" w:after="160"/>
        <w:jc w:val="left"/>
        <w:rPr/>
      </w:pPr>
      <w:r>
        <w:rPr/>
      </w:r>
    </w:p>
    <w:p>
      <w:pPr>
        <w:pStyle w:val="TextBody"/>
        <w:bidi w:val="0"/>
        <w:spacing w:lineRule="auto" w:line="288" w:before="0" w:after="160"/>
        <w:jc w:val="left"/>
        <w:rPr>
          <w:rFonts w:ascii="Arial;sans-serif" w:hAnsi="Arial;sans-serif"/>
          <w:b w:val="false"/>
          <w:color w:val="000000"/>
          <w:sz w:val="22"/>
          <w:u w:val="single"/>
        </w:rPr>
      </w:pPr>
      <w:r>
        <w:rPr>
          <w:rFonts w:ascii="Arial;sans-serif" w:hAnsi="Arial;sans-serif"/>
          <w:b w:val="false"/>
          <w:color w:val="000000"/>
          <w:sz w:val="22"/>
          <w:u w:val="single"/>
        </w:rPr>
        <w:t>/s/ STEVE DASSING</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EMPLOYEE SIGNATURE</w:t>
      </w:r>
    </w:p>
    <w:p>
      <w:pPr>
        <w:pStyle w:val="TextBody"/>
        <w:bidi w:val="0"/>
        <w:spacing w:lineRule="auto" w:line="288" w:before="0" w:after="160"/>
        <w:jc w:val="left"/>
        <w:rPr/>
      </w:pPr>
      <w:r>
        <w:rPr>
          <w:rFonts w:ascii="Arial;sans-serif" w:hAnsi="Arial;sans-serif"/>
          <w:b w:val="false"/>
          <w:color w:val="000000"/>
          <w:sz w:val="22"/>
          <w:u w:val="single"/>
        </w:rPr>
        <w:t>Steve Dassing</w:t>
      </w:r>
      <w:r>
        <w:rPr>
          <w:color w:val="000000"/>
        </w:rPr>
        <w:t>    </w:t>
      </w:r>
    </w:p>
    <w:p>
      <w:pPr>
        <w:pStyle w:val="TextBody"/>
        <w:bidi w:val="0"/>
        <w:spacing w:lineRule="auto" w:line="288" w:before="0" w:after="160"/>
        <w:jc w:val="left"/>
        <w:rPr>
          <w:rFonts w:ascii="Arial;sans-serif" w:hAnsi="Arial;sans-serif"/>
          <w:b w:val="false"/>
          <w:color w:val="000000"/>
          <w:sz w:val="22"/>
        </w:rPr>
      </w:pPr>
      <w:r>
        <w:rPr>
          <w:rFonts w:ascii="Arial;sans-serif" w:hAnsi="Arial;sans-serif"/>
          <w:b w:val="false"/>
          <w:color w:val="000000"/>
          <w:sz w:val="22"/>
        </w:rPr>
        <w:t>PRINT NAME</w:t>
      </w:r>
    </w:p>
    <w:p>
      <w:pPr>
        <w:pStyle w:val="TextBody"/>
        <w:bidi w:val="0"/>
        <w:spacing w:lineRule="auto" w:line="288" w:before="0" w:after="160"/>
        <w:jc w:val="left"/>
        <w:rPr/>
      </w:pPr>
      <w:r>
        <w:rPr>
          <w:rFonts w:ascii="Arial;sans-serif" w:hAnsi="Arial;sans-serif"/>
          <w:b w:val="false"/>
          <w:color w:val="000000"/>
          <w:sz w:val="22"/>
        </w:rPr>
        <w:t xml:space="preserve">Address: </w:t>
      </w:r>
      <w:r>
        <w:rPr>
          <w:rFonts w:ascii="Arial;sans-serif" w:hAnsi="Arial;sans-serif"/>
          <w:b w:val="false"/>
          <w:color w:val="000000"/>
          <w:sz w:val="22"/>
          <w:u w:val="single"/>
        </w:rPr>
        <w:t>[REDACTED]</w:t>
      </w:r>
    </w:p>
    <w:p>
      <w:pPr>
        <w:pStyle w:val="TextBody"/>
        <w:bidi w:val="0"/>
        <w:spacing w:lineRule="auto" w:line="288" w:before="0" w:after="16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5/16/2022</w:t>
      </w: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2"/>
        </w:rPr>
      </w:pPr>
      <w:r>
        <w:rPr>
          <w:rFonts w:ascii="Arial;sans-serif" w:hAnsi="Arial;sans-serif"/>
          <w:b/>
          <w:color w:val="000000"/>
          <w:sz w:val="22"/>
        </w:rPr>
        <w:t>QUAKER HOUGHTON</w:t>
      </w:r>
    </w:p>
    <w:p>
      <w:pPr>
        <w:pStyle w:val="TextBody"/>
        <w:bidi w:val="0"/>
        <w:spacing w:lineRule="auto" w:line="288" w:before="0" w:after="160"/>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PAMELA DAKNIS</w:t>
      </w:r>
    </w:p>
    <w:p>
      <w:pPr>
        <w:pStyle w:val="TextBody"/>
        <w:bidi w:val="0"/>
        <w:spacing w:lineRule="auto" w:line="288" w:before="0" w:after="160"/>
        <w:jc w:val="left"/>
        <w:rPr/>
      </w:pPr>
      <w:r>
        <w:rPr>
          <w:rFonts w:ascii="Arial;sans-serif" w:hAnsi="Arial;sans-serif"/>
          <w:b w:val="false"/>
          <w:color w:val="000000"/>
          <w:sz w:val="22"/>
        </w:rPr>
        <w:t xml:space="preserve">Name: </w:t>
      </w:r>
      <w:r>
        <w:rPr>
          <w:rFonts w:ascii="Arial;sans-serif" w:hAnsi="Arial;sans-serif"/>
          <w:b w:val="false"/>
          <w:color w:val="000000"/>
          <w:sz w:val="22"/>
          <w:u w:val="single"/>
        </w:rPr>
        <w:t>Pamela Daknis</w:t>
      </w:r>
    </w:p>
    <w:p>
      <w:pPr>
        <w:pStyle w:val="TextBody"/>
        <w:bidi w:val="0"/>
        <w:spacing w:lineRule="auto" w:line="288" w:before="0" w:after="160"/>
        <w:jc w:val="left"/>
        <w:rPr/>
      </w:pPr>
      <w:r>
        <w:rPr>
          <w:rFonts w:ascii="Arial;sans-serif" w:hAnsi="Arial;sans-serif"/>
          <w:b w:val="false"/>
          <w:color w:val="000000"/>
          <w:sz w:val="22"/>
        </w:rPr>
        <w:t xml:space="preserve">Title: </w:t>
      </w:r>
      <w:r>
        <w:rPr>
          <w:rFonts w:ascii="Arial;sans-serif" w:hAnsi="Arial;sans-serif"/>
          <w:b w:val="false"/>
          <w:color w:val="000000"/>
          <w:sz w:val="22"/>
          <w:u w:val="single"/>
        </w:rPr>
        <w:t>VP, Human Resources</w:t>
      </w:r>
    </w:p>
    <w:p>
      <w:pPr>
        <w:pStyle w:val="TextBody"/>
        <w:bidi w:val="0"/>
        <w:spacing w:lineRule="auto" w:line="288" w:before="0" w:after="16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5/16/2022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OF THE COMPANY PURSUANT TO RULE 13a 14(a) 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A. Berquist,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Quaker Chemical Corporation;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78" w:type="dxa"/>
        <w:jc w:val="left"/>
        <w:tblInd w:w="0" w:type="dxa"/>
        <w:tblLayout w:type="fixed"/>
        <w:tblCellMar>
          <w:top w:w="28" w:type="dxa"/>
          <w:left w:w="28" w:type="dxa"/>
          <w:bottom w:w="28" w:type="dxa"/>
          <w:right w:w="28" w:type="dxa"/>
        </w:tblCellMar>
      </w:tblPr>
      <w:tblGrid>
        <w:gridCol w:w="726"/>
        <w:gridCol w:w="640"/>
        <w:gridCol w:w="643"/>
        <w:gridCol w:w="605"/>
        <w:gridCol w:w="605"/>
        <w:gridCol w:w="85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Joseph A. Berquist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OF THE COMPANY PURSUANT TO RULE 13a-14(a) OF THE SECURITIES EXCHANGE ACT OF 1934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Thomas Coler, certify that: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Quaker Chemical Corporation;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064" w:type="dxa"/>
        <w:jc w:val="left"/>
        <w:tblInd w:w="0" w:type="dxa"/>
        <w:tblLayout w:type="fixed"/>
        <w:tblCellMar>
          <w:top w:w="28" w:type="dxa"/>
          <w:left w:w="28" w:type="dxa"/>
          <w:bottom w:w="28" w:type="dxa"/>
          <w:right w:w="28" w:type="dxa"/>
        </w:tblCellMar>
      </w:tblPr>
      <w:tblGrid>
        <w:gridCol w:w="726"/>
        <w:gridCol w:w="640"/>
        <w:gridCol w:w="643"/>
        <w:gridCol w:w="602"/>
        <w:gridCol w:w="602"/>
        <w:gridCol w:w="85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Thomas Coler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certifies that the Form 10-Q Quarterly Report of Quaker Chemical Corporation (the “Company”) for the quarterly period ended September 30,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823" w:type="dxa"/>
        <w:jc w:val="left"/>
        <w:tblInd w:w="0" w:type="dxa"/>
        <w:tblLayout w:type="fixed"/>
        <w:tblCellMar>
          <w:top w:w="28" w:type="dxa"/>
          <w:left w:w="28" w:type="dxa"/>
          <w:bottom w:w="28" w:type="dxa"/>
          <w:right w:w="28" w:type="dxa"/>
        </w:tblCellMar>
      </w:tblPr>
      <w:tblGrid>
        <w:gridCol w:w="726"/>
        <w:gridCol w:w="640"/>
        <w:gridCol w:w="643"/>
        <w:gridCol w:w="1408"/>
        <w:gridCol w:w="1408"/>
        <w:gridCol w:w="199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481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Joseph A. Berquist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of Quaker Chemical Corporation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certifies that the Form 10-Q Quarterly Report of Quaker Chemical Corporation (the “Company”) for the quarterly period ended September 30,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763" w:type="dxa"/>
        <w:jc w:val="left"/>
        <w:tblInd w:w="0" w:type="dxa"/>
        <w:tblLayout w:type="fixed"/>
        <w:tblCellMar>
          <w:top w:w="28" w:type="dxa"/>
          <w:left w:w="28" w:type="dxa"/>
          <w:bottom w:w="28" w:type="dxa"/>
          <w:right w:w="28" w:type="dxa"/>
        </w:tblCellMar>
      </w:tblPr>
      <w:tblGrid>
        <w:gridCol w:w="726"/>
        <w:gridCol w:w="640"/>
        <w:gridCol w:w="643"/>
        <w:gridCol w:w="1392"/>
        <w:gridCol w:w="1392"/>
        <w:gridCol w:w="197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4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of Quaker Chemical Corporation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62/000008136219000013/exhibit31.htm" TargetMode="External"/><Relationship Id="rId3" Type="http://schemas.openxmlformats.org/officeDocument/2006/relationships/hyperlink" Target="https://www.sec.gov/Archives/edgar/data/81362/000110465922128616/tm2233147d1_ex3-1.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30381</Words>
  <Characters>171820</Characters>
  <CharactersWithSpaces>200349</CharactersWithSpaces>
  <Paragraphs>3436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