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2129.xml.htm"/>
      <w:bookmarkStart w:id="1" w:name="kswkform4_17804321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BAKHSHI NANDITA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E. HECTOR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CONSHOHOCKEN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19428-2380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QUAKER CHEMICAL CORP</w:t>
              </w:r>
            </w:hyperlink>
            <w:r>
              <w:rPr/>
              <w:t xml:space="preserve"> [ </w:t>
            </w:r>
            <w:r>
              <w:rPr>
                <w:rFonts w:ascii="Times;serif" w:hAnsi="Times;serif"/>
                <w:color w:val="0000FF"/>
                <w:sz w:val="24"/>
                <w:shd w:fill="FFFFFF" w:val="clear"/>
              </w:rPr>
              <w:t>KWR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413</w:t>
            </w:r>
            <w:r>
              <w:rPr>
                <w:rFonts w:ascii="Times;serif" w:hAnsi="Times;serif"/>
                <w:color w:val="008000"/>
                <w:position w:val="7"/>
                <w:sz w:val="16"/>
                <w:sz w:val="20"/>
                <w:shd w:fill="FFFFFF" w:val="clear"/>
              </w:rPr>
              <w:t>(3)</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145.24</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8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516"/>
        <w:gridCol w:w="606"/>
        <w:gridCol w:w="906"/>
        <w:gridCol w:w="801"/>
        <w:gridCol w:w="891"/>
        <w:gridCol w:w="681"/>
        <w:gridCol w:w="801"/>
        <w:gridCol w:w="93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975</w:t>
            </w:r>
            <w:r>
              <w:rPr>
                <w:rFonts w:ascii="Times;serif" w:hAnsi="Times;serif"/>
                <w:color w:val="008000"/>
                <w:position w:val="7"/>
                <w:sz w:val="16"/>
                <w:sz w:val="20"/>
                <w:shd w:fill="FFFFFF" w:val="clear"/>
              </w:rPr>
              <w:t>(6)</w:t>
            </w:r>
            <w:r>
              <w:rPr/>
              <w:t xml:space="preserve"> </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Settlement of dividend equivalent rights in connection with vesting of restricted stock unit. The rights accrued when and as dividends were paid on KWR common stock. Each dividend equivalent right was the economic equivalent of one share of KWR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75% of the Director's annual retainer paid in shares pursuant to the 2023 Director Stock Ownership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June 1, 2025, the reporting person was granted time-based restricted stock units that vested 100% on May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Time-based restricted stock units granted under the Company's Long-Term Performance Incentive Plan to Quaker Houghton's non-management directors as part of their 2026 compensation. Each restricted stock unit represents a contingent right to receive one share of KWR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stock units vest 100% on May 31, 2027. Dividend equivalent rights accrue with respect to these restricted stock units when and as dividends are paid on KWR's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Victoria K. Gehris, Attorney-in-Fact for Nandita Bakhshi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4624" TargetMode="External"/><Relationship Id="rId5" Type="http://schemas.openxmlformats.org/officeDocument/2006/relationships/hyperlink" Target="http://www.sec.gov/cgi-bin/browse-edgar?action=getcompany&amp;CIK=00000813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789</Words>
  <Characters>4219</Characters>
  <CharactersWithSpaces>4900</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