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220" w:type="dxa"/>
        <w:tblCellMar>
          <w:top w:w="0" w:type="dxa"/>
          <w:left w:w="0" w:type="dxa"/>
          <w:bottom w:w="0" w:type="dxa"/>
          <w:right w:w="0" w:type="dxa"/>
        </w:tblCellMar>
      </w:tblPr>
      <w:tr>
        <w:trPr>
          <w:trHeight w:val="204"/>
        </w:trPr>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rPr>
                <w:sz w:val="20"/>
                <w:szCs w:val="20"/>
                <w:color w:val="auto"/>
              </w:rPr>
            </w:pPr>
            <w:r>
              <w:rPr>
                <w:rFonts w:ascii="Courier New" w:cs="Courier New" w:eastAsia="Courier New" w:hAnsi="Courier New"/>
                <w:sz w:val="9"/>
                <w:szCs w:val="9"/>
                <w:color w:val="auto"/>
                <w:w w:val="71"/>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OMB</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APPROVAL  |</w:t>
            </w:r>
          </w:p>
        </w:tc>
      </w:tr>
      <w:tr>
        <w:trPr>
          <w:trHeight w:val="203"/>
        </w:trPr>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OMB</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3235-0145 |</w:t>
            </w:r>
          </w:p>
        </w:tc>
      </w:tr>
      <w:tr>
        <w:trPr>
          <w:trHeight w:val="203"/>
        </w:trPr>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rPr>
                <w:sz w:val="20"/>
                <w:szCs w:val="20"/>
                <w:color w:val="auto"/>
              </w:rPr>
            </w:pPr>
            <w:r>
              <w:rPr>
                <w:rFonts w:ascii="Courier New" w:cs="Courier New" w:eastAsia="Courier New" w:hAnsi="Courier New"/>
                <w:sz w:val="9"/>
                <w:szCs w:val="9"/>
                <w:color w:val="auto"/>
                <w:w w:val="71"/>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519"/>
        <w:spacing w:after="0" w:line="238" w:lineRule="auto"/>
        <w:rPr>
          <w:sz w:val="20"/>
          <w:szCs w:val="20"/>
          <w:color w:val="auto"/>
        </w:rPr>
      </w:pPr>
      <w:r>
        <w:rPr>
          <w:rFonts w:ascii="Courier New" w:cs="Courier New" w:eastAsia="Courier New" w:hAnsi="Courier New"/>
          <w:sz w:val="18"/>
          <w:szCs w:val="18"/>
          <w:color w:val="auto"/>
        </w:rPr>
        <w:t>(AMENDMENT NO. 17)*</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QUAKER CHEMICAL CORPORATION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COMMON STOCK, $1.00 Par Value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23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747316 10 7</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jc w:val="both"/>
        <w:ind w:left="420" w:right="283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(unchecked box). (A fee is not required only if the filing person:</w:t>
      </w:r>
    </w:p>
    <w:p>
      <w:pPr>
        <w:ind w:left="420" w:right="2739" w:firstLine="9"/>
        <w:spacing w:after="0" w:line="268" w:lineRule="auto"/>
        <w:tabs>
          <w:tab w:leader="none" w:pos="8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 previous statement on file reporting beneficial ownership of more than five percent of the class of securities described in Item 1; and (2) has filed no amendment subsequent thereto reporting beneficial ownership of five percent or less of such class.)</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Rule 13d-7.)</w:t>
      </w:r>
    </w:p>
    <w:p>
      <w:pPr>
        <w:spacing w:after="0" w:line="207" w:lineRule="exact"/>
        <w:rPr>
          <w:sz w:val="24"/>
          <w:szCs w:val="24"/>
          <w:color w:val="auto"/>
        </w:rPr>
      </w:pPr>
    </w:p>
    <w:p>
      <w:pPr>
        <w:jc w:val="both"/>
        <w:ind w:left="420" w:right="241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left="420" w:right="23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3680" w:val="left"/>
          <w:tab w:leader="none" w:pos="6100" w:val="left"/>
        </w:tabs>
        <w:rPr>
          <w:sz w:val="20"/>
          <w:szCs w:val="20"/>
          <w:color w:val="auto"/>
        </w:rPr>
      </w:pPr>
      <w:r>
        <w:rPr>
          <w:rFonts w:ascii="Courier New" w:cs="Courier New" w:eastAsia="Courier New" w:hAnsi="Courier New"/>
          <w:sz w:val="18"/>
          <w:szCs w:val="18"/>
          <w:color w:val="auto"/>
        </w:rPr>
        <w:t>CUSIP NO. 747316 10 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Peter A. Benoliel</w:t>
      </w:r>
    </w:p>
    <w:p>
      <w:pPr>
        <w:ind w:left="640"/>
        <w:spacing w:after="0" w:line="238" w:lineRule="auto"/>
        <w:rPr>
          <w:sz w:val="20"/>
          <w:szCs w:val="20"/>
          <w:color w:val="auto"/>
        </w:rPr>
      </w:pPr>
      <w:r>
        <w:rPr>
          <w:rFonts w:ascii="Courier New" w:cs="Courier New" w:eastAsia="Courier New" w:hAnsi="Courier New"/>
          <w:sz w:val="18"/>
          <w:szCs w:val="18"/>
          <w:color w:val="auto"/>
        </w:rPr>
        <w:t>Social Security Number: ###-##-####</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320" w:hanging="413"/>
        <w:spacing w:after="0" w:line="238" w:lineRule="auto"/>
        <w:tabs>
          <w:tab w:leader="none" w:pos="63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(unchecked box)</w:t>
      </w: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(B) (unchecked box)</w:t>
      </w:r>
    </w:p>
    <w:p>
      <w:pPr>
        <w:spacing w:after="0" w:line="206"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United States of America</w:t>
      </w:r>
    </w:p>
    <w:p>
      <w:pPr>
        <w:sectPr>
          <w:pgSz w:w="11900" w:h="16838" w:orient="portrait"/>
          <w:cols w:equalWidth="0" w:num="1">
            <w:col w:w="10219"/>
          </w:cols>
          <w:pgMar w:left="240" w:top="852" w:right="1440" w:bottom="0" w:gutter="0" w:footer="0" w:header="0"/>
        </w:sectPr>
      </w:pPr>
    </w:p>
    <w:bookmarkStart w:id="1" w:name="page2"/>
    <w:bookmarkEnd w:id="1"/>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667,064</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left="2220"/>
        <w:spacing w:after="0"/>
        <w:tabs>
          <w:tab w:leader="none" w:pos="2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ind w:left="220"/>
        <w:spacing w:after="0"/>
        <w:rPr>
          <w:sz w:val="20"/>
          <w:szCs w:val="20"/>
          <w:color w:val="auto"/>
        </w:rPr>
      </w:pPr>
      <w:r>
        <w:rPr>
          <w:rFonts w:ascii="Courier New" w:cs="Courier New" w:eastAsia="Courier New" w:hAnsi="Courier New"/>
          <w:sz w:val="18"/>
          <w:szCs w:val="18"/>
          <w:color w:val="auto"/>
        </w:rPr>
        <w:t>NUMBER OF</w:t>
      </w:r>
    </w:p>
    <w:p>
      <w:pPr>
        <w:sectPr>
          <w:pgSz w:w="11900" w:h="16838" w:orient="portrait"/>
          <w:cols w:equalWidth="0" w:num="1">
            <w:col w:w="10219"/>
          </w:cols>
          <w:pgMar w:left="240" w:top="344" w:right="1440" w:bottom="1440" w:gutter="0" w:footer="0" w:header="0"/>
        </w:sectPr>
      </w:pP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ectPr>
          <w:pgSz w:w="11900" w:h="16838" w:orient="portrait"/>
          <w:cols w:equalWidth="0" w:num="2">
            <w:col w:w="2020" w:space="720"/>
            <w:col w:w="7479"/>
          </w:cols>
          <w:pgMar w:left="240" w:top="34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BENEFICIALLY</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OWNED BY</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EACH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4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4" w:lineRule="exact"/>
        <w:rPr>
          <w:sz w:val="20"/>
          <w:szCs w:val="20"/>
          <w:color w:val="auto"/>
        </w:rPr>
      </w:pPr>
    </w:p>
    <w:p>
      <w:pPr>
        <w:sectPr>
          <w:pgSz w:w="11900" w:h="16838" w:orient="portrait"/>
          <w:cols w:equalWidth="0" w:num="2">
            <w:col w:w="1400" w:space="720"/>
            <w:col w:w="8099"/>
          </w:cols>
          <w:pgMar w:left="240" w:top="344"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PERSON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667,064</w:t>
      </w:r>
    </w:p>
    <w:p>
      <w:pPr>
        <w:spacing w:after="0" w:line="16" w:lineRule="exact"/>
        <w:rPr>
          <w:sz w:val="20"/>
          <w:szCs w:val="20"/>
          <w:color w:val="auto"/>
        </w:rPr>
      </w:pPr>
    </w:p>
    <w:p>
      <w:pPr>
        <w:sectPr>
          <w:pgSz w:w="11900" w:h="16838" w:orient="portrait"/>
          <w:cols w:equalWidth="0" w:num="2">
            <w:col w:w="2020" w:space="720"/>
            <w:col w:w="7479"/>
          </w:cols>
          <w:pgMar w:left="240" w:top="344"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2740" w:right="5159" w:hanging="520"/>
        <w:spacing w:after="0" w:line="470" w:lineRule="auto"/>
        <w:tabs>
          <w:tab w:leader="none" w:pos="2529"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7" w:lineRule="exact"/>
        <w:rPr>
          <w:sz w:val="20"/>
          <w:szCs w:val="20"/>
          <w:color w:val="auto"/>
        </w:rPr>
      </w:pPr>
    </w:p>
    <w:p>
      <w:pPr>
        <w:ind w:left="1480" w:right="2319" w:hanging="839"/>
        <w:spacing w:after="0" w:line="237" w:lineRule="auto"/>
        <w:tabs>
          <w:tab w:leader="none" w:pos="1460" w:val="left"/>
        </w:tabs>
        <w:rPr>
          <w:sz w:val="20"/>
          <w:szCs w:val="20"/>
          <w:color w:val="auto"/>
        </w:rPr>
      </w:pPr>
      <w:r>
        <w:rPr>
          <w:rFonts w:ascii="Courier New" w:cs="Courier New" w:eastAsia="Courier New" w:hAnsi="Courier New"/>
          <w:sz w:val="18"/>
          <w:szCs w:val="18"/>
          <w:color w:val="auto"/>
        </w:rPr>
        <w:t>667,064</w:t>
        <w:tab/>
        <w:t>(Does not include 415,000 shares under irrevocable trust of which the Reporting Person is the Settlor and income beneficiary, but for which the Reporting Person has no voting or dispositive power)</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7.6%</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44"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4"/>
                <w:szCs w:val="24"/>
                <w:color w:val="auto"/>
              </w:rPr>
            </w:pP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Quaker Chemical Corporation (herein the "Company").</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4"/>
                <w:szCs w:val="24"/>
                <w:color w:val="auto"/>
              </w:rPr>
            </w:pP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The Company's principal executive offices are</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located at Elm and Lee Streets, Conshohocken,</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Pennsylvania  19428.</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4"/>
                <w:szCs w:val="24"/>
                <w:color w:val="auto"/>
              </w:rPr>
            </w:pP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Peter A. Benoliel (herein the "Reporting Person").</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320" w:type="dxa"/>
            <w:vAlign w:val="bottom"/>
          </w:tcPr>
          <w:p>
            <w:pPr>
              <w:spacing w:after="0"/>
              <w:rPr>
                <w:sz w:val="24"/>
                <w:szCs w:val="24"/>
                <w:color w:val="auto"/>
              </w:rPr>
            </w:pP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Quaker Chemical Corporation, Elm and Lee Streets,</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Conshohocken, Pennsylvania 19428.</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4"/>
                <w:szCs w:val="24"/>
                <w:color w:val="auto"/>
              </w:rPr>
            </w:pP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The Reporting Person is a citizen of the United</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States of America.</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4"/>
                <w:szCs w:val="24"/>
                <w:color w:val="auto"/>
              </w:rPr>
            </w:pP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Common Stock, $1.00 par value.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CUSIP Number.</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Courier New" w:cs="Courier New" w:eastAsia="Courier New" w:hAnsi="Courier New"/>
                <w:sz w:val="18"/>
                <w:szCs w:val="18"/>
                <w:color w:val="auto"/>
              </w:rPr>
              <w:t>747316</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5320" w:type="dxa"/>
            <w:vAlign w:val="bottom"/>
          </w:tcPr>
          <w:p>
            <w:pPr>
              <w:jc w:val="right"/>
              <w:ind w:right="4952"/>
              <w:spacing w:after="0"/>
              <w:rPr>
                <w:sz w:val="20"/>
                <w:szCs w:val="20"/>
                <w:color w:val="auto"/>
              </w:rPr>
            </w:pPr>
            <w:r>
              <w:rPr>
                <w:rFonts w:ascii="Courier New" w:cs="Courier New" w:eastAsia="Courier New" w:hAnsi="Courier New"/>
                <w:sz w:val="18"/>
                <w:szCs w:val="18"/>
                <w:color w:val="auto"/>
              </w:rPr>
              <w:t>7.</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5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 Captioned.</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3 of 5</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54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Ownership.</w:t>
            </w:r>
          </w:p>
        </w:tc>
        <w:tc>
          <w:tcPr>
            <w:tcW w:w="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6540" w:type="dxa"/>
            <w:vAlign w:val="bottom"/>
            <w:gridSpan w:val="6"/>
          </w:tcPr>
          <w:p>
            <w:pPr>
              <w:ind w:left="420"/>
              <w:spacing w:after="0"/>
              <w:rPr>
                <w:sz w:val="20"/>
                <w:szCs w:val="20"/>
                <w:color w:val="auto"/>
              </w:rPr>
            </w:pPr>
            <w:r>
              <w:rPr>
                <w:rFonts w:ascii="Courier New" w:cs="Courier New" w:eastAsia="Courier New" w:hAnsi="Courier New"/>
                <w:sz w:val="18"/>
                <w:szCs w:val="18"/>
                <w:color w:val="auto"/>
              </w:rPr>
              <w:t>The number of shares of Common Stock of the Company</w:t>
            </w:r>
          </w:p>
        </w:tc>
      </w:tr>
      <w:tr>
        <w:trPr>
          <w:trHeight w:val="203"/>
        </w:trPr>
        <w:tc>
          <w:tcPr>
            <w:tcW w:w="1160" w:type="dxa"/>
            <w:vAlign w:val="bottom"/>
          </w:tcPr>
          <w:p>
            <w:pPr>
              <w:spacing w:after="0"/>
              <w:rPr>
                <w:sz w:val="17"/>
                <w:szCs w:val="17"/>
                <w:color w:val="auto"/>
              </w:rPr>
            </w:pPr>
          </w:p>
        </w:tc>
        <w:tc>
          <w:tcPr>
            <w:tcW w:w="654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rPr>
              <w:t>beneficially owned by the Reporting Person on</w:t>
            </w:r>
          </w:p>
        </w:tc>
      </w:tr>
      <w:tr>
        <w:trPr>
          <w:trHeight w:val="203"/>
        </w:trPr>
        <w:tc>
          <w:tcPr>
            <w:tcW w:w="1160" w:type="dxa"/>
            <w:vAlign w:val="bottom"/>
          </w:tcPr>
          <w:p>
            <w:pPr>
              <w:spacing w:after="0"/>
              <w:rPr>
                <w:sz w:val="17"/>
                <w:szCs w:val="17"/>
                <w:color w:val="auto"/>
              </w:rPr>
            </w:pPr>
          </w:p>
        </w:tc>
        <w:tc>
          <w:tcPr>
            <w:tcW w:w="654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rPr>
              <w:t>December 31, 1995, was as follows:</w:t>
            </w:r>
          </w:p>
        </w:tc>
      </w:tr>
      <w:tr>
        <w:trPr>
          <w:trHeight w:val="405"/>
        </w:trPr>
        <w:tc>
          <w:tcPr>
            <w:tcW w:w="116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2900" w:type="dxa"/>
            <w:vAlign w:val="bottom"/>
            <w:gridSpan w:val="4"/>
          </w:tcPr>
          <w:p>
            <w:pPr>
              <w:ind w:left="120"/>
              <w:spacing w:after="0"/>
              <w:rPr>
                <w:sz w:val="20"/>
                <w:szCs w:val="20"/>
                <w:color w:val="auto"/>
              </w:rPr>
            </w:pPr>
            <w:r>
              <w:rPr>
                <w:rFonts w:ascii="Courier New" w:cs="Courier New" w:eastAsia="Courier New" w:hAnsi="Courier New"/>
                <w:sz w:val="18"/>
                <w:szCs w:val="18"/>
                <w:color w:val="auto"/>
                <w:w w:val="98"/>
              </w:rPr>
              <w:t>Amount Beneficially Owned:</w:t>
            </w:r>
          </w:p>
        </w:tc>
        <w:tc>
          <w:tcPr>
            <w:tcW w:w="2800" w:type="dxa"/>
            <w:vAlign w:val="bottom"/>
          </w:tcPr>
          <w:p>
            <w:pPr>
              <w:ind w:left="900"/>
              <w:spacing w:after="0"/>
              <w:rPr>
                <w:sz w:val="20"/>
                <w:szCs w:val="20"/>
                <w:color w:val="auto"/>
              </w:rPr>
            </w:pPr>
            <w:r>
              <w:rPr>
                <w:rFonts w:ascii="Courier New" w:cs="Courier New" w:eastAsia="Courier New" w:hAnsi="Courier New"/>
                <w:sz w:val="18"/>
                <w:szCs w:val="18"/>
                <w:color w:val="auto"/>
              </w:rPr>
              <w:t>667,064</w:t>
            </w:r>
          </w:p>
        </w:tc>
      </w:tr>
      <w:tr>
        <w:trPr>
          <w:trHeight w:val="203"/>
        </w:trPr>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(including 80,998 shares</w:t>
            </w:r>
          </w:p>
        </w:tc>
        <w:tc>
          <w:tcPr>
            <w:tcW w:w="2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70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underlying options exercisable</w:t>
            </w:r>
          </w:p>
        </w:tc>
      </w:tr>
      <w:tr>
        <w:trPr>
          <w:trHeight w:val="203"/>
        </w:trPr>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within 60 days)</w:t>
            </w:r>
          </w:p>
        </w:tc>
        <w:tc>
          <w:tcPr>
            <w:tcW w:w="280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(b)</w:t>
            </w:r>
          </w:p>
        </w:tc>
        <w:tc>
          <w:tcPr>
            <w:tcW w:w="290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Percent of Class:</w:t>
            </w:r>
          </w:p>
        </w:tc>
        <w:tc>
          <w:tcPr>
            <w:tcW w:w="2800" w:type="dxa"/>
            <w:vAlign w:val="bottom"/>
          </w:tcPr>
          <w:p>
            <w:pPr>
              <w:ind w:left="900"/>
              <w:spacing w:after="0"/>
              <w:rPr>
                <w:sz w:val="20"/>
                <w:szCs w:val="20"/>
                <w:color w:val="auto"/>
              </w:rPr>
            </w:pPr>
            <w:r>
              <w:rPr>
                <w:rFonts w:ascii="Courier New" w:cs="Courier New" w:eastAsia="Courier New" w:hAnsi="Courier New"/>
                <w:sz w:val="18"/>
                <w:szCs w:val="18"/>
                <w:color w:val="auto"/>
              </w:rPr>
              <w:t>7.6%</w:t>
            </w:r>
          </w:p>
        </w:tc>
      </w:tr>
      <w:tr>
        <w:trPr>
          <w:trHeight w:val="405"/>
        </w:trPr>
        <w:tc>
          <w:tcPr>
            <w:tcW w:w="116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(c)</w:t>
            </w:r>
          </w:p>
        </w:tc>
        <w:tc>
          <w:tcPr>
            <w:tcW w:w="5700" w:type="dxa"/>
            <w:vAlign w:val="bottom"/>
            <w:gridSpan w:val="5"/>
          </w:tcPr>
          <w:p>
            <w:pPr>
              <w:ind w:left="120"/>
              <w:spacing w:after="0"/>
              <w:rPr>
                <w:sz w:val="20"/>
                <w:szCs w:val="20"/>
                <w:color w:val="auto"/>
              </w:rPr>
            </w:pPr>
            <w:r>
              <w:rPr>
                <w:rFonts w:ascii="Courier New" w:cs="Courier New" w:eastAsia="Courier New" w:hAnsi="Courier New"/>
                <w:sz w:val="18"/>
                <w:szCs w:val="18"/>
                <w:color w:val="auto"/>
              </w:rPr>
              <w:t>Number of Shares as to which the Reporting</w:t>
            </w:r>
          </w:p>
        </w:tc>
      </w:tr>
      <w:tr>
        <w:trPr>
          <w:trHeight w:val="203"/>
        </w:trPr>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Person has:</w:t>
            </w:r>
          </w:p>
        </w:tc>
        <w:tc>
          <w:tcPr>
            <w:tcW w:w="15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(i)</w:t>
            </w:r>
          </w:p>
        </w:tc>
        <w:tc>
          <w:tcPr>
            <w:tcW w:w="6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Sole power to vote or to direct the</w:t>
            </w:r>
          </w:p>
        </w:tc>
      </w:tr>
      <w:tr>
        <w:trPr>
          <w:trHeight w:val="203"/>
        </w:trPr>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vote:</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667,064</w:t>
            </w:r>
          </w:p>
        </w:tc>
        <w:tc>
          <w:tcPr>
            <w:tcW w:w="280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(ii)</w:t>
            </w:r>
          </w:p>
        </w:tc>
        <w:tc>
          <w:tcPr>
            <w:tcW w:w="506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Shared power to vote or to direct the</w:t>
            </w:r>
          </w:p>
        </w:tc>
      </w:tr>
      <w:tr>
        <w:trPr>
          <w:trHeight w:val="203"/>
        </w:trPr>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vote:</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280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00" w:type="dxa"/>
            <w:vAlign w:val="bottom"/>
            <w:gridSpan w:val="5"/>
          </w:tcPr>
          <w:p>
            <w:pPr>
              <w:ind w:left="120"/>
              <w:spacing w:after="0"/>
              <w:rPr>
                <w:sz w:val="20"/>
                <w:szCs w:val="20"/>
                <w:color w:val="auto"/>
              </w:rPr>
            </w:pPr>
            <w:r>
              <w:rPr>
                <w:rFonts w:ascii="Courier New" w:cs="Courier New" w:eastAsia="Courier New" w:hAnsi="Courier New"/>
                <w:sz w:val="18"/>
                <w:szCs w:val="18"/>
                <w:color w:val="auto"/>
              </w:rPr>
              <w:t>(iii) Sole power to dispose or to direct</w:t>
            </w:r>
          </w:p>
        </w:tc>
      </w:tr>
      <w:tr>
        <w:trPr>
          <w:trHeight w:val="203"/>
        </w:trPr>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280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667,064</w:t>
            </w:r>
          </w:p>
        </w:tc>
      </w:tr>
      <w:tr>
        <w:trPr>
          <w:trHeight w:val="405"/>
        </w:trPr>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(iv)</w:t>
            </w:r>
          </w:p>
        </w:tc>
        <w:tc>
          <w:tcPr>
            <w:tcW w:w="506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Shared power to dispose or to direct</w:t>
            </w:r>
          </w:p>
        </w:tc>
      </w:tr>
      <w:tr>
        <w:trPr>
          <w:trHeight w:val="203"/>
        </w:trPr>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the disposition of:  -0-</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540" w:type="dxa"/>
            <w:vAlign w:val="bottom"/>
            <w:gridSpan w:val="6"/>
          </w:tcPr>
          <w:p>
            <w:pPr>
              <w:ind w:left="42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203"/>
        </w:trPr>
        <w:tc>
          <w:tcPr>
            <w:tcW w:w="1160" w:type="dxa"/>
            <w:vAlign w:val="bottom"/>
          </w:tcPr>
          <w:p>
            <w:pPr>
              <w:spacing w:after="0"/>
              <w:rPr>
                <w:sz w:val="17"/>
                <w:szCs w:val="17"/>
                <w:color w:val="auto"/>
              </w:rPr>
            </w:pPr>
          </w:p>
        </w:tc>
        <w:tc>
          <w:tcPr>
            <w:tcW w:w="654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4"/>
                <w:szCs w:val="24"/>
                <w:color w:val="auto"/>
              </w:rPr>
            </w:pPr>
          </w:p>
        </w:tc>
        <w:tc>
          <w:tcPr>
            <w:tcW w:w="222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Not applicable.</w:t>
            </w:r>
          </w:p>
        </w:tc>
        <w:tc>
          <w:tcPr>
            <w:tcW w:w="15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540" w:type="dxa"/>
            <w:vAlign w:val="bottom"/>
            <w:gridSpan w:val="6"/>
          </w:tcPr>
          <w:p>
            <w:pPr>
              <w:ind w:left="420"/>
              <w:spacing w:after="0"/>
              <w:rPr>
                <w:sz w:val="20"/>
                <w:szCs w:val="20"/>
                <w:color w:val="auto"/>
              </w:rPr>
            </w:pPr>
            <w:r>
              <w:rPr>
                <w:rFonts w:ascii="Courier New" w:cs="Courier New" w:eastAsia="Courier New" w:hAnsi="Courier New"/>
                <w:sz w:val="18"/>
                <w:szCs w:val="18"/>
                <w:color w:val="auto"/>
              </w:rPr>
              <w:t>Ownership of More than Five Percent on Behalf of</w:t>
            </w:r>
          </w:p>
        </w:tc>
      </w:tr>
      <w:tr>
        <w:trPr>
          <w:trHeight w:val="203"/>
        </w:trPr>
        <w:tc>
          <w:tcPr>
            <w:tcW w:w="1160" w:type="dxa"/>
            <w:vAlign w:val="bottom"/>
          </w:tcPr>
          <w:p>
            <w:pPr>
              <w:spacing w:after="0"/>
              <w:rPr>
                <w:sz w:val="17"/>
                <w:szCs w:val="17"/>
                <w:color w:val="auto"/>
              </w:rPr>
            </w:pPr>
          </w:p>
        </w:tc>
        <w:tc>
          <w:tcPr>
            <w:tcW w:w="22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Another Person.</w:t>
            </w:r>
          </w:p>
        </w:tc>
        <w:tc>
          <w:tcPr>
            <w:tcW w:w="15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54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4"/>
                <w:szCs w:val="24"/>
                <w:color w:val="auto"/>
              </w:rPr>
            </w:pPr>
          </w:p>
        </w:tc>
        <w:tc>
          <w:tcPr>
            <w:tcW w:w="222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Not applicable.</w:t>
            </w:r>
          </w:p>
        </w:tc>
        <w:tc>
          <w:tcPr>
            <w:tcW w:w="15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6540" w:type="dxa"/>
            <w:vAlign w:val="bottom"/>
            <w:gridSpan w:val="6"/>
          </w:tcPr>
          <w:p>
            <w:pPr>
              <w:ind w:left="420"/>
              <w:spacing w:after="0"/>
              <w:rPr>
                <w:sz w:val="20"/>
                <w:szCs w:val="20"/>
                <w:color w:val="auto"/>
              </w:rPr>
            </w:pPr>
            <w:r>
              <w:rPr>
                <w:rFonts w:ascii="Courier New" w:cs="Courier New" w:eastAsia="Courier New" w:hAnsi="Courier New"/>
                <w:sz w:val="18"/>
                <w:szCs w:val="18"/>
                <w:color w:val="auto"/>
              </w:rPr>
              <w:t>Identification and Classification of the</w:t>
            </w:r>
          </w:p>
        </w:tc>
      </w:tr>
      <w:tr>
        <w:trPr>
          <w:trHeight w:val="203"/>
        </w:trPr>
        <w:tc>
          <w:tcPr>
            <w:tcW w:w="1160" w:type="dxa"/>
            <w:vAlign w:val="bottom"/>
          </w:tcPr>
          <w:p>
            <w:pPr>
              <w:spacing w:after="0"/>
              <w:rPr>
                <w:sz w:val="17"/>
                <w:szCs w:val="17"/>
                <w:color w:val="auto"/>
              </w:rPr>
            </w:pPr>
          </w:p>
        </w:tc>
        <w:tc>
          <w:tcPr>
            <w:tcW w:w="654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rPr>
              <w:t>Subsidiary Which Acquired the Security Being</w:t>
            </w:r>
          </w:p>
        </w:tc>
      </w:tr>
      <w:tr>
        <w:trPr>
          <w:trHeight w:val="203"/>
        </w:trPr>
        <w:tc>
          <w:tcPr>
            <w:tcW w:w="1160" w:type="dxa"/>
            <w:vAlign w:val="bottom"/>
          </w:tcPr>
          <w:p>
            <w:pPr>
              <w:spacing w:after="0"/>
              <w:rPr>
                <w:sz w:val="17"/>
                <w:szCs w:val="17"/>
                <w:color w:val="auto"/>
              </w:rPr>
            </w:pPr>
          </w:p>
        </w:tc>
        <w:tc>
          <w:tcPr>
            <w:tcW w:w="654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rPr>
              <w:t>Reported On By the Parent Holding Company.</w:t>
            </w:r>
          </w:p>
        </w:tc>
      </w:tr>
      <w:tr>
        <w:trPr>
          <w:trHeight w:val="203"/>
        </w:trPr>
        <w:tc>
          <w:tcPr>
            <w:tcW w:w="1160" w:type="dxa"/>
            <w:vAlign w:val="bottom"/>
          </w:tcPr>
          <w:p>
            <w:pPr>
              <w:spacing w:after="0"/>
              <w:rPr>
                <w:sz w:val="17"/>
                <w:szCs w:val="17"/>
                <w:color w:val="auto"/>
              </w:rPr>
            </w:pPr>
          </w:p>
        </w:tc>
        <w:tc>
          <w:tcPr>
            <w:tcW w:w="654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4"/>
                <w:szCs w:val="24"/>
                <w:color w:val="auto"/>
              </w:rPr>
            </w:pPr>
          </w:p>
        </w:tc>
        <w:tc>
          <w:tcPr>
            <w:tcW w:w="222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Not applicable.</w:t>
            </w:r>
          </w:p>
        </w:tc>
        <w:tc>
          <w:tcPr>
            <w:tcW w:w="15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540" w:type="dxa"/>
            <w:vAlign w:val="bottom"/>
            <w:gridSpan w:val="6"/>
          </w:tcPr>
          <w:p>
            <w:pPr>
              <w:ind w:left="420"/>
              <w:spacing w:after="0"/>
              <w:rPr>
                <w:sz w:val="20"/>
                <w:szCs w:val="20"/>
                <w:color w:val="auto"/>
              </w:rPr>
            </w:pPr>
            <w:r>
              <w:rPr>
                <w:rFonts w:ascii="Courier New" w:cs="Courier New" w:eastAsia="Courier New" w:hAnsi="Courier New"/>
                <w:sz w:val="18"/>
                <w:szCs w:val="18"/>
                <w:color w:val="auto"/>
                <w:w w:val="97"/>
              </w:rPr>
              <w:t>Identification and Classification of Members of the Group.</w:t>
            </w:r>
          </w:p>
        </w:tc>
      </w:tr>
    </w:tbl>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4 of 5</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Peter A. Benoliel</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Peter A. Benoliel,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5 of 5</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lvl w:ilvl="1">
      <w:lvlJc w:val="left"/>
      <w:lvlText w:val="%2"/>
      <w:numFmt w:val="decimal"/>
      <w:start w:val="1"/>
    </w:lvl>
  </w:abstractNum>
  <w:abstractNum w:abstractNumId="2">
    <w:nsid w:val="507ED7AB"/>
    <w:multiLevelType w:val="hybridMultilevel"/>
    <w:lvl w:ilvl="0">
      <w:lvlJc w:val="left"/>
      <w:lvlText w:val="-"/>
      <w:numFmt w:val="bullet"/>
      <w:start w:val="1"/>
    </w:lvl>
    <w:lvl w:ilvl="1">
      <w:lvlJc w:val="left"/>
      <w:lvlText w:val="(%2)"/>
      <w:numFmt w:val="upperLetter"/>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8"/>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2019-12-12T06:39:39Z</dcterms:created>
  <dcterms:modified xsi:type="dcterms:W3CDTF">2019-12-12T06:39:39Z</dcterms:modified>
</cp:coreProperties>
</file>