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779942.xml.htm"/>
      <w:bookmarkStart w:id="1" w:name="kswkform4_17737799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Carvalho Renato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901 E. HECTOR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CONSHOHOCKEN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19428-2380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QUAKER CHEMICAL CORP</w:t>
              </w:r>
            </w:hyperlink>
            <w:r>
              <w:rPr/>
              <w:t xml:space="preserve"> [ </w:t>
            </w:r>
            <w:r>
              <w:rPr>
                <w:rFonts w:ascii="Times;serif" w:hAnsi="Times;serif"/>
                <w:color w:val="0000FF"/>
                <w:sz w:val="24"/>
                <w:shd w:fill="FFFFFF" w:val="clear"/>
              </w:rPr>
              <w:t>KWR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Reg Comm Lead-Americas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126</w:t>
            </w:r>
            <w:r>
              <w:rPr>
                <w:rFonts w:ascii="Times;serif" w:hAnsi="Times;serif"/>
                <w:color w:val="008000"/>
                <w:position w:val="7"/>
                <w:sz w:val="16"/>
                <w:sz w:val="20"/>
                <w:shd w:fill="FFFFFF" w:val="clear"/>
              </w:rPr>
              <w:t>(4)</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118.45</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56"/>
        <w:gridCol w:w="456"/>
        <w:gridCol w:w="906"/>
        <w:gridCol w:w="801"/>
        <w:gridCol w:w="891"/>
        <w:gridCol w:w="636"/>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5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5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earned upon vesting and settlement of Performance Stock Units (PSUs) awarded on March 15, 2023, upon certification of performance results by the Compensation and Human Resources Committee based on achievement of the adjusted return on invested capital (ROIC) metric, during the three year performance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units (RSUs)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Dividend equivalent rights (DERs) accrued on reporting person's RSUs granted on March 15, 2024 and March 15, 2025. The rights accrued when and as dividends were paid on KWR common stock. This Form 4 reports the settlement of DERs in connection with the second installment of the 2024 RSU grant and the first installment of the 2025 RSU grant, each vesting on March 15, 2026. Each DER was the economic equivalent of one share of KWR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surrendered by reporting person to satisfy withholding tax obligations upon partial vesting of certain RSUs and PSUs previously granted under the Company's Long-Term Performance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March 15, 2024, the reporting person was granted 158 time-based RSUs, vesting in three annual installments beginning on March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March 15, 2025, the reporting person was granted 622 time-based RSUs, vesting in three annual installments beginning on March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Time-based RSUs granted under the Company's Long-Term Performance Incentive Plan, which will vest in three annual installments beginning on March 15, 2027. Each RSU represents a contingent right to receive one share of KWR common stock and DERs accrue with respect to these RSUs when and as dividends are paid on KWR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Victoria K. Gehris, Attorney-in-Fact for Renato Carvalho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7999" TargetMode="External"/><Relationship Id="rId5" Type="http://schemas.openxmlformats.org/officeDocument/2006/relationships/hyperlink" Target="http://www.sec.gov/cgi-bin/browse-edgar?action=getcompany&amp;CIK=00000813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928</Words>
  <Characters>4875</Characters>
  <CharactersWithSpaces>5669</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