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80" w:hanging="554"/>
        <w:spacing w:after="0"/>
        <w:tabs>
          <w:tab w:leader="none" w:pos="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0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23"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2" w:lineRule="exact"/>
        <w:rPr>
          <w:sz w:val="24"/>
          <w:szCs w:val="24"/>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209" w:lineRule="exact"/>
        <w:rPr>
          <w:sz w:val="24"/>
          <w:szCs w:val="24"/>
          <w:color w:val="auto"/>
        </w:rPr>
      </w:pPr>
    </w:p>
    <w:p>
      <w:pPr>
        <w:ind w:left="4420"/>
        <w:spacing w:after="0"/>
        <w:tabs>
          <w:tab w:leader="none" w:pos="67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3985260</wp:posOffset>
            </wp:positionH>
            <wp:positionV relativeFrom="paragraph">
              <wp:posOffset>0</wp:posOffset>
            </wp:positionV>
            <wp:extent cx="692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Full title of the plan and the address of the plan, if different from that of the issuer named below:</w:t>
      </w:r>
    </w:p>
    <w:p>
      <w:pPr>
        <w:spacing w:after="0" w:line="118"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31"/>
          <w:szCs w:val="31"/>
          <w:b w:val="1"/>
          <w:bCs w:val="1"/>
          <w:color w:val="auto"/>
        </w:rPr>
        <w:t>Quaker Houghton Retirement Savings Plan</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Name of issuer of the securities held pursuant to the plan and the address of its principal executive office:</w:t>
      </w:r>
    </w:p>
    <w:p>
      <w:pPr>
        <w:spacing w:after="0" w:line="1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Quaker Chemical Corporation</w:t>
      </w:r>
    </w:p>
    <w:p>
      <w:pPr>
        <w:spacing w:after="0" w:line="1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One Quaker Park</w:t>
      </w:r>
    </w:p>
    <w:p>
      <w:pPr>
        <w:spacing w:after="0" w:line="1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901 E. Hector Street</w:t>
      </w:r>
    </w:p>
    <w:p>
      <w:pPr>
        <w:spacing w:after="0" w:line="1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Conshohocken, Pennsylvania 19428-2380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sectPr>
      </w:pPr>
    </w:p>
    <w:bookmarkStart w:id="1" w:name="page2"/>
    <w:bookmarkEnd w:id="1"/>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31"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0140"/>
        <w:spacing w:after="0"/>
        <w:rPr>
          <w:sz w:val="20"/>
          <w:szCs w:val="20"/>
          <w:color w:val="auto"/>
        </w:rPr>
      </w:pPr>
      <w:r>
        <w:rPr>
          <w:rFonts w:ascii="Times New Roman" w:cs="Times New Roman" w:eastAsia="Times New Roman" w:hAnsi="Times New Roman"/>
          <w:sz w:val="18"/>
          <w:szCs w:val="18"/>
          <w:b w:val="1"/>
          <w:bCs w:val="1"/>
          <w:color w:val="auto"/>
        </w:rPr>
        <w:t>Page</w:t>
      </w:r>
    </w:p>
    <w:p>
      <w:pPr>
        <w:jc w:val="center"/>
        <w:ind w:left="101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6454775</wp:posOffset>
            </wp:positionH>
            <wp:positionV relativeFrom="paragraph">
              <wp:posOffset>13335</wp:posOffset>
            </wp:positionV>
            <wp:extent cx="668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u w:val="single" w:color="auto"/>
          <w:color w:val="0000FF"/>
        </w:rPr>
        <w:t>Reports of Independent Registered Public Accounting Firm</w:t>
      </w:r>
    </w:p>
    <w:p>
      <w:pPr>
        <w:spacing w:after="0" w:line="27" w:lineRule="exact"/>
        <w:rPr>
          <w:sz w:val="20"/>
          <w:szCs w:val="20"/>
          <w:color w:val="auto"/>
        </w:rPr>
      </w:pPr>
    </w:p>
    <w:p>
      <w:pPr>
        <w:ind w:left="10632"/>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9"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4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u w:val="single" w:color="auto"/>
          <w:color w:val="0000FF"/>
        </w:rPr>
        <w:t>Statements of Net Assets Available for Benefits</w:t>
      </w:r>
    </w:p>
    <w:p>
      <w:pPr>
        <w:spacing w:after="0" w:line="27" w:lineRule="exact"/>
        <w:rPr>
          <w:sz w:val="20"/>
          <w:szCs w:val="20"/>
          <w:color w:val="auto"/>
        </w:rPr>
      </w:pPr>
    </w:p>
    <w:p>
      <w:pPr>
        <w:ind w:left="10632"/>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3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u w:val="single" w:color="auto"/>
          <w:color w:val="0000FF"/>
        </w:rPr>
        <w:t>Statements of Changes in Net Assets Available for Benefits</w:t>
      </w:r>
    </w:p>
    <w:p>
      <w:pPr>
        <w:spacing w:after="0" w:line="27" w:lineRule="exact"/>
        <w:rPr>
          <w:sz w:val="20"/>
          <w:szCs w:val="20"/>
          <w:color w:val="auto"/>
        </w:rPr>
      </w:pPr>
    </w:p>
    <w:p>
      <w:pPr>
        <w:ind w:left="10632"/>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3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u w:val="single" w:color="auto"/>
          <w:color w:val="0000FF"/>
        </w:rPr>
        <w:t>Notes to Financial Statements</w:t>
      </w:r>
    </w:p>
    <w:p>
      <w:pPr>
        <w:spacing w:after="0" w:line="27" w:lineRule="exact"/>
        <w:rPr>
          <w:sz w:val="20"/>
          <w:szCs w:val="20"/>
          <w:color w:val="auto"/>
        </w:rPr>
      </w:pPr>
    </w:p>
    <w:p>
      <w:pPr>
        <w:ind w:left="10632"/>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9"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Supplemental Schedules *</w:t>
      </w:r>
    </w:p>
    <w:p>
      <w:pPr>
        <w:spacing w:after="0" w:line="4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u w:val="single" w:color="auto"/>
          <w:color w:val="0000FF"/>
        </w:rPr>
        <w:t>Schedule H, Line 4(i) – Schedule of Assets (Held at End of Year)</w:t>
      </w:r>
    </w:p>
    <w:p>
      <w:pPr>
        <w:spacing w:after="0" w:line="27" w:lineRule="exact"/>
        <w:rPr>
          <w:sz w:val="20"/>
          <w:szCs w:val="20"/>
          <w:color w:val="auto"/>
        </w:rPr>
      </w:pPr>
    </w:p>
    <w:p>
      <w:pPr>
        <w:ind w:left="10592"/>
        <w:spacing w:after="0"/>
        <w:rPr>
          <w:sz w:val="20"/>
          <w:szCs w:val="20"/>
          <w:color w:val="auto"/>
        </w:rPr>
      </w:pPr>
      <w:r>
        <w:rPr>
          <w:rFonts w:ascii="Times New Roman" w:cs="Times New Roman" w:eastAsia="Times New Roman" w:hAnsi="Times New Roman"/>
          <w:sz w:val="18"/>
          <w:szCs w:val="18"/>
          <w:u w:val="single" w:color="auto"/>
          <w:color w:val="0000FF"/>
        </w:rPr>
        <w:t>11</w:t>
      </w:r>
    </w:p>
    <w:p>
      <w:pPr>
        <w:ind w:left="32"/>
        <w:spacing w:after="0" w:line="231" w:lineRule="auto"/>
        <w:rPr>
          <w:sz w:val="20"/>
          <w:szCs w:val="20"/>
          <w:color w:val="auto"/>
        </w:rPr>
      </w:pPr>
      <w:r>
        <w:rPr>
          <w:rFonts w:ascii="Times New Roman" w:cs="Times New Roman" w:eastAsia="Times New Roman" w:hAnsi="Times New Roman"/>
          <w:sz w:val="18"/>
          <w:szCs w:val="18"/>
          <w:u w:val="single" w:color="auto"/>
          <w:color w:val="0000FF"/>
        </w:rPr>
        <w:t>Index to Exhibits.</w:t>
      </w:r>
    </w:p>
    <w:p>
      <w:pPr>
        <w:ind w:left="10592"/>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1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u w:val="single" w:color="auto"/>
          <w:color w:val="0000FF"/>
        </w:rPr>
        <w:t>Signature.</w:t>
      </w:r>
    </w:p>
    <w:p>
      <w:pPr>
        <w:spacing w:after="0" w:line="16" w:lineRule="exact"/>
        <w:rPr>
          <w:sz w:val="20"/>
          <w:szCs w:val="20"/>
          <w:color w:val="auto"/>
        </w:rPr>
      </w:pPr>
    </w:p>
    <w:p>
      <w:pPr>
        <w:ind w:left="10592"/>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192" w:lineRule="exact"/>
        <w:rPr>
          <w:sz w:val="20"/>
          <w:szCs w:val="20"/>
          <w:color w:val="auto"/>
        </w:rPr>
      </w:pPr>
    </w:p>
    <w:p>
      <w:pPr>
        <w:ind w:left="-8" w:right="20" w:firstLine="8"/>
        <w:spacing w:after="0" w:line="282" w:lineRule="auto"/>
        <w:tabs>
          <w:tab w:leader="none" w:pos="1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 Rules and Regulations for Reporting and Disclosure under ERISA have been omitted because they are not applicable.</w:t>
      </w:r>
    </w:p>
    <w:p>
      <w:pPr>
        <w:spacing w:after="0" w:line="378"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17"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Quaker Houghton Retirement Savings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Quaker Houghton Retirement Savings Plan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schedule H, Line 4i – schedule of assets (held at the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102,134,093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100,937,964</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Collective trust funds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153,872,816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143,506,356</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Quaker Chemical Corporation Stock Fund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10,809,221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12,445,378</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4,018,114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3,758,858</w:t>
            </w: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270,834,244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260,648,556</w:t>
            </w:r>
          </w:p>
        </w:tc>
      </w:tr>
      <w:tr>
        <w:trPr>
          <w:trHeight w:val="256"/>
        </w:trPr>
        <w:tc>
          <w:tcPr>
            <w:tcW w:w="8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Employer's contributions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312,544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notes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3,064,928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3,354,772</w:t>
            </w:r>
          </w:p>
        </w:tc>
      </w:tr>
      <w:tr>
        <w:trPr>
          <w:trHeight w:val="223"/>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3,323,149</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3,667,316</w:t>
            </w:r>
          </w:p>
        </w:tc>
      </w:tr>
      <w:tr>
        <w:trPr>
          <w:trHeight w:val="257"/>
        </w:trPr>
        <w:tc>
          <w:tcPr>
            <w:tcW w:w="84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274,157,393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264,315,872</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4,650,975</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31,624,559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19,159,843</w:t>
            </w: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investment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36,607,827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23,810,818</w:t>
            </w: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participant notes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236,036</w:t>
            </w:r>
          </w:p>
        </w:tc>
      </w:tr>
      <w:tr>
        <w:trPr>
          <w:trHeight w:val="257"/>
        </w:trPr>
        <w:tc>
          <w:tcPr>
            <w:tcW w:w="8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6,698,253</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6,927,950</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10,823,290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11,014,327</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Rollover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1,898,491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1,590,072</w:t>
            </w: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contributions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19,420,034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19,532,349</w:t>
            </w:r>
          </w:p>
        </w:tc>
      </w:tr>
      <w:tr>
        <w:trPr>
          <w:trHeight w:val="237"/>
        </w:trPr>
        <w:tc>
          <w:tcPr>
            <w:tcW w:w="8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56,281,659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43,579,203</w:t>
            </w:r>
          </w:p>
        </w:tc>
      </w:tr>
      <w:tr>
        <w:trPr>
          <w:trHeight w:val="236"/>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of benefits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46,440,138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31,204,940</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46,440,138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31,204,940</w:t>
            </w:r>
          </w:p>
        </w:tc>
      </w:tr>
      <w:tr>
        <w:trPr>
          <w:trHeight w:val="236"/>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9,841,521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12,374,263</w:t>
            </w:r>
          </w:p>
        </w:tc>
      </w:tr>
      <w:tr>
        <w:trPr>
          <w:trHeight w:val="256"/>
        </w:trPr>
        <w:tc>
          <w:tcPr>
            <w:tcW w:w="8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264,315,872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251,941,609</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274,157,393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264,315,872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Quaker Houghton Retirement Savings Plan (the “Plan”) provides only general information. The Plan document provides a complete description of the Plan’s provisions.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is a defined contribution plan for certain U.S. employees of Quaker Chemical Corporation (doing business as Quaker Houghton) (the “Company”) and participating employers (AC Products, Inc. (“AC”), Epmar Corporation (“Epmar”), Summit Lubricants, Inc. (“Summit”), ECLI Products, LLC (“ECLI”), Houghton International Inc. (“Houghton”), Wallover Oil Company, Inc. (“Wallover”), Coral Chemical Company (“Coral”), Ultraseal America, Inc. (“Ultraseal”), SIFCO Applied Surface Concepts, LLC (“SIFCO”), and Baron Acquisition LLC (“Baron”). The Plan is administered by the Retirement Savings Plan Committee, which is appointed by the Company’s Board of Directors, and is subject to the Employee Retirement Income Security Act of 1974 (“ERISA”), as amended.</w:t>
      </w:r>
    </w:p>
    <w:p>
      <w:pPr>
        <w:spacing w:after="0" w:line="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Employees of the Company and adopting affiliates are eligible to participate in the Plan on their first day of employment or as soon as administratively practicable thereafter, unless specified differently in any bargaining unit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Participants may elect to contribute on a before-tax and/or after-tax basis any whole percentage of their compensation as defined, up to 75%, during the year, not to exceed the annual Internal Revenue Code (“IRC”) limits. At the discretion of the Retirement Savings Plan Committee, the Plan matches 50% of the first 6% of compensation as defined that is contributed to the Plan, with a maximum matching contribution of 3% of compensation. In addition, the Plan provides for non-elective non-discretionary contributions on behalf of participants who have completed one year of service equal to 3% of the eligible participant's compensation, as defined.</w:t>
      </w:r>
    </w:p>
    <w:p>
      <w:pPr>
        <w:spacing w:after="0" w:line="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Participants who are eligible to make contributions and who have or will attain age 50 before the end of the Plan year are eligible to make catch-up contributions in accordance with, and subject to, the limitations of the IRC. No Company matching contributions are made with respect to catch-up contributions.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Accounts</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or deducted with the participant’s contribution and any applicable direct expenses and allocation of the Company’s contributions and any Plan earnings and losses. Allocations are based on participant earnings, account balances, or specific participation transactions, as defined. The benefit to which a participant is entitled is the benefit that can be provided from the participant’s vested account balance.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Notes Receivable</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Participants may borrow from their fund accounts (other than amounts invested in the Quaker Chemical Corporation Stock Fund) an amount limited to the lesser of $50,000 or 50% of the participant’s vested account balance. The loans bear interest at a rate equal to the prevailing rate of interest charged for similar loans by lending institutions in the community (generally the prime rate), plus 1%. The term of each participant loan generally may not exceed five years except for the purchase of principal residence loans. Interest rates on outstanding participant notes receivable as of December 31, 2025 ranged from 4.25% to 9.50%. Principal and interest are paid ratably through periodic payroll deductions. Loan application fees and annual maintenance fees on all outstanding loans are paid by the participant. The Plan allows up to two loans at a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Benefits</w:t>
      </w:r>
    </w:p>
    <w:p>
      <w:pPr>
        <w:spacing w:after="0" w:line="11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Generally, upon separation of service, for any reason, a participant may receive a lump sum amount equal to the value of the participant’s account. In addition, a participant may elect to take an in-service distribution from their rollover account prior to reaching age 59 ½, and from all accounts upon reaching age 59 ½. If a participant’s vested account balance exceeds $1,000, the participant may defer payment until April 1 following the year the participant reaches the applicable age (age 70 ½ for a participant born before July 1, 1949, age 72, for a participant born after June 30, 1949 and before January 1, 1951, age 73 for a participant born on or after January 1, 1951 and before January 1, 1960, age 75 for a participant born on or after January 1960) or following the year in which the participant terminates employment, if later.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Hardship Withdrawals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are actively employed and who meet certain requirements may take a hardship withdrawal from their elective contributions.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Upon entering the Plan, participants are fully vested in Company matching contributions, Company discretionary non-elective contributions, Company non-discretionary non-elective contributions, and employee deferrals plus actual earnings.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Termination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to terminate the Plan subject to the provisions of ERISA.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financial statements are prepared on the accrual basis of accounting.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liabilities, and changes therein, and disclosure of contingent assets and liabilities. The most significant estimate is the determination of the fair values of the Plan’s investments. Actual results could differ from those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of Plan Assets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Plan’s assets are held by a trust managed by an affiliate of Vanguard Fiduciary Trust Company (“VFTC”), which acts as the Trustee for Plan investments. Certain administrative functions are performed by officers or employees of the Company. No such officer or employee receives compensation from the Plan. Substantially all administrative expenses, including the Trustee’s and audit fees, are paid directly by the Company and are therefore excluded from these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Valuation and Income Recognition</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Plan’s investments are recorded at fair value. Fair value is the price that would be received to sell an asset or paid to transfer a liability in an orderly transaction between market participants at the measurement date. Plan management determines the Plan’s valuation policies utilizing information provided by the Trustee. Refer to Note 4 – Fair Value Measures for further information.</w:t>
      </w:r>
    </w:p>
    <w:p>
      <w:pPr>
        <w:spacing w:after="0" w:line="6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Net appreciation in fair value of investments includes gains and losses on investments bought and sold during the year as well as unrealized gains and losses on those held at year end. Interest income is accrued when earned. Dividend income is recorded on the ex-dividend date. Capital gain distributions are included in dividend income.</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investment returns reflect certain fees paid by the investment funds, which include costs for portfolio management, administrative and other services as described in each fund’s prospectus. These fees are deducted by the investment funds prior to allocation of the Plan’s investment earnings activity and are therefore not separately identified as Plan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Notes Receivable</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Interest income is recorded on the accrual basis. Delinquent notes receivable from participants are recorded as a benefit payment when the Plan Administrator deems the participant note receivable to be in default based on the terms of the Plan document.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RISKS AND UNCERTAINTIES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Investment securities are exposed to various risks such as interest rate, credit and overall market volatility. Due to the risks associated with investment securities and the concentration of investments denoted in the table below, it is possible that changes in the values of investment securities will occur in the near term and that such changes could materially affect participants’ account balances and the amounts reported in the Statements of Net Assets Available for Benefits. Therefore, the Plan provides for investment options in various investment securities, which allows participants to diversify their securities portfolios and mitigate these risks.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details on investments that represent a concentration of greater than 10% of the Plan’s net assets: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98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2"/>
        </w:trPr>
        <w:tc>
          <w:tcPr>
            <w:tcW w:w="15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5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-5080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40" w:space="720"/>
            <w:col w:w="7280"/>
          </w:cols>
          <w:pgMar w:left="320" w:top="121" w:right="339" w:bottom="1440" w:gutter="0" w:footer="0" w:header="0"/>
        </w:sectPr>
      </w:pPr>
    </w:p>
    <w:p>
      <w:pPr>
        <w:ind w:left="20"/>
        <w:spacing w:after="0"/>
        <w:tabs>
          <w:tab w:leader="none" w:pos="5380" w:val="left"/>
          <w:tab w:leader="none" w:pos="5860" w:val="left"/>
          <w:tab w:leader="none" w:pos="7840" w:val="left"/>
          <w:tab w:leader="none" w:pos="8840" w:val="left"/>
          <w:tab w:leader="none" w:pos="10820" w:val="left"/>
        </w:tabs>
        <w:rPr>
          <w:sz w:val="20"/>
          <w:szCs w:val="20"/>
          <w:color w:val="auto"/>
        </w:rPr>
      </w:pPr>
      <w:r>
        <w:rPr>
          <w:rFonts w:ascii="Times New Roman" w:cs="Times New Roman" w:eastAsia="Times New Roman" w:hAnsi="Times New Roman"/>
          <w:sz w:val="18"/>
          <w:szCs w:val="18"/>
          <w:color w:val="auto"/>
        </w:rPr>
        <w:t>Vanguard Institutional Index Fund Institutional Shares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42,399,474</w:t>
      </w:r>
      <w:r>
        <w:rPr>
          <w:sz w:val="20"/>
          <w:szCs w:val="20"/>
          <w:color w:val="auto"/>
        </w:rPr>
        <w:tab/>
      </w:r>
      <w:r>
        <w:rPr>
          <w:rFonts w:ascii="Times New Roman" w:cs="Times New Roman" w:eastAsia="Times New Roman" w:hAnsi="Times New Roman"/>
          <w:sz w:val="18"/>
          <w:szCs w:val="18"/>
          <w:color w:val="auto"/>
        </w:rPr>
        <w:t>15 % $</w:t>
      </w:r>
      <w:r>
        <w:rPr>
          <w:sz w:val="20"/>
          <w:szCs w:val="20"/>
          <w:color w:val="auto"/>
        </w:rPr>
        <w:tab/>
      </w:r>
      <w:r>
        <w:rPr>
          <w:rFonts w:ascii="Times New Roman" w:cs="Times New Roman" w:eastAsia="Times New Roman" w:hAnsi="Times New Roman"/>
          <w:sz w:val="18"/>
          <w:szCs w:val="18"/>
          <w:color w:val="auto"/>
        </w:rPr>
        <w:t>41,937,310</w:t>
      </w:r>
      <w:r>
        <w:rPr>
          <w:sz w:val="20"/>
          <w:szCs w:val="20"/>
          <w:color w:val="auto"/>
        </w:rPr>
        <w:tab/>
      </w:r>
      <w:r>
        <w:rPr>
          <w:rFonts w:ascii="Times New Roman" w:cs="Times New Roman" w:eastAsia="Times New Roman" w:hAnsi="Times New Roman"/>
          <w:sz w:val="18"/>
          <w:szCs w:val="18"/>
          <w:color w:val="auto"/>
        </w:rPr>
        <w:t>16 %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Plan applies the guidance of the Financial Accounting Standards Board regarding fair value measurements, which establishes a common definition for fair value. Specifically, the guidance utilizes a fair value hierarchy that prioritizes the inputs to valuation techniques used to measure fair value into three broad levels. The following is a brief description of those three levels:</w:t>
      </w:r>
    </w:p>
    <w:p>
      <w:pPr>
        <w:spacing w:after="0" w:line="68" w:lineRule="exact"/>
        <w:rPr>
          <w:sz w:val="20"/>
          <w:szCs w:val="20"/>
          <w:color w:val="auto"/>
        </w:rPr>
      </w:pPr>
    </w:p>
    <w:p>
      <w:pPr>
        <w:ind w:left="640" w:hanging="31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right="240" w:hanging="331"/>
        <w:spacing w:after="0" w:line="282" w:lineRule="auto"/>
        <w:tabs>
          <w:tab w:leader="none" w:pos="6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3"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the investments measured at fair value, including the general classification of such instruments pursuant to the valuation hierarchy:</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Registered Investment Companies</w:t>
      </w:r>
    </w:p>
    <w:p>
      <w:pPr>
        <w:spacing w:after="0" w:line="119"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The shares of registered investment companies, which represent the Net Asset Value (“NAV”) of shares held by the Plan, are valued based on quoted market prices on an exchange in an active market and are classified as Level 1 investments.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 Stock Fund</w:t>
      </w:r>
    </w:p>
    <w:p>
      <w:pPr>
        <w:spacing w:after="0" w:line="119"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The common stock fund is comprised of investments in the Quaker Chemical Corporation Stock Fund, which is composed of shares of the Company and uninvested cash. The shares of the Company are traded on an exchange in an active market and are classified as a Level 1 investment.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Participant-Directed Brokerage Accounts</w:t>
      </w:r>
    </w:p>
    <w:p>
      <w:pPr>
        <w:spacing w:after="0" w:line="119"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participant-directed brokerage accounts are mainly composed of investments in common stock and registered investment companies, which are valued based on quoted market prices on an exchange in an active market and are classified as Level 1 investments.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Common/Collective Trust</w:t>
      </w:r>
    </w:p>
    <w:p>
      <w:pPr>
        <w:spacing w:after="0" w:line="119" w:lineRule="exact"/>
        <w:rPr>
          <w:sz w:val="20"/>
          <w:szCs w:val="20"/>
          <w:color w:val="auto"/>
        </w:rPr>
      </w:pPr>
    </w:p>
    <w:p>
      <w:pPr>
        <w:ind w:left="340"/>
        <w:spacing w:after="0" w:line="252" w:lineRule="auto"/>
        <w:rPr>
          <w:sz w:val="20"/>
          <w:szCs w:val="20"/>
          <w:color w:val="auto"/>
        </w:rPr>
      </w:pPr>
      <w:r>
        <w:rPr>
          <w:rFonts w:ascii="Times New Roman" w:cs="Times New Roman" w:eastAsia="Times New Roman" w:hAnsi="Times New Roman"/>
          <w:sz w:val="18"/>
          <w:szCs w:val="18"/>
          <w:color w:val="auto"/>
        </w:rPr>
        <w:t>The Plan invests in certain Vanguard Institutional trusts and certain Vanguard Retirement Trusts (collectively, the “Vanguard Trusts”), which include a stable value fund and trusts that invest in gradually differing mixes of Vanguard funds and trusts tailored to the risk level of the target retirement year. The Plan also invests in Prudential Trust’s Jennison Small/Mid Cap Equity Fund (the “Jennison Fund”) that holds ownership in a variety of equity securities across the Russell 2500 Index, which combines a portion of midcap stocks with small cap stocks, on behalf of its investors. Contract value is the amount participants would receive if they were to initiate a permitted transaction under the terms of the Plan, and also, represents contributions made under the contract, plus earnings, less participant withdrawals. Participants may ordinarily direct the withdrawal or transfer of all or a portion of their investment at contract value. Certain events limit the Plan’s ability to transact at contract value, including: 1) premature termination of the contracts by the Plan; 2) Plan termination; and 3) bankruptcy of the Plan sponsor. The Plan administrator does not believe that any events that would limit the Plan’s ability to transact at contract value with Plan participants are probable of occurring. Contract issuers may terminate and settle the contracts at other than contract value if there is a change in qualification status of a participant, sponsor or plan, a breach of material obligations under the contract and misrepresentation by the contract holder or failure of the underlying portfolio to conform to pre-established investment guidelines. The Vanguard Trusts and Jennison Fund are valued at the NAV of units held at year end. The NAV, as provided by the Trustee, is used as a practical expedient to estimate fair value. The NAV is based on the fair value of the underlying investments less any liabilities. The practical expedient would not be used when it is determined to be probable that the Vanguard Trusts or Jennison Fund will sell the investment for an amount different than the reported NAV.</w:t>
      </w:r>
    </w:p>
    <w:p>
      <w:pPr>
        <w:spacing w:after="0" w:line="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valuation methodologies described above may produce fair value calculations that may not be indicative of net realizable value or reflective of future fair values. Furthermore, while the Plan believes its valuation methodologies are appropriate and consistent with other market participants, the use of different methodologies or assumptions to determine the fair value of certain financial instruments could result in a different fair value measurement at the reporting date. There have been no significant changes in valuation methodologies used during the years ended December 31, 2025 and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Plan’s investments measured at fair value on a recurring basis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 December 31, 2025</w:t>
            </w:r>
          </w:p>
        </w:tc>
      </w:tr>
      <w:tr>
        <w:trPr>
          <w:trHeight w:val="238"/>
        </w:trPr>
        <w:tc>
          <w:tcPr>
            <w:tcW w:w="5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Using Fair Value Hierarchy</w:t>
            </w:r>
          </w:p>
        </w:tc>
        <w:tc>
          <w:tcPr>
            <w:tcW w:w="1000" w:type="dxa"/>
            <w:vAlign w:val="bottom"/>
            <w:tcBorders>
              <w:bottom w:val="single" w:sz="8" w:color="auto"/>
            </w:tcBorders>
          </w:tcPr>
          <w:p>
            <w:pPr>
              <w:spacing w:after="0"/>
              <w:rPr>
                <w:sz w:val="20"/>
                <w:szCs w:val="20"/>
                <w:color w:val="auto"/>
              </w:rPr>
            </w:pPr>
          </w:p>
        </w:tc>
      </w:tr>
      <w:tr>
        <w:trPr>
          <w:trHeight w:val="228"/>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4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102,134,093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102,134,093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Quaker Chemical Corporation Stock Fund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10,809,221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10,809,221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 in fair value hierarchy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116,961,428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116,961,428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 measured at NAV *</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153,872,816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270,834,244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116,961,428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 December 31, 2024</w:t>
            </w:r>
          </w:p>
        </w:tc>
      </w:tr>
      <w:tr>
        <w:trPr>
          <w:trHeight w:val="238"/>
        </w:trPr>
        <w:tc>
          <w:tcPr>
            <w:tcW w:w="5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Using Fair Value Hierarchy</w:t>
            </w:r>
          </w:p>
        </w:tc>
        <w:tc>
          <w:tcPr>
            <w:tcW w:w="1000" w:type="dxa"/>
            <w:vAlign w:val="bottom"/>
            <w:tcBorders>
              <w:bottom w:val="single" w:sz="8" w:color="auto"/>
            </w:tcBorders>
          </w:tcPr>
          <w:p>
            <w:pPr>
              <w:spacing w:after="0"/>
              <w:rPr>
                <w:sz w:val="20"/>
                <w:szCs w:val="20"/>
                <w:color w:val="auto"/>
              </w:rPr>
            </w:pPr>
          </w:p>
        </w:tc>
      </w:tr>
      <w:tr>
        <w:trPr>
          <w:trHeight w:val="228"/>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4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100,937,964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100,937,964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Quaker Chemical Corporation Stock Fund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12,445,378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 in fair value hierarchy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117,142,200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117,142,200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 measured at NAV *</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143,506,356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260,648,556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117,142,200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300" w:firstLine="8"/>
        <w:spacing w:after="0" w:line="302" w:lineRule="auto"/>
        <w:tabs>
          <w:tab w:leader="none" w:pos="1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investments that are measured at fair value using the NAV per share (or its equivalent) have not been classified in the fair value hierarchy. The fair value amounts presented in these tables are intended to permit reconciliation of the fair value hierarchies to the line items presented in the Statements of Net Assets Available for Benefits.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Plan’s investments that are measured at fair value using the NAV per share were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Common/Collective Trusts</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Fair 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Unfunded</w:t>
            </w:r>
          </w:p>
        </w:tc>
        <w:tc>
          <w:tcPr>
            <w:tcW w:w="1440" w:type="dxa"/>
            <w:vAlign w:val="bottom"/>
            <w:gridSpan w:val="2"/>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243"/>
        </w:trPr>
        <w:tc>
          <w:tcPr>
            <w:tcW w:w="542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Fund</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3,654,826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4"/>
              </w:rPr>
              <w:t>Daily</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Stable Value Funds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13,306,856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Daily</w:t>
            </w: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Target-Date Funds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136,911,134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Daily</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542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153,872,816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Common/Collective Trusts</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Unfunded</w:t>
            </w:r>
          </w:p>
        </w:tc>
        <w:tc>
          <w:tcPr>
            <w:tcW w:w="14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243"/>
        </w:trPr>
        <w:tc>
          <w:tcPr>
            <w:tcW w:w="548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Notice Period</w:t>
            </w: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Fund</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4,310,434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Daily</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Stable Value Funds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17,807,576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Daily</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Target-Date Funds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121,388,346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Daily</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3"/>
        </w:trPr>
        <w:tc>
          <w:tcPr>
            <w:tcW w:w="548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143,506,356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AND PARTY-IN-INTEREST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invests in shares of mutual funds and collective trusts managed by an affiliate of VFTC, which acts as the Trustee for Plan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shares of Company common stock included in the Quaker Chemical Corporation Stock Fund are offered as an investment to Plan participants. As of December 31, 2025 and 2024, the Plan held approximately 78,721 and 88,416 shares of common stock of Quaker Chemical Corporation, respectively, with a fair value of $10,809,221 and $12,445,378, respectively. Total sales at market value related to the Quaker Chemical Corporation Stock Fund were $896,727 and $572,015 for the years ended December 31, 2025 and 2024, respectively. Total contributions into the Quaker Chemical Corporation Stock Fund were $127,229 and $174,343 for the years ended December 31, 2025 and 2024, respectively. Transactions in such investments qualify as party-in-interest transactions and are exempt from the prohibited transaction rules.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notes receivable qualify as party-in-interest transactions and are exempt from the prohibited transaction rules.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TAX STATUS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underlying non-standardized pre-approved plan has received an opinion letter from the Internal Revenue Service (“IRS”) dated June 30, 2020 stating that the form of the Plan is qualified under Section 401(a) of the IRC and, therefore, the trust is tax exempt. Although the Plan has been amended since receiving the opinion letter, the Plan administrator believes that the Plan is designed and currently being operated in compliance with the applicable requirements of the Code. The Plan administrator has not identified any uncertain tax positions which would require adjustment to or disclosure in the Plan’s financial statements as of December 31, 2025 and 2024. The IRS has the ability to examine the Plan’s tax return filings for all open tax years, which generally relate to the three prior years; however, there are currently no audits for any tax periods in progress. The Plan administrator believes it is no longer subject to income tax examinations for years prior to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and the Plan have evaluated subsequent events through the date that these financial statements were issued, and there were no subsequent events, which would require an adjustment or additional disclosures to the financial statements.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tabs>
          <w:tab w:leader="none" w:pos="226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Schedule H, Line 4(i)</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Quaker Houghton Retirement Savings Plan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ind w:left="468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Quaker Houghton Retirement Savings Plan, EIN 23-0993790, PN 112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to Form 5500, Schedule H, Part IV, Line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 Current</w:t>
            </w:r>
          </w:p>
        </w:tc>
        <w:tc>
          <w:tcPr>
            <w:tcW w:w="0" w:type="dxa"/>
            <w:vAlign w:val="bottom"/>
          </w:tcPr>
          <w:p>
            <w:pPr>
              <w:spacing w:after="0"/>
              <w:rPr>
                <w:sz w:val="1"/>
                <w:szCs w:val="1"/>
                <w:color w:val="auto"/>
              </w:rPr>
            </w:pPr>
          </w:p>
        </w:tc>
      </w:tr>
      <w:tr>
        <w:trPr>
          <w:trHeight w:val="176"/>
        </w:trPr>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 Identity of issue, borrower, lessor, or similar party</w:t>
            </w:r>
          </w:p>
        </w:tc>
        <w:tc>
          <w:tcPr>
            <w:tcW w:w="4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date, rate of interest, collateral, par, or maturity</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 w:type="dxa"/>
            <w:vAlign w:val="bottom"/>
            <w:gridSpan w:val="2"/>
            <w:vMerge w:val="continue"/>
          </w:tcPr>
          <w:p>
            <w:pPr>
              <w:spacing w:after="0"/>
              <w:rPr>
                <w:sz w:val="21"/>
                <w:szCs w:val="21"/>
                <w:color w:val="auto"/>
              </w:rPr>
            </w:pPr>
          </w:p>
        </w:tc>
        <w:tc>
          <w:tcPr>
            <w:tcW w:w="5320" w:type="dxa"/>
            <w:vAlign w:val="bottom"/>
            <w:gridSpan w:val="2"/>
            <w:vMerge w:val="continue"/>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Jennison Small/Mid Cap Equity Fund of Prudential Trust</w:t>
            </w:r>
          </w:p>
        </w:tc>
        <w:tc>
          <w:tcPr>
            <w:tcW w:w="8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3,654,826</w:t>
            </w:r>
          </w:p>
        </w:tc>
        <w:tc>
          <w:tcPr>
            <w:tcW w:w="0" w:type="dxa"/>
            <w:vAlign w:val="bottom"/>
          </w:tcPr>
          <w:p>
            <w:pPr>
              <w:spacing w:after="0"/>
              <w:rPr>
                <w:sz w:val="1"/>
                <w:szCs w:val="1"/>
                <w:color w:val="auto"/>
              </w:rPr>
            </w:pPr>
          </w:p>
        </w:tc>
      </w:tr>
      <w:tr>
        <w:trPr>
          <w:trHeight w:val="229"/>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5,667,542</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16,549,026</w:t>
            </w:r>
          </w:p>
        </w:tc>
        <w:tc>
          <w:tcPr>
            <w:tcW w:w="0" w:type="dxa"/>
            <w:vAlign w:val="bottom"/>
          </w:tcPr>
          <w:p>
            <w:pPr>
              <w:spacing w:after="0"/>
              <w:rPr>
                <w:sz w:val="1"/>
                <w:szCs w:val="1"/>
                <w:color w:val="auto"/>
              </w:rPr>
            </w:pPr>
          </w:p>
        </w:tc>
      </w:tr>
      <w:tr>
        <w:trPr>
          <w:trHeight w:val="229"/>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23,241,332</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22,012,151</w:t>
            </w:r>
          </w:p>
        </w:tc>
        <w:tc>
          <w:tcPr>
            <w:tcW w:w="0" w:type="dxa"/>
            <w:vAlign w:val="bottom"/>
          </w:tcPr>
          <w:p>
            <w:pPr>
              <w:spacing w:after="0"/>
              <w:rPr>
                <w:sz w:val="1"/>
                <w:szCs w:val="1"/>
                <w:color w:val="auto"/>
              </w:rPr>
            </w:pPr>
          </w:p>
        </w:tc>
      </w:tr>
      <w:tr>
        <w:trPr>
          <w:trHeight w:val="229"/>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17,314,419</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14,194,941</w:t>
            </w:r>
          </w:p>
        </w:tc>
        <w:tc>
          <w:tcPr>
            <w:tcW w:w="0" w:type="dxa"/>
            <w:vAlign w:val="bottom"/>
          </w:tcPr>
          <w:p>
            <w:pPr>
              <w:spacing w:after="0"/>
              <w:rPr>
                <w:sz w:val="1"/>
                <w:szCs w:val="1"/>
                <w:color w:val="auto"/>
              </w:rPr>
            </w:pPr>
          </w:p>
        </w:tc>
      </w:tr>
      <w:tr>
        <w:trPr>
          <w:trHeight w:val="23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15,393,941</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10,664,044</w:t>
            </w:r>
          </w:p>
        </w:tc>
        <w:tc>
          <w:tcPr>
            <w:tcW w:w="0" w:type="dxa"/>
            <w:vAlign w:val="bottom"/>
          </w:tcPr>
          <w:p>
            <w:pPr>
              <w:spacing w:after="0"/>
              <w:rPr>
                <w:sz w:val="1"/>
                <w:szCs w:val="1"/>
                <w:color w:val="auto"/>
              </w:rPr>
            </w:pPr>
          </w:p>
        </w:tc>
      </w:tr>
      <w:tr>
        <w:trPr>
          <w:trHeight w:val="229"/>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5,191,584</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3,054,726</w:t>
            </w:r>
          </w:p>
        </w:tc>
        <w:tc>
          <w:tcPr>
            <w:tcW w:w="0" w:type="dxa"/>
            <w:vAlign w:val="bottom"/>
          </w:tcPr>
          <w:p>
            <w:pPr>
              <w:spacing w:after="0"/>
              <w:rPr>
                <w:sz w:val="1"/>
                <w:szCs w:val="1"/>
                <w:color w:val="auto"/>
              </w:rPr>
            </w:pPr>
          </w:p>
        </w:tc>
      </w:tr>
      <w:tr>
        <w:trPr>
          <w:trHeight w:val="229"/>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2070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153,919</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3,472,076</w:t>
            </w:r>
          </w:p>
        </w:tc>
        <w:tc>
          <w:tcPr>
            <w:tcW w:w="0" w:type="dxa"/>
            <w:vAlign w:val="bottom"/>
          </w:tcPr>
          <w:p>
            <w:pPr>
              <w:spacing w:after="0"/>
              <w:rPr>
                <w:sz w:val="1"/>
                <w:szCs w:val="1"/>
                <w:color w:val="auto"/>
              </w:rPr>
            </w:pPr>
          </w:p>
        </w:tc>
      </w:tr>
      <w:tr>
        <w:trPr>
          <w:trHeight w:val="229"/>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and Growth Trust II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Retirement Savings Trust III</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13,306,856</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Loomis Sayles Core Plus Bond Fund; Class N</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199,715</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Extended Market Index Fund Institutional Shares</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9,331,814</w:t>
            </w:r>
          </w:p>
        </w:tc>
        <w:tc>
          <w:tcPr>
            <w:tcW w:w="0" w:type="dxa"/>
            <w:vAlign w:val="bottom"/>
          </w:tcPr>
          <w:p>
            <w:pPr>
              <w:spacing w:after="0"/>
              <w:rPr>
                <w:sz w:val="1"/>
                <w:szCs w:val="1"/>
                <w:color w:val="auto"/>
              </w:rPr>
            </w:pPr>
          </w:p>
        </w:tc>
      </w:tr>
      <w:tr>
        <w:trPr>
          <w:trHeight w:val="23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Federal Money Market Fund</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Institutional Index Fund Institutional Shares</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42,399,474</w:t>
            </w:r>
          </w:p>
        </w:tc>
        <w:tc>
          <w:tcPr>
            <w:tcW w:w="0" w:type="dxa"/>
            <w:vAlign w:val="bottom"/>
          </w:tcPr>
          <w:p>
            <w:pPr>
              <w:spacing w:after="0"/>
              <w:rPr>
                <w:sz w:val="1"/>
                <w:szCs w:val="1"/>
                <w:color w:val="auto"/>
              </w:rPr>
            </w:pPr>
          </w:p>
        </w:tc>
      </w:tr>
      <w:tr>
        <w:trPr>
          <w:trHeight w:val="23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International Growth Fund Admiral Shares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7,716,284</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Total Bond Market Index Fund Institutional Shares</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12,007,457</w:t>
            </w:r>
          </w:p>
        </w:tc>
        <w:tc>
          <w:tcPr>
            <w:tcW w:w="0" w:type="dxa"/>
            <w:vAlign w:val="bottom"/>
          </w:tcPr>
          <w:p>
            <w:pPr>
              <w:spacing w:after="0"/>
              <w:rPr>
                <w:sz w:val="1"/>
                <w:szCs w:val="1"/>
                <w:color w:val="auto"/>
              </w:rPr>
            </w:pPr>
          </w:p>
        </w:tc>
      </w:tr>
      <w:tr>
        <w:trPr>
          <w:trHeight w:val="23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Total International Bond Index Fund Admiral Shares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1,083,652</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Total International Stock Index Fund Admiral Shares</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6,251,884</w:t>
            </w:r>
          </w:p>
        </w:tc>
        <w:tc>
          <w:tcPr>
            <w:tcW w:w="0" w:type="dxa"/>
            <w:vAlign w:val="bottom"/>
          </w:tcPr>
          <w:p>
            <w:pPr>
              <w:spacing w:after="0"/>
              <w:rPr>
                <w:sz w:val="1"/>
                <w:szCs w:val="1"/>
                <w:color w:val="auto"/>
              </w:rPr>
            </w:pPr>
          </w:p>
        </w:tc>
      </w:tr>
      <w:tr>
        <w:trPr>
          <w:trHeight w:val="23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U.S. Growth Fund Admiral Shares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16,443,704</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Windsor II Fund Admiral Shares</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6,683,477</w:t>
            </w:r>
          </w:p>
        </w:tc>
        <w:tc>
          <w:tcPr>
            <w:tcW w:w="0" w:type="dxa"/>
            <w:vAlign w:val="bottom"/>
          </w:tcPr>
          <w:p>
            <w:pPr>
              <w:spacing w:after="0"/>
              <w:rPr>
                <w:sz w:val="1"/>
                <w:szCs w:val="1"/>
                <w:color w:val="auto"/>
              </w:rPr>
            </w:pPr>
          </w:p>
        </w:tc>
      </w:tr>
      <w:tr>
        <w:trPr>
          <w:trHeight w:val="23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Brokerage Fund</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4,018,114</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Quaker Chemical Corporation Stock Fund</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Fund</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10,809,221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5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270,834,244</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520" w:type="dxa"/>
            <w:vAlign w:val="bottom"/>
            <w:shd w:val="clear" w:color="auto" w:fill="CCEEFF"/>
          </w:tcPr>
          <w:p>
            <w:pPr>
              <w:spacing w:after="0"/>
              <w:rPr>
                <w:sz w:val="16"/>
                <w:szCs w:val="16"/>
                <w:color w:val="auto"/>
              </w:rPr>
            </w:pPr>
          </w:p>
        </w:tc>
        <w:tc>
          <w:tcPr>
            <w:tcW w:w="5360" w:type="dxa"/>
            <w:vAlign w:val="bottom"/>
            <w:shd w:val="clear" w:color="auto" w:fill="CCEEFF"/>
          </w:tcPr>
          <w:p>
            <w:pPr>
              <w:ind w:left="1280"/>
              <w:spacing w:after="0" w:line="192" w:lineRule="exact"/>
              <w:rPr>
                <w:sz w:val="20"/>
                <w:szCs w:val="20"/>
                <w:color w:val="auto"/>
              </w:rPr>
            </w:pPr>
            <w:r>
              <w:rPr>
                <w:rFonts w:ascii="Times New Roman" w:cs="Times New Roman" w:eastAsia="Times New Roman" w:hAnsi="Times New Roman"/>
                <w:sz w:val="18"/>
                <w:szCs w:val="18"/>
                <w:color w:val="auto"/>
              </w:rPr>
              <w:t>Loans to participants, interest rates ranging from</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6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notes receivable</w:t>
            </w:r>
          </w:p>
        </w:tc>
        <w:tc>
          <w:tcPr>
            <w:tcW w:w="5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4.25% to 9.50% with various maturities through 2034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3,064,928</w:t>
            </w:r>
          </w:p>
        </w:tc>
      </w:tr>
      <w:tr>
        <w:trPr>
          <w:trHeight w:val="223"/>
        </w:trPr>
        <w:tc>
          <w:tcPr>
            <w:tcW w:w="4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Participant Notes Receivable</w:t>
            </w:r>
          </w:p>
        </w:tc>
        <w:tc>
          <w:tcPr>
            <w:tcW w:w="5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3,064,928</w:t>
            </w:r>
          </w:p>
        </w:tc>
      </w:tr>
      <w:tr>
        <w:trPr>
          <w:trHeight w:val="20"/>
        </w:trPr>
        <w:tc>
          <w:tcPr>
            <w:tcW w:w="4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Party-in-Interest</w:t>
      </w:r>
    </w:p>
    <w:p>
      <w:pPr>
        <w:spacing w:after="0" w:line="182" w:lineRule="exact"/>
        <w:rPr>
          <w:sz w:val="20"/>
          <w:szCs w:val="20"/>
          <w:color w:val="auto"/>
        </w:rPr>
      </w:pPr>
    </w:p>
    <w:p>
      <w:pPr>
        <w:sectPr>
          <w:pgSz w:w="11900" w:h="16838" w:orient="portrait"/>
          <w:cols w:equalWidth="0" w:num="2">
            <w:col w:w="120" w:space="280"/>
            <w:col w:w="10840"/>
          </w:cols>
          <w:pgMar w:left="320" w:top="117" w:right="339" w:bottom="1440" w:gutter="0" w:footer="0" w:header="0"/>
          <w:type w:val="continuous"/>
        </w:sectPr>
      </w:pPr>
    </w:p>
    <w:p>
      <w:pPr>
        <w:ind w:left="5540" w:right="5040" w:hanging="5514"/>
        <w:spacing w:after="0" w:line="345" w:lineRule="auto"/>
        <w:tabs>
          <w:tab w:leader="none" w:pos="393" w:val="left"/>
        </w:tabs>
        <w:numPr>
          <w:ilvl w:val="0"/>
          <w:numId w:val="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Column (d) is omitted as cost is not required for participant directed investments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77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92"/>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 w:type="dxa"/>
            <w:vAlign w:val="bottom"/>
          </w:tcPr>
          <w:p>
            <w:pPr>
              <w:spacing w:after="0"/>
              <w:rPr>
                <w:sz w:val="24"/>
                <w:szCs w:val="24"/>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2"/>
        </w:trPr>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27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9700" w:type="dxa"/>
            <w:vAlign w:val="bottom"/>
            <w:gridSpan w:val="4"/>
          </w:tcPr>
          <w:p>
            <w:pPr>
              <w:jc w:val="right"/>
              <w:ind w:right="5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Accounting Firm</w:t>
            </w:r>
          </w:p>
        </w:tc>
      </w:tr>
      <w:tr>
        <w:trPr>
          <w:trHeight w:val="939"/>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8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520" w:type="dxa"/>
            <w:vAlign w:val="bottom"/>
          </w:tcPr>
          <w:p>
            <w:pPr>
              <w:spacing w:after="0"/>
              <w:rPr>
                <w:sz w:val="24"/>
                <w:szCs w:val="24"/>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5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9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Quaker Houghton Retirement Savings Plan</w:t>
      </w:r>
    </w:p>
    <w:p>
      <w:pPr>
        <w:spacing w:after="0" w:line="279"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7"/>
          <w:szCs w:val="17"/>
          <w:color w:val="auto"/>
        </w:rPr>
        <w:t>/s/ ROBERT T. TRAUB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Robert T. Traub, Senior Vice President,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320" w:top="121" w:right="5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We have issued our report dated June 12, 2026, with respect to the financial statements and supplemental information included in the Annual Report of Quaker Houghton Retirement Savings Plan on Form 11-K for the year ended December 31, 2025. We consent to the incorporation by reference of said report in the Registration Statement of Quaker Chemical Corporation on Forms S-8 (File No. 333-208188, 333-159513, 333-115713, 033-54158).</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12, 2026</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2026-06-12T06:36:11Z</dcterms:created>
  <dcterms:modified xsi:type="dcterms:W3CDTF">2026-06-12T06:36:11Z</dcterms:modified>
</cp:coreProperties>
</file>