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 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16"/>
        </w:rPr>
        <w:t xml:space="preserve">For the transition period from </w:t>
      </w:r>
      <w:r>
        <w:rPr>
          <w:color w:val="000000"/>
          <w:u w:val="single"/>
        </w:rPr>
        <w:t>            </w:t>
      </w:r>
      <w:r>
        <w:rPr>
          <w:color w:val="000000"/>
        </w:rPr>
        <w:t xml:space="preserve"> </w:t>
      </w:r>
      <w:r>
        <w:rPr>
          <w:rFonts w:ascii="Times New Roman;serif" w:hAnsi="Times New Roman;serif"/>
          <w:b/>
          <w:color w:val="000000"/>
          <w:sz w:val="16"/>
        </w:rPr>
        <w:t xml:space="preserve">to </w:t>
      </w:r>
      <w:r>
        <w:rPr>
          <w:color w:val="000000"/>
          <w:u w:val="single"/>
        </w:rPr>
        <w:t>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Commission file number 001-12019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color w:val="000000"/>
          <w:sz w:val="40"/>
        </w:rPr>
      </w:pPr>
      <w:r>
        <w:rPr>
          <w:rFonts w:ascii="Times New Roman;serif" w:hAnsi="Times New Roman;serif"/>
          <w:b/>
          <w:color w:val="000000"/>
          <w:sz w:val="40"/>
        </w:rPr>
        <w:t>QUAKER CHEMICAL CORPORATION</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center"/>
        <w:tblInd w:w="0" w:type="dxa"/>
        <w:tblLayout w:type="fixed"/>
        <w:tblCellMar>
          <w:top w:w="28" w:type="dxa"/>
          <w:left w:w="28" w:type="dxa"/>
          <w:bottom w:w="28" w:type="dxa"/>
          <w:right w:w="28" w:type="dxa"/>
        </w:tblCellMar>
      </w:tblPr>
      <w:tblGrid>
        <w:gridCol w:w="1356"/>
        <w:gridCol w:w="1193"/>
        <w:gridCol w:w="1200"/>
        <w:gridCol w:w="657"/>
        <w:gridCol w:w="657"/>
        <w:gridCol w:w="935"/>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Pennsylvania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23-0993790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bl>
    <w:tbl>
      <w:tblPr>
        <w:tblW w:w="3568" w:type="dxa"/>
        <w:jc w:val="center"/>
        <w:tblInd w:w="0" w:type="dxa"/>
        <w:tblLayout w:type="fixed"/>
        <w:tblCellMar>
          <w:top w:w="28" w:type="dxa"/>
          <w:left w:w="28" w:type="dxa"/>
          <w:bottom w:w="28" w:type="dxa"/>
          <w:right w:w="28" w:type="dxa"/>
        </w:tblCellMar>
      </w:tblPr>
      <w:tblGrid>
        <w:gridCol w:w="879"/>
        <w:gridCol w:w="773"/>
        <w:gridCol w:w="777"/>
        <w:gridCol w:w="333"/>
        <w:gridCol w:w="333"/>
        <w:gridCol w:w="47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901 E. Hector Street,</w:t>
            </w:r>
          </w:p>
          <w:p>
            <w:pPr>
              <w:pStyle w:val="TableContents"/>
              <w:bidi w:val="0"/>
              <w:spacing w:lineRule="auto" w:line="240" w:before="0" w:after="120"/>
              <w:jc w:val="center"/>
              <w:rPr>
                <w:rFonts w:ascii="Times New Roman;serif" w:hAnsi="Times New Roman;serif"/>
                <w:b/>
                <w:color w:val="000000"/>
                <w:sz w:val="16"/>
              </w:rPr>
            </w:pPr>
            <w:r>
              <w:rPr>
                <w:rFonts w:ascii="Times New Roman;serif" w:hAnsi="Times New Roman;serif"/>
                <w:b/>
                <w:color w:val="000000"/>
                <w:sz w:val="16"/>
              </w:rPr>
              <w:t>Conshohocken, Pennsylvania</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19428 – 2380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610-832-4000</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Former name, former address and former fiscal year,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463" w:type="dxa"/>
        <w:jc w:val="center"/>
        <w:tblInd w:w="0" w:type="dxa"/>
        <w:tblLayout w:type="fixed"/>
        <w:tblCellMar>
          <w:top w:w="28" w:type="dxa"/>
          <w:left w:w="28" w:type="dxa"/>
          <w:bottom w:w="28" w:type="dxa"/>
          <w:right w:w="28" w:type="dxa"/>
        </w:tblCellMar>
      </w:tblPr>
      <w:tblGrid>
        <w:gridCol w:w="783"/>
        <w:gridCol w:w="684"/>
        <w:gridCol w:w="693"/>
        <w:gridCol w:w="109"/>
        <w:gridCol w:w="109"/>
        <w:gridCol w:w="109"/>
        <w:gridCol w:w="474"/>
        <w:gridCol w:w="474"/>
        <w:gridCol w:w="476"/>
        <w:gridCol w:w="109"/>
        <w:gridCol w:w="109"/>
        <w:gridCol w:w="109"/>
        <w:gridCol w:w="945"/>
        <w:gridCol w:w="945"/>
        <w:gridCol w:w="1335"/>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No    </w:t>
      </w:r>
      <w:r>
        <w:rPr>
          <w:rFonts w:ascii="Wingdings;sans-serif" w:hAnsi="Wingdings;sans-serif"/>
          <w:b/>
          <w:color w:val="000000"/>
          <w:sz w:val="16"/>
        </w:rPr>
        <w:t>o</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is a shell company (as defined in Rule 12b-2 of the Exchange Act).    Yes  </w:t>
      </w:r>
      <w:r>
        <w:rPr>
          <w:rFonts w:ascii="Wingdings;sans-serif" w:hAnsi="Wingdings;sans-serif"/>
          <w:b/>
          <w:color w:val="000000"/>
          <w:sz w:val="16"/>
        </w:rPr>
        <w:t>o</w:t>
      </w:r>
      <w:r>
        <w:rPr>
          <w:color w:val="000000"/>
        </w:rPr>
        <w:t>   </w:t>
      </w:r>
      <w:r>
        <w:rPr>
          <w:rFonts w:ascii="Times New Roman;serif" w:hAnsi="Times New Roman;serif"/>
          <w:b w:val="false"/>
          <w:color w:val="000000"/>
          <w:sz w:val="16"/>
        </w:rPr>
        <w:t>No  </w:t>
      </w:r>
      <w:r>
        <w:rPr>
          <w:rFonts w:ascii="Wingdings;sans-serif" w:hAnsi="Wingdings;sans-serif"/>
          <w:b/>
          <w:color w:val="000000"/>
          <w:sz w:val="16"/>
        </w:rPr>
        <w:t>x</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6000" w:type="dxa"/>
        <w:jc w:val="center"/>
        <w:tblInd w:w="0" w:type="dxa"/>
        <w:tblLayout w:type="fixed"/>
        <w:tblCellMar>
          <w:top w:w="28" w:type="dxa"/>
          <w:left w:w="28" w:type="dxa"/>
          <w:bottom w:w="28" w:type="dxa"/>
          <w:right w:w="28" w:type="dxa"/>
        </w:tblCellMar>
      </w:tblPr>
      <w:tblGrid>
        <w:gridCol w:w="1826"/>
        <w:gridCol w:w="1604"/>
        <w:gridCol w:w="1609"/>
        <w:gridCol w:w="281"/>
        <w:gridCol w:w="281"/>
        <w:gridCol w:w="399"/>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Number of Shares of Common Stock Outstanding on April 27, 2026</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17,366,444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914"/>
        <w:gridCol w:w="2914"/>
        <w:gridCol w:w="2919"/>
        <w:gridCol w:w="180"/>
        <w:gridCol w:w="180"/>
        <w:gridCol w:w="25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center"/>
              <w:rPr/>
            </w:pPr>
            <w:r>
              <w:rPr/>
              <w:t>Page</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0">
              <w:r>
                <w:rPr>
                  <w:rStyle w:val="InternetLink"/>
                  <w:rFonts w:ascii="Times New Roman;serif" w:hAnsi="Times New Roman;serif"/>
                  <w:b/>
                  <w:strike w:val="false"/>
                  <w:dstrike w:val="false"/>
                  <w:color w:val="0000FF"/>
                  <w:sz w:val="20"/>
                  <w:u w:val="none"/>
                  <w:effect w:val="none"/>
                </w:rPr>
                <w:t>PART I.</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0">
              <w:r>
                <w:rPr>
                  <w:rStyle w:val="InternetLink"/>
                  <w:rFonts w:ascii="Times New Roman;serif" w:hAnsi="Times New Roman;serif"/>
                  <w:b/>
                  <w:color w:val="0000FF"/>
                  <w:sz w:val="20"/>
                  <w:u w:val="single"/>
                </w:rPr>
                <w:t>FINANCIAL INFORMATION</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10">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3">
              <w:r>
                <w:rPr>
                  <w:rStyle w:val="InternetLink"/>
                  <w:rFonts w:ascii="Times New Roman;serif" w:hAnsi="Times New Roman;serif"/>
                  <w:b/>
                  <w:strike w:val="false"/>
                  <w:dstrike w:val="false"/>
                  <w:color w:val="0000FF"/>
                  <w:sz w:val="20"/>
                  <w:u w:val="none"/>
                  <w:effect w:val="none"/>
                </w:rPr>
                <w:t>Item 1.</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13">
              <w:r>
                <w:rPr>
                  <w:rStyle w:val="InternetLink"/>
                  <w:rFonts w:ascii="Times New Roman;serif" w:hAnsi="Times New Roman;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13">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16">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000FF"/>
                <w:sz w:val="20"/>
                <w:u w:val="single"/>
              </w:rPr>
              <w:t>Three</w:t>
            </w:r>
            <w:hyperlink w:anchor="i6d9dfccbbae34bb4975265bac2e3f427_16">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March 31, 2026</w:t>
            </w:r>
            <w:hyperlink w:anchor="i6d9dfccbbae34bb4975265bac2e3f427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March 31, 2025</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16">
              <w:r>
                <w:rPr>
                  <w:rStyle w:val="InternetLink"/>
                  <w:rFonts w:ascii="Times New Roman;serif" w:hAnsi="Times New Roman;serif"/>
                  <w:b w:val="false"/>
                  <w:color w:val="0000FF"/>
                  <w:sz w:val="20"/>
                  <w:u w:val="singl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19">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0000FF"/>
                <w:sz w:val="20"/>
                <w:u w:val="single"/>
              </w:rPr>
              <w:t>Three</w:t>
            </w:r>
            <w:hyperlink w:anchor="i6d9dfccbbae34bb4975265bac2e3f427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March 31, 2026</w:t>
            </w:r>
            <w:hyperlink w:anchor="i6d9dfccbbae34bb4975265bac2e3f427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March 31, 2025</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19">
              <w:r>
                <w:rPr>
                  <w:rStyle w:val="InternetLink"/>
                  <w:rFonts w:ascii="Times New Roman;serif" w:hAnsi="Times New Roman;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2">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000FF"/>
                <w:sz w:val="20"/>
                <w:u w:val="single"/>
              </w:rPr>
              <w:t xml:space="preserve">March 31, 2026 </w:t>
            </w:r>
            <w:hyperlink w:anchor="i6d9dfccbbae34bb4975265bac2e3f427_22">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December 31, 2025</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2">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FF"/>
                <w:sz w:val="20"/>
                <w:u w:val="single"/>
              </w:rPr>
              <w:t>Three Months Ended March 31, 2026</w:t>
            </w:r>
            <w:hyperlink w:anchor="i6d9dfccbbae34bb4975265bac2e3f427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March 31, 2025</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5">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8">
              <w:r>
                <w:rPr>
                  <w:rStyle w:val="InternetLink"/>
                  <w:rFonts w:ascii="Times New Roman;serif" w:hAnsi="Times New Roman;serif"/>
                  <w:b w:val="false"/>
                  <w:color w:val="000080"/>
                  <w:sz w:val="20"/>
                  <w:u w:val="single"/>
                </w:rPr>
                <w:t xml:space="preserve">Condensed Consolidated Statements of Changes in Equity for the </w:t>
              </w:r>
            </w:hyperlink>
            <w:r>
              <w:rPr>
                <w:rFonts w:ascii="Times New Roman;serif" w:hAnsi="Times New Roman;serif"/>
                <w:b w:val="false"/>
                <w:color w:val="0000FF"/>
                <w:sz w:val="20"/>
                <w:u w:val="single"/>
              </w:rPr>
              <w:t>Three</w:t>
            </w:r>
            <w:hyperlink w:anchor="i6d9dfccbbae34bb4975265bac2e3f427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FF"/>
                <w:sz w:val="20"/>
                <w:u w:val="single"/>
              </w:rPr>
              <w:t xml:space="preserve">March 31, 2026 </w:t>
            </w:r>
            <w:hyperlink w:anchor="i6d9dfccbbae34bb4975265bac2e3f427_28">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March 31, 2025</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8">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31">
              <w:r>
                <w:rPr>
                  <w:rStyle w:val="InternetLink"/>
                  <w:rFonts w:ascii="Times New Roman;serif" w:hAnsi="Times New Roman;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31">
              <w:r>
                <w:rPr>
                  <w:rStyle w:val="InternetLink"/>
                  <w:rFonts w:ascii="Times New Roman;serif" w:hAnsi="Times New Roman;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38">
              <w:r>
                <w:rPr>
                  <w:rStyle w:val="InternetLink"/>
                  <w:rFonts w:ascii="Times New Roman;serif" w:hAnsi="Times New Roman;serif"/>
                  <w:b/>
                  <w:strike w:val="false"/>
                  <w:dstrike w:val="false"/>
                  <w:color w:val="0000FF"/>
                  <w:sz w:val="20"/>
                  <w:u w:val="none"/>
                  <w:effect w:val="none"/>
                </w:rPr>
                <w:t>Item 2.</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16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166">
              <w:r>
                <w:rPr>
                  <w:rStyle w:val="InternetLink"/>
                  <w:rFonts w:ascii="Times New Roman;serif" w:hAnsi="Times New Roman;serif"/>
                  <w:b w:val="false"/>
                  <w:color w:val="0000FF"/>
                  <w:sz w:val="20"/>
                  <w:u w:val="single"/>
                </w:rPr>
                <w:t>24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20">
              <w:r>
                <w:rPr>
                  <w:rStyle w:val="InternetLink"/>
                  <w:rFonts w:ascii="Times New Roman;serif" w:hAnsi="Times New Roman;serif"/>
                  <w:b/>
                  <w:strike w:val="false"/>
                  <w:dstrike w:val="false"/>
                  <w:color w:val="0000FF"/>
                  <w:sz w:val="20"/>
                  <w:u w:val="none"/>
                  <w:effect w:val="none"/>
                </w:rPr>
                <w:t>Item 3.</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20">
              <w:r>
                <w:rPr>
                  <w:rStyle w:val="InternetLink"/>
                  <w:rFonts w:ascii="Times New Roman;serif" w:hAnsi="Times New Roman;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20">
              <w:r>
                <w:rPr>
                  <w:rStyle w:val="InternetLink"/>
                  <w:rFonts w:ascii="Times New Roman;serif" w:hAnsi="Times New Roman;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26">
              <w:r>
                <w:rPr>
                  <w:rStyle w:val="InternetLink"/>
                  <w:rFonts w:ascii="Times New Roman;serif" w:hAnsi="Times New Roman;serif"/>
                  <w:b/>
                  <w:strike w:val="false"/>
                  <w:dstrike w:val="false"/>
                  <w:color w:val="0000FF"/>
                  <w:sz w:val="20"/>
                  <w:u w:val="none"/>
                  <w:effect w:val="none"/>
                </w:rPr>
                <w:t>Item 4.</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26">
              <w:r>
                <w:rPr>
                  <w:rStyle w:val="InternetLink"/>
                  <w:rFonts w:ascii="Times New Roman;serif" w:hAnsi="Times New Roman;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26">
              <w:r>
                <w:rPr>
                  <w:rStyle w:val="InternetLink"/>
                  <w:rFonts w:ascii="Times New Roman;serif" w:hAnsi="Times New Roman;serif"/>
                  <w:b w:val="false"/>
                  <w:color w:val="0000FF"/>
                  <w:sz w:val="20"/>
                  <w:u w:val="single"/>
                </w:rPr>
                <w:t>35</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29">
              <w:r>
                <w:rPr>
                  <w:rStyle w:val="InternetLink"/>
                  <w:rFonts w:ascii="Times New Roman;serif" w:hAnsi="Times New Roman;serif"/>
                  <w:b/>
                  <w:strike w:val="false"/>
                  <w:dstrike w:val="false"/>
                  <w:color w:val="0000FF"/>
                  <w:sz w:val="20"/>
                  <w:u w:val="none"/>
                  <w:effect w:val="none"/>
                </w:rPr>
                <w:t>PART II</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29">
              <w:r>
                <w:rPr>
                  <w:rStyle w:val="InternetLink"/>
                  <w:rFonts w:ascii="Times New Roman;serif" w:hAnsi="Times New Roman;serif"/>
                  <w:b/>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32">
              <w:r>
                <w:rPr>
                  <w:rStyle w:val="InternetLink"/>
                  <w:rFonts w:ascii="Times New Roman;serif" w:hAnsi="Times New Roman;serif"/>
                  <w:b/>
                  <w:strike w:val="false"/>
                  <w:dstrike w:val="false"/>
                  <w:color w:val="0000FF"/>
                  <w:sz w:val="20"/>
                  <w:u w:val="none"/>
                  <w:effect w:val="none"/>
                </w:rPr>
                <w:t>Item 1.</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32">
              <w:r>
                <w:rPr>
                  <w:rStyle w:val="InternetLink"/>
                  <w:rFonts w:ascii="Times New Roman;serif" w:hAnsi="Times New Roman;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32">
              <w:r>
                <w:rPr>
                  <w:rStyle w:val="InternetLink"/>
                  <w:rFonts w:ascii="Times New Roman;serif" w:hAnsi="Times New Roman;serif"/>
                  <w:b w:val="false"/>
                  <w:color w:val="0000FF"/>
                  <w:sz w:val="20"/>
                  <w:u w:val="singl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35">
              <w:r>
                <w:rPr>
                  <w:rStyle w:val="InternetLink"/>
                  <w:rFonts w:ascii="Times New Roman;serif" w:hAnsi="Times New Roman;serif"/>
                  <w:b/>
                  <w:strike w:val="false"/>
                  <w:dstrike w:val="false"/>
                  <w:color w:val="0000FF"/>
                  <w:sz w:val="20"/>
                  <w:u w:val="none"/>
                  <w:effect w:val="none"/>
                </w:rPr>
                <w:t>Item 1A.</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35">
              <w:r>
                <w:rPr>
                  <w:rStyle w:val="InternetLink"/>
                  <w:rFonts w:ascii="Times New Roman;serif" w:hAnsi="Times New Roman;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35">
              <w:r>
                <w:rPr>
                  <w:rStyle w:val="InternetLink"/>
                  <w:rFonts w:ascii="Times New Roman;serif" w:hAnsi="Times New Roman;serif"/>
                  <w:b w:val="false"/>
                  <w:color w:val="0000FF"/>
                  <w:sz w:val="20"/>
                  <w:u w:val="singl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66">
              <w:r>
                <w:rPr>
                  <w:rStyle w:val="InternetLink"/>
                  <w:rFonts w:ascii="Times New Roman;serif" w:hAnsi="Times New Roman;serif"/>
                  <w:b/>
                  <w:strike w:val="false"/>
                  <w:dstrike w:val="false"/>
                  <w:color w:val="0000FF"/>
                  <w:sz w:val="20"/>
                  <w:u w:val="none"/>
                  <w:effect w:val="none"/>
                </w:rPr>
                <w:t>Item 2.</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38">
              <w:r>
                <w:rPr>
                  <w:rStyle w:val="InternetLink"/>
                  <w:rFonts w:ascii="Times New Roman;serif" w:hAnsi="Times New Roman;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38">
              <w:r>
                <w:rPr>
                  <w:rStyle w:val="InternetLink"/>
                  <w:rFonts w:ascii="Times New Roman;serif" w:hAnsi="Times New Roman;serif"/>
                  <w:b w:val="false"/>
                  <w:color w:val="0000FF"/>
                  <w:sz w:val="20"/>
                  <w:u w:val="singl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FF"/>
                <w:sz w:val="20"/>
              </w:rPr>
            </w:pPr>
            <w:r>
              <w:rPr>
                <w:rFonts w:ascii="Times New Roman;serif" w:hAnsi="Times New Roman;serif"/>
                <w:b/>
                <w:color w:val="0000FF"/>
                <w:sz w:val="20"/>
              </w:rPr>
              <w:t>Item 5.</w:t>
            </w:r>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41">
              <w:r>
                <w:rPr>
                  <w:rStyle w:val="InternetLink"/>
                  <w:rFonts w:ascii="Times New Roman;serif" w:hAnsi="Times New Roman;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41">
              <w:r>
                <w:rPr>
                  <w:rStyle w:val="InternetLink"/>
                  <w:rFonts w:ascii="Times New Roman;serif" w:hAnsi="Times New Roman;serif"/>
                  <w:b w:val="false"/>
                  <w:color w:val="0000FF"/>
                  <w:sz w:val="20"/>
                  <w:u w:val="singl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44">
              <w:r>
                <w:rPr>
                  <w:rStyle w:val="InternetLink"/>
                  <w:rFonts w:ascii="Times New Roman;serif" w:hAnsi="Times New Roman;serif"/>
                  <w:b/>
                  <w:strike w:val="false"/>
                  <w:dstrike w:val="false"/>
                  <w:color w:val="0000FF"/>
                  <w:sz w:val="20"/>
                  <w:u w:val="none"/>
                  <w:effect w:val="none"/>
                </w:rPr>
                <w:t>Item 6.</w:t>
              </w:r>
            </w:hyperlink>
          </w:p>
        </w:tc>
        <w:tc>
          <w:tcPr>
            <w:tcW w:w="874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44">
              <w:r>
                <w:rPr>
                  <w:rStyle w:val="InternetLink"/>
                  <w:rFonts w:ascii="Times New Roman;serif" w:hAnsi="Times New Roman;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44">
              <w:r>
                <w:rPr>
                  <w:rStyle w:val="InternetLink"/>
                  <w:rFonts w:ascii="Times New Roman;serif" w:hAnsi="Times New Roman;serif"/>
                  <w:b w:val="false"/>
                  <w:color w:val="0000FF"/>
                  <w:sz w:val="20"/>
                  <w:u w:val="single"/>
                </w:rPr>
                <w:t>38</w:t>
              </w:r>
            </w:hyperlink>
          </w:p>
        </w:tc>
      </w:tr>
      <w:tr>
        <w:trPr/>
        <w:tc>
          <w:tcPr>
            <w:tcW w:w="9588" w:type="dxa"/>
            <w:gridSpan w:val="6"/>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d9dfccbbae34bb4975265bac2e3f427_247">
              <w:r>
                <w:rPr>
                  <w:rStyle w:val="InternetLink"/>
                  <w:rFonts w:ascii="Times New Roman;serif" w:hAnsi="Times New Roman;serif"/>
                  <w:b/>
                  <w:color w:val="0000FF"/>
                  <w:sz w:val="20"/>
                  <w:u w:val="single"/>
                </w:rPr>
                <w:t>Signatures</w:t>
              </w:r>
            </w:hyperlink>
            <w:r>
              <w:rPr>
                <w:rFonts w:ascii="Times New Roman;serif" w:hAnsi="Times New Roman;serif"/>
                <w:b/>
                <w:i/>
                <w:color w:val="0000FF"/>
                <w:sz w:val="20"/>
                <w:u w:val="single"/>
              </w:rPr>
              <w:t>.</w:t>
            </w:r>
          </w:p>
        </w:tc>
        <w:tc>
          <w:tcPr>
            <w:tcW w:w="6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center"/>
              <w:rPr/>
            </w:pPr>
            <w:hyperlink w:anchor="i6d9dfccbbae34bb4975265bac2e3f427_247">
              <w:r>
                <w:rPr>
                  <w:rStyle w:val="InternetLink"/>
                  <w:rFonts w:ascii="Times New Roman;serif" w:hAnsi="Times New Roman;serif"/>
                  <w:b w:val="false"/>
                  <w:color w:val="0000FF"/>
                  <w:sz w:val="20"/>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2573"/>
        <w:gridCol w:w="2246"/>
        <w:gridCol w:w="2284"/>
        <w:gridCol w:w="211"/>
        <w:gridCol w:w="826"/>
        <w:gridCol w:w="109"/>
        <w:gridCol w:w="109"/>
        <w:gridCol w:w="109"/>
        <w:gridCol w:w="109"/>
        <w:gridCol w:w="211"/>
        <w:gridCol w:w="826"/>
        <w:gridCol w:w="109"/>
        <w:gridCol w:w="109"/>
        <w:gridCol w:w="109"/>
        <w:gridCol w:w="109"/>
        <w:gridCol w:w="156"/>
      </w:tblGrid>
      <w:tr>
        <w:trPr/>
        <w:tc>
          <w:tcPr>
            <w:tcW w:w="2573"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expense - See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 and equity in net income of associated companies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net income of associated companies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 common shareholders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 common shareholders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8994" w:type="dxa"/>
        <w:jc w:val="center"/>
        <w:tblInd w:w="0" w:type="dxa"/>
        <w:tblLayout w:type="fixed"/>
        <w:tblCellMar>
          <w:top w:w="28" w:type="dxa"/>
          <w:left w:w="28" w:type="dxa"/>
          <w:bottom w:w="28" w:type="dxa"/>
          <w:right w:w="28" w:type="dxa"/>
        </w:tblCellMar>
      </w:tblPr>
      <w:tblGrid>
        <w:gridCol w:w="2210"/>
        <w:gridCol w:w="1938"/>
        <w:gridCol w:w="1956"/>
        <w:gridCol w:w="211"/>
        <w:gridCol w:w="721"/>
        <w:gridCol w:w="109"/>
        <w:gridCol w:w="109"/>
        <w:gridCol w:w="109"/>
        <w:gridCol w:w="109"/>
        <w:gridCol w:w="211"/>
        <w:gridCol w:w="721"/>
        <w:gridCol w:w="109"/>
        <w:gridCol w:w="109"/>
        <w:gridCol w:w="109"/>
        <w:gridCol w:w="109"/>
        <w:gridCol w:w="154"/>
      </w:tblGrid>
      <w:tr>
        <w:trPr/>
        <w:tc>
          <w:tcPr>
            <w:tcW w:w="2210"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retirement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change in fair value of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Quaker Chemical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par value)</w:t>
      </w:r>
    </w:p>
    <w:tbl>
      <w:tblPr>
        <w:tblW w:w="8947" w:type="dxa"/>
        <w:jc w:val="center"/>
        <w:tblInd w:w="0" w:type="dxa"/>
        <w:tblLayout w:type="fixed"/>
        <w:tblCellMar>
          <w:top w:w="28" w:type="dxa"/>
          <w:left w:w="28" w:type="dxa"/>
          <w:bottom w:w="28" w:type="dxa"/>
          <w:right w:w="28" w:type="dxa"/>
        </w:tblCellMar>
      </w:tblPr>
      <w:tblGrid>
        <w:gridCol w:w="2177"/>
        <w:gridCol w:w="1909"/>
        <w:gridCol w:w="1913"/>
        <w:gridCol w:w="418"/>
        <w:gridCol w:w="411"/>
        <w:gridCol w:w="415"/>
        <w:gridCol w:w="109"/>
        <w:gridCol w:w="109"/>
        <w:gridCol w:w="109"/>
        <w:gridCol w:w="506"/>
        <w:gridCol w:w="359"/>
        <w:gridCol w:w="512"/>
      </w:tblGrid>
      <w:tr>
        <w:trPr/>
        <w:tc>
          <w:tcPr>
            <w:tcW w:w="217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179,829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417,157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Raw materials and supplies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124,751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Work-in-process and finished goods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141,025</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58,428</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921,190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at cost</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604,787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Less: Accumulated depreciation</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(291,364)</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Property, plant and equipment, net</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313,423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lease assets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38,737</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501,720</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873,540</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associated companies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106,915</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12,128</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30,283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2,797,936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and current portion of long-term debt</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35,657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198,929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41,192</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restructuring</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pension and postretirement benefits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85,097</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380,156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834,901</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22,759</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140,814</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accrued pension and postretirement benefits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20,615</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22,192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1,421,437</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authorized 30,000,000 shares; issued and outstanding</w:t>
            </w:r>
          </w:p>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March 31, 2026 – 17,365,508 shares; December 31, 2025 – 17,331,779 shares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874,826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596,616</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(115,661)</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Quaker shareholders’ equity</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1,373,113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3,386</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1,379,151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1,376,499</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2,797,936</w:t>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2744"/>
        <w:gridCol w:w="2390"/>
        <w:gridCol w:w="2406"/>
        <w:gridCol w:w="211"/>
        <w:gridCol w:w="826"/>
        <w:gridCol w:w="109"/>
        <w:gridCol w:w="109"/>
        <w:gridCol w:w="109"/>
        <w:gridCol w:w="109"/>
        <w:gridCol w:w="211"/>
        <w:gridCol w:w="826"/>
        <w:gridCol w:w="155"/>
      </w:tblGrid>
      <w:tr>
        <w:trPr/>
        <w:tc>
          <w:tcPr>
            <w:tcW w:w="274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earnings of associated companies, net of dividends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plant and equipment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from changes in current assets and current liabilities, net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revolving credit facilities,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(payments) on other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stock related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purchases of property, plant and equipment, net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Equity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w:t>
      </w:r>
    </w:p>
    <w:tbl>
      <w:tblPr>
        <w:tblW w:w="10482" w:type="dxa"/>
        <w:jc w:val="center"/>
        <w:tblInd w:w="0" w:type="dxa"/>
        <w:tblLayout w:type="fixed"/>
        <w:tblCellMar>
          <w:top w:w="28" w:type="dxa"/>
          <w:left w:w="28" w:type="dxa"/>
          <w:bottom w:w="28" w:type="dxa"/>
          <w:right w:w="28" w:type="dxa"/>
        </w:tblCellMar>
      </w:tblPr>
      <w:tblGrid>
        <w:gridCol w:w="728"/>
        <w:gridCol w:w="311"/>
        <w:gridCol w:w="312"/>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59"/>
        <w:gridCol w:w="1032"/>
        <w:gridCol w:w="135"/>
        <w:gridCol w:w="109"/>
        <w:gridCol w:w="109"/>
        <w:gridCol w:w="109"/>
        <w:gridCol w:w="314"/>
        <w:gridCol w:w="918"/>
        <w:gridCol w:w="164"/>
        <w:gridCol w:w="109"/>
        <w:gridCol w:w="109"/>
        <w:gridCol w:w="109"/>
        <w:gridCol w:w="211"/>
        <w:gridCol w:w="97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($0.485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(175,655)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1,376,499 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reported in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($0.508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 and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(125,359)</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tbl>
      <w:tblPr>
        <w:tblW w:w="5446" w:type="dxa"/>
        <w:jc w:val="left"/>
        <w:tblInd w:w="0" w:type="dxa"/>
        <w:tblLayout w:type="fixed"/>
        <w:tblCellMar>
          <w:top w:w="28" w:type="dxa"/>
          <w:left w:w="28" w:type="dxa"/>
          <w:bottom w:w="28" w:type="dxa"/>
          <w:right w:w="28" w:type="dxa"/>
        </w:tblCellMar>
      </w:tblPr>
      <w:tblGrid>
        <w:gridCol w:w="277"/>
        <w:gridCol w:w="242"/>
        <w:gridCol w:w="246"/>
        <w:gridCol w:w="1369"/>
        <w:gridCol w:w="1369"/>
        <w:gridCol w:w="1372"/>
        <w:gridCol w:w="167"/>
        <w:gridCol w:w="167"/>
        <w:gridCol w:w="23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226">
              <w:r>
                <w:rPr>
                  <w:rStyle w:val="InternetLink"/>
                  <w:rFonts w:ascii="Times New Roman;serif" w:hAnsi="Times New Roman;serif"/>
                  <w:b/>
                  <w:strike w:val="false"/>
                  <w:dstrike w:val="false"/>
                  <w:color w:val="000000"/>
                  <w:sz w:val="20"/>
                  <w:u w:val="none"/>
                  <w:effect w:val="none"/>
                </w:rPr>
                <w:t>Note 1</w:t>
              </w:r>
            </w:hyperlink>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37">
              <w:r>
                <w:rPr>
                  <w:rStyle w:val="InternetLink"/>
                  <w:rFonts w:ascii="Times New Roman;serif" w:hAnsi="Times New Roman;serif"/>
                  <w:b w:val="false"/>
                  <w:color w:val="0000FF"/>
                  <w:sz w:val="20"/>
                  <w:u w:val="single"/>
                </w:rPr>
                <w:t>Basis of Presentation and Description of Business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6d9dfccbbae34bb4975265bac2e3f427_37">
              <w:r>
                <w:rPr>
                  <w:rStyle w:val="InternetLink"/>
                  <w:rFonts w:ascii="Times New Roman;serif" w:hAnsi="Times New Roman;serif"/>
                  <w:b w:val="false"/>
                  <w:color w:val="0000FF"/>
                  <w:sz w:val="20"/>
                  <w:u w:val="single"/>
                </w:rPr>
                <w:t>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40">
              <w:r>
                <w:rPr>
                  <w:rStyle w:val="InternetLink"/>
                  <w:rFonts w:ascii="Times New Roman;serif" w:hAnsi="Times New Roman;serif"/>
                  <w:b w:val="false"/>
                  <w:color w:val="0000FF"/>
                  <w:sz w:val="20"/>
                  <w:u w:val="single"/>
                </w:rPr>
                <w:t>Business Acquisitions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40">
              <w:r>
                <w:rPr>
                  <w:rStyle w:val="InternetLink"/>
                  <w:rFonts w:ascii="Times New Roman;serif" w:hAnsi="Times New Roman;serif"/>
                  <w:b w:val="false"/>
                  <w:color w:val="0000FF"/>
                  <w:sz w:val="20"/>
                  <w:u w:val="single"/>
                </w:rPr>
                <w:t>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49">
              <w:r>
                <w:rPr>
                  <w:rStyle w:val="InternetLink"/>
                  <w:rFonts w:ascii="Times New Roman;serif" w:hAnsi="Times New Roman;serif"/>
                  <w:b w:val="false"/>
                  <w:color w:val="0000FF"/>
                  <w:sz w:val="20"/>
                  <w:u w:val="single"/>
                </w:rPr>
                <w:t>Recently Issued Accounting Standards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49">
              <w:r>
                <w:rPr>
                  <w:rStyle w:val="InternetLink"/>
                  <w:rFonts w:ascii="Times New Roman;serif" w:hAnsi="Times New Roman;serif"/>
                  <w:b w:val="false"/>
                  <w:color w:val="0000FF"/>
                  <w:sz w:val="20"/>
                  <w:u w:val="single"/>
                </w:rPr>
                <w:t>10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55">
              <w:r>
                <w:rPr>
                  <w:rStyle w:val="InternetLink"/>
                  <w:rFonts w:ascii="Times New Roman;serif" w:hAnsi="Times New Roman;serif"/>
                  <w:b w:val="false"/>
                  <w:color w:val="0000FF"/>
                  <w:sz w:val="20"/>
                  <w:u w:val="single"/>
                </w:rPr>
                <w:t>Business Segments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55">
              <w:r>
                <w:rPr>
                  <w:rStyle w:val="InternetLink"/>
                  <w:rFonts w:ascii="Times New Roman;serif" w:hAnsi="Times New Roman;serif"/>
                  <w:b w:val="false"/>
                  <w:color w:val="0000FF"/>
                  <w:sz w:val="20"/>
                  <w:u w:val="single"/>
                </w:rPr>
                <w:t>11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61">
              <w:r>
                <w:rPr>
                  <w:rStyle w:val="InternetLink"/>
                  <w:rFonts w:ascii="Times New Roman;serif" w:hAnsi="Times New Roman;serif"/>
                  <w:b w:val="false"/>
                  <w:color w:val="0000FF"/>
                  <w:sz w:val="20"/>
                  <w:u w:val="single"/>
                </w:rPr>
                <w:t>Net Sales and Revenue Recognition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61">
              <w:r>
                <w:rPr>
                  <w:rStyle w:val="InternetLink"/>
                  <w:rFonts w:ascii="Times New Roman;serif" w:hAnsi="Times New Roman;serif"/>
                  <w:b w:val="false"/>
                  <w:color w:val="0000FF"/>
                  <w:sz w:val="20"/>
                  <w:u w:val="singl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73">
              <w:r>
                <w:rPr>
                  <w:rStyle w:val="InternetLink"/>
                  <w:rFonts w:ascii="Times New Roman;serif" w:hAnsi="Times New Roman;serif"/>
                  <w:b w:val="false"/>
                  <w:color w:val="0000FF"/>
                  <w:sz w:val="20"/>
                  <w:u w:val="single"/>
                </w:rPr>
                <w:t>Leases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73">
              <w:r>
                <w:rPr>
                  <w:rStyle w:val="InternetLink"/>
                  <w:rFonts w:ascii="Times New Roman;serif" w:hAnsi="Times New Roman;serif"/>
                  <w:b w:val="false"/>
                  <w:color w:val="0000FF"/>
                  <w:sz w:val="20"/>
                  <w:u w:val="single"/>
                </w:rPr>
                <w:t>13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76">
              <w:r>
                <w:rPr>
                  <w:rStyle w:val="InternetLink"/>
                  <w:rFonts w:ascii="Times New Roman;serif" w:hAnsi="Times New Roman;serif"/>
                  <w:b w:val="false"/>
                  <w:color w:val="0000FF"/>
                  <w:sz w:val="20"/>
                  <w:u w:val="single"/>
                </w:rPr>
                <w:t>Restructuring and Related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76">
              <w:r>
                <w:rPr>
                  <w:rStyle w:val="InternetLink"/>
                  <w:rFonts w:ascii="Times New Roman;serif" w:hAnsi="Times New Roman;serif"/>
                  <w:b w:val="false"/>
                  <w:color w:val="0000FF"/>
                  <w:sz w:val="20"/>
                  <w:u w:val="singl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79">
              <w:r>
                <w:rPr>
                  <w:rStyle w:val="InternetLink"/>
                  <w:rFonts w:ascii="Times New Roman;serif" w:hAnsi="Times New Roman;serif"/>
                  <w:b w:val="false"/>
                  <w:color w:val="0000FF"/>
                  <w:sz w:val="20"/>
                  <w:u w:val="single"/>
                </w:rPr>
                <w:t>Share-Based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79">
              <w:r>
                <w:rPr>
                  <w:rStyle w:val="InternetLink"/>
                  <w:rFonts w:ascii="Times New Roman;serif" w:hAnsi="Times New Roman;serif"/>
                  <w:b w:val="false"/>
                  <w:color w:val="0000FF"/>
                  <w:sz w:val="20"/>
                  <w:u w:val="single"/>
                </w:rPr>
                <w:t>15</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88">
              <w:r>
                <w:rPr>
                  <w:rStyle w:val="InternetLink"/>
                  <w:rFonts w:ascii="Times New Roman;serif" w:hAnsi="Times New Roman;serif"/>
                  <w:b w:val="false"/>
                  <w:color w:val="0000FF"/>
                  <w:sz w:val="20"/>
                  <w:u w:val="single"/>
                </w:rPr>
                <w:t>Pension and Other Postretirement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88">
              <w:r>
                <w:rPr>
                  <w:rStyle w:val="InternetLink"/>
                  <w:rFonts w:ascii="Times New Roman;serif" w:hAnsi="Times New Roman;serif"/>
                  <w:b w:val="false"/>
                  <w:color w:val="0000FF"/>
                  <w:sz w:val="20"/>
                  <w:u w:val="singl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91">
              <w:r>
                <w:rPr>
                  <w:rStyle w:val="InternetLink"/>
                  <w:rFonts w:ascii="Times New Roman;serif" w:hAnsi="Times New Roman;serif"/>
                  <w:b w:val="false"/>
                  <w:color w:val="000080"/>
                  <w:sz w:val="20"/>
                  <w:u w:val="single"/>
                </w:rPr>
                <w:t xml:space="preserve">Other </w:t>
              </w:r>
            </w:hyperlink>
            <w:hyperlink w:anchor="i6d9dfccbbae34bb4975265bac2e3f427_91">
              <w:r>
                <w:rPr>
                  <w:rStyle w:val="InternetLink"/>
                  <w:rFonts w:ascii="Times New Roman;serif" w:hAnsi="Times New Roman;serif"/>
                  <w:b w:val="false"/>
                  <w:color w:val="000080"/>
                  <w:sz w:val="20"/>
                  <w:u w:val="single"/>
                </w:rPr>
                <w:t>Expense</w:t>
              </w:r>
            </w:hyperlink>
            <w:hyperlink w:anchor="i6d9dfccbbae34bb4975265bac2e3f427_91">
              <w:r>
                <w:rPr>
                  <w:rStyle w:val="InternetLink"/>
                  <w:rFonts w:ascii="Times New Roman;serif" w:hAnsi="Times New Roman;serif"/>
                  <w:b w:val="false"/>
                  <w:color w:val="000080"/>
                  <w:sz w:val="20"/>
                  <w:u w:val="single"/>
                </w:rPr>
                <w:t>, net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91">
              <w:r>
                <w:rPr>
                  <w:rStyle w:val="InternetLink"/>
                  <w:rFonts w:ascii="Times New Roman;serif" w:hAnsi="Times New Roman;serif"/>
                  <w:b w:val="false"/>
                  <w:color w:val="0000FF"/>
                  <w:sz w:val="20"/>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94">
              <w:r>
                <w:rPr>
                  <w:rStyle w:val="InternetLink"/>
                  <w:rFonts w:ascii="Times New Roman;serif" w:hAnsi="Times New Roman;serif"/>
                  <w:b w:val="false"/>
                  <w:color w:val="0000FF"/>
                  <w:sz w:val="20"/>
                  <w:u w:val="singl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94">
              <w:r>
                <w:rPr>
                  <w:rStyle w:val="InternetLink"/>
                  <w:rFonts w:ascii="Times New Roman;serif" w:hAnsi="Times New Roman;serif"/>
                  <w:b w:val="false"/>
                  <w:color w:val="0000FF"/>
                  <w:sz w:val="20"/>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12">
              <w:r>
                <w:rPr>
                  <w:rStyle w:val="InternetLink"/>
                  <w:rFonts w:ascii="Times New Roman;serif" w:hAnsi="Times New Roman;serif"/>
                  <w:b w:val="false"/>
                  <w:color w:val="0000FF"/>
                  <w:sz w:val="20"/>
                  <w:u w:val="single"/>
                </w:rPr>
                <w:t>Earnings Per Share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12">
              <w:r>
                <w:rPr>
                  <w:rStyle w:val="InternetLink"/>
                  <w:rFonts w:ascii="Times New Roman;serif" w:hAnsi="Times New Roman;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15">
              <w:r>
                <w:rPr>
                  <w:rStyle w:val="InternetLink"/>
                  <w:rFonts w:ascii="Times New Roman;serif" w:hAnsi="Times New Roman;serif"/>
                  <w:b w:val="false"/>
                  <w:color w:val="0000FF"/>
                  <w:sz w:val="20"/>
                  <w:u w:val="single"/>
                </w:rPr>
                <w:t>Goodwill and Other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15">
              <w:r>
                <w:rPr>
                  <w:rStyle w:val="InternetLink"/>
                  <w:rFonts w:ascii="Times New Roman;serif" w:hAnsi="Times New Roman;serif"/>
                  <w:b w:val="false"/>
                  <w:color w:val="0000FF"/>
                  <w:sz w:val="20"/>
                  <w:u w:val="single"/>
                </w:rPr>
                <w:t>18</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21">
              <w:r>
                <w:rPr>
                  <w:rStyle w:val="InternetLink"/>
                  <w:rFonts w:ascii="Times New Roman;serif" w:hAnsi="Times New Roman;serif"/>
                  <w:b w:val="false"/>
                  <w:color w:val="0000FF"/>
                  <w:sz w:val="20"/>
                  <w:u w:val="single"/>
                </w:rPr>
                <w:t>Debt</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21">
              <w:r>
                <w:rPr>
                  <w:rStyle w:val="InternetLink"/>
                  <w:rFonts w:ascii="Times New Roman;serif" w:hAnsi="Times New Roman;serif"/>
                  <w:b w:val="false"/>
                  <w:color w:val="0000FF"/>
                  <w:sz w:val="20"/>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45">
              <w:r>
                <w:rPr>
                  <w:rStyle w:val="InternetLink"/>
                  <w:rFonts w:ascii="Times New Roman;serif" w:hAnsi="Times New Roman;serif"/>
                  <w:b w:val="false"/>
                  <w:color w:val="0000FF"/>
                  <w:sz w:val="20"/>
                  <w:u w:val="single"/>
                </w:rPr>
                <w:t>Accumulated Other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45">
              <w:r>
                <w:rPr>
                  <w:rStyle w:val="InternetLink"/>
                  <w:rFonts w:ascii="Times New Roman;serif" w:hAnsi="Times New Roman;serif"/>
                  <w:b w:val="false"/>
                  <w:color w:val="0000FF"/>
                  <w:sz w:val="20"/>
                  <w:u w:val="single"/>
                </w:rPr>
                <w:t>21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51">
              <w:r>
                <w:rPr>
                  <w:rStyle w:val="InternetLink"/>
                  <w:rFonts w:ascii="Times New Roman;serif" w:hAnsi="Times New Roman;serif"/>
                  <w:b w:val="false"/>
                  <w:color w:val="0000FF"/>
                  <w:sz w:val="20"/>
                  <w:u w:val="single"/>
                </w:rPr>
                <w:t>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51">
              <w:r>
                <w:rPr>
                  <w:rStyle w:val="InternetLink"/>
                  <w:rFonts w:ascii="Times New Roman;serif" w:hAnsi="Times New Roman;serif"/>
                  <w:b w:val="false"/>
                  <w:color w:val="0000FF"/>
                  <w:sz w:val="20"/>
                  <w:u w:val="single"/>
                </w:rPr>
                <w:t>22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54">
              <w:r>
                <w:rPr>
                  <w:rStyle w:val="InternetLink"/>
                  <w:rFonts w:ascii="Times New Roman;serif" w:hAnsi="Times New Roman;serif"/>
                  <w:b w:val="false"/>
                  <w:color w:val="0000FF"/>
                  <w:sz w:val="20"/>
                  <w:u w:val="single"/>
                </w:rPr>
                <w:t>Hedging Activities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54">
              <w:r>
                <w:rPr>
                  <w:rStyle w:val="InternetLink"/>
                  <w:rFonts w:ascii="Times New Roman;serif" w:hAnsi="Times New Roman;serif"/>
                  <w:b w:val="false"/>
                  <w:color w:val="0000FF"/>
                  <w:sz w:val="20"/>
                  <w:u w:val="single"/>
                </w:rPr>
                <w:t>22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9dfccbbae34bb4975265bac2e3f427_157">
              <w:r>
                <w:rPr>
                  <w:rStyle w:val="InternetLink"/>
                  <w:rFonts w:ascii="Times New Roman;serif" w:hAnsi="Times New Roman;serif"/>
                  <w:b w:val="false"/>
                  <w:color w:val="0000FF"/>
                  <w:sz w:val="20"/>
                  <w:u w:val="single"/>
                </w:rPr>
                <w:t>Commitments and Contingencies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d9dfccbbae34bb4975265bac2e3f427_157">
              <w:r>
                <w:rPr>
                  <w:rStyle w:val="InternetLink"/>
                  <w:rFonts w:ascii="Times New Roman;serif" w:hAnsi="Times New Roman;serif"/>
                  <w:b w:val="false"/>
                  <w:color w:val="0000FF"/>
                  <w:sz w:val="20"/>
                  <w:u w:val="single"/>
                </w:rPr>
                <w:t>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 – Basis of Presentation and Description of Business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used in these Notes to Condensed Consolidated Financial Statements of this Quarterly Report on Form 10-Q for the period ended March 31, 2026 (the “Report”), the terms “Quaker Houghton,” the “Company,” “we,” and “our” refer to Quaker Chemical Corporation (doing business as Quaker Houghton), its subsidiaries, and associated companies, unless the context otherwise requires.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three months ended March 31, 2026 are not necessarily indicative of the results to be expected for the full year. These financial statements should be read in conjunction with the Company’s Annual Report filed on Form 10-K for the year ended December 31, 2025 (the “2025 Form 10-K”). Certain prior year amounts have been reclassified to conform to the current year presentation.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Description of Business</w:t>
      </w:r>
    </w:p>
    <w:p>
      <w:pPr>
        <w:pStyle w:val="TextBody"/>
        <w:bidi w:val="0"/>
        <w:spacing w:lineRule="auto" w:line="288" w:before="0" w:after="120"/>
        <w:jc w:val="both"/>
        <w:rPr/>
      </w:pPr>
      <w:r>
        <w:rPr>
          <w:rFonts w:ascii="Times New Roman;serif" w:hAnsi="Times New Roman;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serif" w:hAnsi="Times New Roman;serif"/>
          <w:b w:val="false"/>
          <w:color w:val="000000"/>
          <w:sz w:val="13"/>
        </w:rPr>
        <w:t>TM</w:t>
      </w:r>
      <w:r>
        <w:rPr>
          <w:rFonts w:ascii="Times New Roman;serif" w:hAnsi="Times New Roman;serif"/>
          <w:b w:val="false"/>
          <w:color w:val="000000"/>
          <w:sz w:val="20"/>
        </w:rPr>
        <w:t>, for various heavy industrial and manufacturing applications sold in its three reportable segments: (i) Americas; (ii) Europe, Middle East and Africa (“EMEA”); and (iii) Asia/Pacific.</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Hyper-inflationary economies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Argentina’s and Türkiye’s economies were considered hyper-inflationary under U.S. GAAP effective July 1, 2018 and April 1, 2022, respectively. As of and for the three months ended March 31, 2026, the Company’s Argentine and Turkish subsidiaries together represented approximately 1% and 2% of the Company’s consolidated total assets and net sales, respectively. During the three months ended March 31, 2026 and March 31, 2025, the Company recorded $0.2 million and $0.5 million of remeasurement losses associated with the applicable currency conversions, respectively. These losses were recorded within Other expense,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2 – Business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Previous Acquisitions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Dipsol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acquired 100% of the outstanding equity interests of Dipsol Chemicals Co., Ltd. and its subsidiaries, (“Dipsol”) for approximately $185.6 million (27.7 billion JPY), which included approximately $30.1 million (4.5 billion JPY) of acquired cash for a net purchase price of approximately $155.5 million (23.2 billion JPY). In July 2025, the Company satisfied all routine and customary post-closing conditions and finalized the purchase price with no adjustments. The Company funded the acquisition purchase price with borrowings under its existing credit facility. In connection with the acquisition of Dipsol, the Company entered into foreign currency forward contracts, which resulted in a $187.0 million cash payment and a $1.4 million foreign currency loss recognized during the year ended December 31, 2025.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Dipsol also provides significant cross-selling opportunities and enhances the Company’s ability to meet the needs of our customers across the globe.</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values of Dipsol assets acquired and liabilities assumed as of the acquisition date:</w:t>
      </w:r>
    </w:p>
    <w:tbl>
      <w:tblPr>
        <w:tblW w:w="6999" w:type="dxa"/>
        <w:jc w:val="center"/>
        <w:tblInd w:w="0" w:type="dxa"/>
        <w:tblLayout w:type="fixed"/>
        <w:tblCellMar>
          <w:top w:w="28" w:type="dxa"/>
          <w:left w:w="28" w:type="dxa"/>
          <w:bottom w:w="28" w:type="dxa"/>
          <w:right w:w="28" w:type="dxa"/>
        </w:tblCellMar>
      </w:tblPr>
      <w:tblGrid>
        <w:gridCol w:w="1505"/>
        <w:gridCol w:w="1321"/>
        <w:gridCol w:w="1329"/>
        <w:gridCol w:w="109"/>
        <w:gridCol w:w="109"/>
        <w:gridCol w:w="109"/>
        <w:gridCol w:w="109"/>
        <w:gridCol w:w="109"/>
        <w:gridCol w:w="395"/>
        <w:gridCol w:w="1546"/>
        <w:gridCol w:w="204"/>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Dipsol Assets Acquired and Liabilities Assumed </w:t>
            </w:r>
          </w:p>
          <w:p>
            <w:pPr>
              <w:pStyle w:val="TableContents"/>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Estimated Fair Value</w:t>
            </w:r>
            <w:r>
              <w:rPr>
                <w:color w:val="000000"/>
              </w:rPr>
              <w:t xml:space="preserve"> </w:t>
            </w:r>
            <w:r>
              <w:rPr>
                <w:rFonts w:ascii="Times New Roman;serif" w:hAnsi="Times New Roman;serif"/>
                <w:b/>
                <w:color w:val="000000"/>
                <w:sz w:val="13"/>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associated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185,612 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The Company recorded approximately $0.2 million of measurement period adjustments during the year ended December 31, 2025 to reflect changes in net working capital and tax balances. All measurement period adjustments were offset against goodwill. </w:t>
      </w:r>
    </w:p>
    <w:p>
      <w:pPr>
        <w:pStyle w:val="TextBody"/>
        <w:bidi w:val="0"/>
        <w:spacing w:lineRule="auto" w:line="288" w:before="0" w:after="12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allocation of the purchase price has been finalized.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allocated $55.0 million of the purchase price to intangible assets across the Americas, EMEA, and Asia/Pacific segments. Customer relationships, product technologies, and trademarks will be amortized over 14 years, 8 years, and 13 years, respectively. The following table presents the intangible assets recognized for each reportable segment:</w:t>
      </w:r>
    </w:p>
    <w:tbl>
      <w:tblPr>
        <w:tblW w:w="7309" w:type="dxa"/>
        <w:jc w:val="center"/>
        <w:tblInd w:w="0" w:type="dxa"/>
        <w:tblLayout w:type="fixed"/>
        <w:tblCellMar>
          <w:top w:w="28" w:type="dxa"/>
          <w:left w:w="28" w:type="dxa"/>
          <w:bottom w:w="28" w:type="dxa"/>
          <w:right w:w="28" w:type="dxa"/>
        </w:tblCellMar>
      </w:tblPr>
      <w:tblGrid>
        <w:gridCol w:w="749"/>
        <w:gridCol w:w="659"/>
        <w:gridCol w:w="661"/>
        <w:gridCol w:w="109"/>
        <w:gridCol w:w="109"/>
        <w:gridCol w:w="109"/>
        <w:gridCol w:w="211"/>
        <w:gridCol w:w="616"/>
        <w:gridCol w:w="109"/>
        <w:gridCol w:w="109"/>
        <w:gridCol w:w="109"/>
        <w:gridCol w:w="109"/>
        <w:gridCol w:w="211"/>
        <w:gridCol w:w="466"/>
        <w:gridCol w:w="109"/>
        <w:gridCol w:w="109"/>
        <w:gridCol w:w="109"/>
        <w:gridCol w:w="109"/>
        <w:gridCol w:w="228"/>
        <w:gridCol w:w="779"/>
        <w:gridCol w:w="117"/>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51,300 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$53.1 million of goodwill, which is comprised of $46.9 million in the Asia/Pacific segment, $5.8 million in the Americas segment, and $0.4 million in the EMEA segment. The goodwill is not deductible for tax purposes. The goodwill is primarily attributable to expected synergies. </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sales included in the Condensed Consolidated Statement of Operations for the three months ended March 31, 2026 is $19.1 million.</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Natech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acquired 100% of the outstanding equity interests of Natech, Ltd., (“Natech”) for approximately $6.5 million, which includes an initial cash payment of $6.0 million and a deferred payment of $0.5 million, subject to routine and customary post-closing adjustments, including an adjustment for working capital. Assets acquired included cash and cash equivalents of $1.5 million.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The Company allocated $2.1 million of the purchase price to intangible assets and recognized $2.6 million of goodwill in the EMEA segment, none of which is deductible for tax purposes. The goodwill is primarily attributable to expected growth synergies. During the third quarter of 2025, the Company settled the working capital adjustment for an immaterial amount. As of March 31, 2026, the allocation of the purchase price has been finalized.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CSI</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acquired 100% of the outstanding equity interests of Chemical Solutions &amp; Innovations (Pty) Ltd. (“CSI”), for approximately $3.9 million, subject to routine and customary post-closing adjustments, including an adjustment for working capital.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During the third quarter of 2025, the Company settled the working capital adjustment for an immaterial amount. As of March 31, 2026, the allocation of the purchase price has been finalized.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Dipsol, Natech, and CSI subsequent to the acquisition dates are included in the unaudited Condensed Consolidated Statements of Operations for the three months ended March 31, 2026.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$0.7 million and $3.3 million, respectively, of acquisition-related expenses including legal, financial, consulting and other costs. These costs are included in Selling, general and administrative expenses (“SG&amp;A”) in the Condensed Consolidated Statements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pro forma and other information is not presented, as the operations of the acquired assets and businesses are not considered material to the overall operations of the Company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3 – Recently Issued Accounting Standards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lineRule="auto" w:line="288" w:before="0" w:after="120"/>
        <w:jc w:val="left"/>
        <w:rPr/>
      </w:pPr>
      <w:r>
        <w:rPr>
          <w:rFonts w:ascii="Times New Roman;serif" w:hAnsi="Times New Roman;serif"/>
          <w:b w:val="false"/>
          <w:color w:val="000000"/>
          <w:sz w:val="20"/>
        </w:rPr>
        <w:t xml:space="preserve">The Company has adopted ASU 2023-09, </w:t>
      </w:r>
      <w:r>
        <w:rPr>
          <w:rFonts w:ascii="Times New Roman;serif" w:hAnsi="Times New Roman;serif"/>
          <w:b w:val="false"/>
          <w:i/>
          <w:color w:val="000000"/>
          <w:sz w:val="20"/>
        </w:rPr>
        <w:t>Income Taxes (Topic 740)</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 xml:space="preserve">on a prospective basis in the 2025 Form 10-K. Pursuant to this ASU, the Company disclosed additional information in specified categories with respect to the reconciliation of the effective tax rate to the statutory rate (the “rate reconciliation”) for federal, state, and foreign income taxes, which required greater detail about individual reconciling items in the rate reconciliation to the extent the impact of those items exceeded a specified threshold. Additionally, the Company disclosed income taxes paid disaggregated by federal, state, and foreign taxes and further disaggregated these disclosures in certain jurisdictions where income taxes paid exceeded a certain threshold. See Note 10, </w:t>
      </w:r>
      <w:r>
        <w:rPr>
          <w:rFonts w:ascii="Times New Roman;serif" w:hAnsi="Times New Roman;serif"/>
          <w:b w:val="false"/>
          <w:i/>
          <w:color w:val="000000"/>
          <w:sz w:val="20"/>
        </w:rPr>
        <w:t>Income Taxes</w:t>
      </w:r>
      <w:r>
        <w:rPr>
          <w:rFonts w:ascii="Times New Roman;serif" w:hAnsi="Times New Roman;serif"/>
          <w:b w:val="false"/>
          <w:color w:val="000000"/>
          <w:sz w:val="20"/>
        </w:rPr>
        <w:t>, within the 2025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Income Statement- Reporting Comprehensive Income- Expense Disaggregation Disclosures (Subtopic 220-40): Disaggregation of Income Statement Expenses</w:t>
      </w:r>
      <w:r>
        <w:rPr>
          <w:color w:val="000000"/>
        </w:rPr>
        <w:t xml:space="preserve"> </w:t>
      </w:r>
      <w:r>
        <w:rPr>
          <w:rFonts w:ascii="Times New Roman;serif" w:hAnsi="Times New Roman;serif"/>
          <w:b w:val="false"/>
          <w:color w:val="000000"/>
          <w:sz w:val="20"/>
        </w:rPr>
        <w:t>in November 2024</w:t>
      </w:r>
      <w:r>
        <w:rPr>
          <w:rFonts w:ascii="Times New Roman;serif" w:hAnsi="Times New Roman;serif"/>
          <w:b w:val="false"/>
          <w:i/>
          <w:color w:val="000000"/>
          <w:sz w:val="20"/>
        </w:rPr>
        <w:t xml:space="preserve">. </w:t>
      </w:r>
      <w:r>
        <w:rPr>
          <w:rFonts w:ascii="Times New Roman;serif" w:hAnsi="Times New Roman;serif"/>
          <w:b w:val="false"/>
          <w:color w:val="000000"/>
          <w:sz w:val="20"/>
        </w:rPr>
        <w:t>This ASU requires PBEs to disclose, in interim and annual reporting periods, additional 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pPr>
      <w:r>
        <w:rPr>
          <w:rFonts w:ascii="Times New Roman;serif" w:hAnsi="Times New Roman;serif"/>
          <w:b w:val="false"/>
          <w:color w:val="000000"/>
          <w:sz w:val="20"/>
        </w:rPr>
        <w:t xml:space="preserve">The FASB issued ASU 2025-06, </w:t>
      </w:r>
      <w:r>
        <w:rPr>
          <w:rFonts w:ascii="Times New Roman;serif" w:hAnsi="Times New Roman;serif"/>
          <w:b w:val="false"/>
          <w:i/>
          <w:color w:val="000000"/>
          <w:sz w:val="20"/>
        </w:rPr>
        <w:t>Intangibles- Goodwill and Other-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in September 2025. This ASU removes all references to prescriptive and sequential software development stages and will now require PBEs to start capitalizing software costs when management has authorized and committed to funding the software project and it is probable that the project will be completed and the software will be used to perform the function intended. The ASU also specifies that the disclosures in Subtopic 360-10, Property, Plant, and Equipment- Overall are required for all capitalized internal-use software costs. ASU 2025-06 is effective for fiscal years beginning after December 15, 2027, with early adoption permitted. The Company is currently evaluating the disclosure requirements of this standard and the impact on its condensed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FASB issued ASU 2025-11, Interim Reporting (Topic 270): Narrow-Scope Improvements in December 2025. This ASU amends Topic 270, by improving the navigability of the required interim disclosures and clarifying when that guidance is applicable. The amendments also provide additional guidance on what disclosures should be provided in interim reporting periods. Additionally, the amendment requires entities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disclosure requirements of this standard and the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4 – Business Segments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segments, which are consistent with its reportable segments, reflect the structure of the Company’s internal organization and the manner by which the CODM, which is the Company’s Chief Executive Officer, allocates resources and assesses performance.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for the Company’s operating segments based on segment operating earnings. 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Segment asset information is not regularly provided to or reviewed by the CODM. Therefore, the Company does not disclose segment asset information for each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performance of the Company’s reportable segments for the three months ended March 31, 2026 and 2025:</w:t>
      </w:r>
    </w:p>
    <w:tbl>
      <w:tblPr>
        <w:tblW w:w="8988" w:type="dxa"/>
        <w:jc w:val="left"/>
        <w:tblInd w:w="0" w:type="dxa"/>
        <w:tblLayout w:type="fixed"/>
        <w:tblCellMar>
          <w:top w:w="28" w:type="dxa"/>
          <w:left w:w="28" w:type="dxa"/>
          <w:bottom w:w="28" w:type="dxa"/>
          <w:right w:w="28" w:type="dxa"/>
        </w:tblCellMar>
      </w:tblPr>
      <w:tblGrid>
        <w:gridCol w:w="1184"/>
        <w:gridCol w:w="1040"/>
        <w:gridCol w:w="10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57" w:type="dxa"/>
        <w:jc w:val="left"/>
        <w:tblInd w:w="0" w:type="dxa"/>
        <w:tblLayout w:type="fixed"/>
        <w:tblCellMar>
          <w:top w:w="28" w:type="dxa"/>
          <w:left w:w="28" w:type="dxa"/>
          <w:bottom w:w="28" w:type="dxa"/>
          <w:right w:w="28" w:type="dxa"/>
        </w:tblCellMar>
      </w:tblPr>
      <w:tblGrid>
        <w:gridCol w:w="1184"/>
        <w:gridCol w:w="1040"/>
        <w:gridCol w:w="1045"/>
        <w:gridCol w:w="211"/>
        <w:gridCol w:w="826"/>
        <w:gridCol w:w="109"/>
        <w:gridCol w:w="109"/>
        <w:gridCol w:w="109"/>
        <w:gridCol w:w="109"/>
        <w:gridCol w:w="211"/>
        <w:gridCol w:w="826"/>
        <w:gridCol w:w="109"/>
        <w:gridCol w:w="109"/>
        <w:gridCol w:w="109"/>
        <w:gridCol w:w="109"/>
        <w:gridCol w:w="228"/>
        <w:gridCol w:w="779"/>
        <w:gridCol w:w="117"/>
        <w:gridCol w:w="109"/>
        <w:gridCol w:w="109"/>
        <w:gridCol w:w="109"/>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Net sales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Significant 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costs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25,930 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Net sales relate to external customers only. All intersegment sales are eliminated in consolidation.</w:t>
      </w:r>
    </w:p>
    <w:p>
      <w:pPr>
        <w:pStyle w:val="TextBody"/>
        <w:bidi w:val="0"/>
        <w:spacing w:lineRule="auto" w:line="288" w:before="0" w:after="12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Product costs include the costs of raw materials and are recorded in Cost of goods sold in the Company’s Condensed Consolidated Statements of Operations.</w:t>
      </w:r>
    </w:p>
    <w:p>
      <w:pPr>
        <w:pStyle w:val="TextBody"/>
        <w:bidi w:val="0"/>
        <w:spacing w:lineRule="auto" w:line="288" w:before="0" w:after="12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Other segment items include overhead costs of operating the Company’s production facilities and providing chemical management services to customers and direct SG&amp;A costs.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segment operating earnings to income before taxes and equity in net income of associated companies in the Company’s Condensed Consolidated Statements of Operations for the three months ended March 31, 2026 and 2025:</w:t>
      </w:r>
    </w:p>
    <w:tbl>
      <w:tblPr>
        <w:tblW w:w="9362" w:type="dxa"/>
        <w:jc w:val="left"/>
        <w:tblInd w:w="0" w:type="dxa"/>
        <w:tblLayout w:type="fixed"/>
        <w:tblCellMar>
          <w:top w:w="28" w:type="dxa"/>
          <w:left w:w="28" w:type="dxa"/>
          <w:bottom w:w="28" w:type="dxa"/>
          <w:right w:w="28" w:type="dxa"/>
        </w:tblCellMar>
      </w:tblPr>
      <w:tblGrid>
        <w:gridCol w:w="2164"/>
        <w:gridCol w:w="1905"/>
        <w:gridCol w:w="1915"/>
        <w:gridCol w:w="224"/>
        <w:gridCol w:w="880"/>
        <w:gridCol w:w="116"/>
        <w:gridCol w:w="116"/>
        <w:gridCol w:w="116"/>
        <w:gridCol w:w="116"/>
        <w:gridCol w:w="224"/>
        <w:gridCol w:w="880"/>
        <w:gridCol w:w="116"/>
        <w:gridCol w:w="109"/>
        <w:gridCol w:w="109"/>
        <w:gridCol w:w="109"/>
        <w:gridCol w:w="109"/>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operating earnings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and administrative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corporate assets and amortization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taxes and equity in net income of associated companies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the Company’s reportable segments’ depreciation for the three months ended March 31, 2026 and 2025:</w:t>
      </w:r>
    </w:p>
    <w:tbl>
      <w:tblPr>
        <w:tblW w:w="6132"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267"/>
        <w:gridCol w:w="781"/>
        <w:gridCol w:w="138"/>
        <w:gridCol w:w="138"/>
        <w:gridCol w:w="138"/>
        <w:gridCol w:w="138"/>
        <w:gridCol w:w="267"/>
        <w:gridCol w:w="781"/>
        <w:gridCol w:w="138"/>
        <w:gridCol w:w="109"/>
        <w:gridCol w:w="109"/>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5 – Net Sales and Revenue Recognition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Company’s revenues are realized from the sale of process fluids and services to manufacturers of steel, aluminum, automotive, aerospace, industrial and agricultural equipment, and durable goods. As previously disclosed in the Company’s 2025 Form 10-K, the Company’s five largest customers combined (each composed of multiple subsidiaries or divisions with semiautonomous purchasing authority) accounted for approximately 11% of consolidated net sales for 2025, with its largest customer accounting for approximately 3% of consolidated net sales.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contract assets recorded on its Condensed Consolidated Balance Sheets as of March 31, 2026 or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$7.4 million and $3.6 million of deferred revenue as of March 31, 2026 and December 31, 2025, respectively. For the three months ended March 31, 2026, the Company satisfied materially all of the associated performance obligations and recognized into revenue materially all advance payments received and recorded as of December 31,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reportable segments, and in most cases, are approximately proportionate to the level of total sales in each reportable segment.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net sales by segment and customer industry.</w:t>
      </w:r>
    </w:p>
    <w:tbl>
      <w:tblPr>
        <w:tblW w:w="8091"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328,554 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480,479 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69" w:type="dxa"/>
        <w:jc w:val="center"/>
        <w:tblInd w:w="0" w:type="dxa"/>
        <w:tblLayout w:type="fixed"/>
        <w:tblCellMar>
          <w:top w:w="28" w:type="dxa"/>
          <w:left w:w="28" w:type="dxa"/>
          <w:bottom w:w="28" w:type="dxa"/>
          <w:right w:w="28" w:type="dxa"/>
        </w:tblCellMar>
      </w:tblPr>
      <w:tblGrid>
        <w:gridCol w:w="755"/>
        <w:gridCol w:w="664"/>
        <w:gridCol w:w="665"/>
        <w:gridCol w:w="109"/>
        <w:gridCol w:w="109"/>
        <w:gridCol w:w="109"/>
        <w:gridCol w:w="211"/>
        <w:gridCol w:w="826"/>
        <w:gridCol w:w="109"/>
        <w:gridCol w:w="109"/>
        <w:gridCol w:w="109"/>
        <w:gridCol w:w="109"/>
        <w:gridCol w:w="211"/>
        <w:gridCol w:w="826"/>
        <w:gridCol w:w="109"/>
        <w:gridCol w:w="109"/>
        <w:gridCol w:w="109"/>
        <w:gridCol w:w="109"/>
        <w:gridCol w:w="228"/>
        <w:gridCol w:w="779"/>
        <w:gridCol w:w="117"/>
        <w:gridCol w:w="109"/>
        <w:gridCol w:w="109"/>
        <w:gridCol w:w="109"/>
        <w:gridCol w:w="223"/>
        <w:gridCol w:w="874"/>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Consolidated</w:t>
              <w:br/>
              <w:t>Total</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Metalworking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99,925 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442,914 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6 -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certain facilities, vehicles, and machinery and equipment with remaining lease terms up to 9 years. Operating lease expense is recognized on a straight-line basis over the lease term. In addition, the Company has certain land use leases with remaining lease terms up to 89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no material variable lease costs, sublease income, or finance leases for the three months ended March 31, 2026 and 2025. The components of the Company’s lease expense are as follows:</w:t>
      </w:r>
    </w:p>
    <w:tbl>
      <w:tblPr>
        <w:tblW w:w="4809" w:type="dxa"/>
        <w:jc w:val="center"/>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leases is as follows:</w:t>
      </w:r>
    </w:p>
    <w:tbl>
      <w:tblPr>
        <w:tblW w:w="8740" w:type="dxa"/>
        <w:jc w:val="center"/>
        <w:tblInd w:w="0" w:type="dxa"/>
        <w:tblLayout w:type="fixed"/>
        <w:tblCellMar>
          <w:top w:w="28" w:type="dxa"/>
          <w:left w:w="28" w:type="dxa"/>
          <w:bottom w:w="28" w:type="dxa"/>
          <w:right w:w="28" w:type="dxa"/>
        </w:tblCellMar>
      </w:tblPr>
      <w:tblGrid>
        <w:gridCol w:w="2196"/>
        <w:gridCol w:w="1927"/>
        <w:gridCol w:w="1937"/>
        <w:gridCol w:w="211"/>
        <w:gridCol w:w="616"/>
        <w:gridCol w:w="109"/>
        <w:gridCol w:w="109"/>
        <w:gridCol w:w="109"/>
        <w:gridCol w:w="109"/>
        <w:gridCol w:w="211"/>
        <w:gridCol w:w="616"/>
        <w:gridCol w:w="109"/>
        <w:gridCol w:w="109"/>
        <w:gridCol w:w="109"/>
        <w:gridCol w:w="109"/>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lease liabilities activity: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is as follows:</w:t>
      </w:r>
    </w:p>
    <w:tbl>
      <w:tblPr>
        <w:tblW w:w="6734" w:type="dxa"/>
        <w:jc w:val="center"/>
        <w:tblInd w:w="0" w:type="dxa"/>
        <w:tblLayout w:type="fixed"/>
        <w:tblCellMar>
          <w:top w:w="28" w:type="dxa"/>
          <w:left w:w="28" w:type="dxa"/>
          <w:bottom w:w="28" w:type="dxa"/>
          <w:right w:w="28" w:type="dxa"/>
        </w:tblCellMar>
      </w:tblPr>
      <w:tblGrid>
        <w:gridCol w:w="1411"/>
        <w:gridCol w:w="1242"/>
        <w:gridCol w:w="1247"/>
        <w:gridCol w:w="211"/>
        <w:gridCol w:w="721"/>
        <w:gridCol w:w="271"/>
        <w:gridCol w:w="109"/>
        <w:gridCol w:w="109"/>
        <w:gridCol w:w="109"/>
        <w:gridCol w:w="220"/>
        <w:gridCol w:w="754"/>
        <w:gridCol w:w="330"/>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22,759 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35,295 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March 31, 2026 were as follows:</w:t>
      </w:r>
    </w:p>
    <w:tbl>
      <w:tblPr>
        <w:tblW w:w="5330" w:type="dxa"/>
        <w:jc w:val="center"/>
        <w:tblInd w:w="0" w:type="dxa"/>
        <w:tblLayout w:type="fixed"/>
        <w:tblCellMar>
          <w:top w:w="28" w:type="dxa"/>
          <w:left w:w="28" w:type="dxa"/>
          <w:bottom w:w="28" w:type="dxa"/>
          <w:right w:w="28" w:type="dxa"/>
        </w:tblCellMar>
      </w:tblPr>
      <w:tblGrid>
        <w:gridCol w:w="1535"/>
        <w:gridCol w:w="1351"/>
        <w:gridCol w:w="1358"/>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2031 and beyond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Present value of lease liabilities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year ended December 31, 2024, the Company entered into a new lease agreement for office and laboratory space in Radnor, Pennsylvania for the purpose of relocating its global headquarters. The lease for one portion of the laboratory space is expected to commence in the second quarter of 2026. The lease for the remaining portions of laboratory and office space is expected to commence upon the completion of the lessor owned leasehold improvements, which is expected to be in the fourth quarter of 2026 or the first quarter of 2027. The cumulative future lease commitment for the laboratory and office space is $79.7 million. The future lease commitments relating to this lease were not included in the lease liabilities balance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7 – Restructuring and Related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restructuring liabilities that represent nonrecurring charges in connection with simplifying certain organizational structures and operations. Restructuring costs incurred during the three months ended March 31, 2026 and 2025 include employee severance and asset-related and facility closure costs, including non-cash asset write-offs, which are recorded in Restructuring and related charges, net in the Company’s Condensed Consolidated Statements of Operations. Restructuring activity primarily consists of the following programs: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2026 Global Business Transformation Program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2026, the Company initiated a global business transformation program (the “2026 program”), encompassing several strategic transformation and restructuring initiatives. The 2026 program primarily involves simplifying the organizational structure of legal entities, projects associated with information technology infrastructure initiatives, the optimization of specific product portfolios through targeted rationalization efforts, the optimization of certain supply chain activities and related workforce reductions. The 2026 program began in the first quarter of 2026 and is expected to be complete in 2028. Costs relating to employee termination benefits costs and asset related charges are expected to be recognized in Restructuring and related charges, net in the Company’s Condensed Consolidated Statements of Operations. Costs relating to other transformation initiatives described above are expected to be recognized within SG&amp;A and Cost of goods sold in the Company’s Condensed Consolidated Statements of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2026 program included approximately 20 headcount reductions globally. The Company recorded $4.4 million of restructuring and related charges relating to the program during the three months ended March 31, 2026.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2022 Global Cost and Optimization Program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Company initiated a global cost and optimization program (the “2022 program”) to improve its cost structure and drive a more profitable and productive organization. As of March 31, 2026, the 2022 program included restructuring and associated severance costs to reduce headcount by approximately 440 positions globally. In addition, the Company took actions to optimize its facility footprint under this program. These actions are expected to be substantially complete by the end of 2026.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$3.0 million and $14.6 million of restructuring and related charges relating to the 2022 program during the three months ended March 31, 2026 and 2025,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the Company’s accrual for its ongoing restructuring plans and facility closure actions are as follows:</w:t>
      </w:r>
    </w:p>
    <w:tbl>
      <w:tblPr>
        <w:tblW w:w="8502" w:type="dxa"/>
        <w:jc w:val="center"/>
        <w:tblInd w:w="0" w:type="dxa"/>
        <w:tblLayout w:type="fixed"/>
        <w:tblCellMar>
          <w:top w:w="28" w:type="dxa"/>
          <w:left w:w="28" w:type="dxa"/>
          <w:bottom w:w="28" w:type="dxa"/>
          <w:right w:w="28" w:type="dxa"/>
        </w:tblCellMar>
      </w:tblPr>
      <w:tblGrid>
        <w:gridCol w:w="1482"/>
        <w:gridCol w:w="1305"/>
        <w:gridCol w:w="1308"/>
        <w:gridCol w:w="663"/>
        <w:gridCol w:w="343"/>
        <w:gridCol w:w="344"/>
        <w:gridCol w:w="109"/>
        <w:gridCol w:w="109"/>
        <w:gridCol w:w="109"/>
        <w:gridCol w:w="663"/>
        <w:gridCol w:w="343"/>
        <w:gridCol w:w="344"/>
        <w:gridCol w:w="109"/>
        <w:gridCol w:w="109"/>
        <w:gridCol w:w="109"/>
        <w:gridCol w:w="358"/>
        <w:gridCol w:w="332"/>
        <w:gridCol w:w="363"/>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2022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December 31, 2025</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Asset-related and facility closure charges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(2,913)</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against the reserve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Accrued restructuring as of March 31, 2026</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9,482</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plans for the closure of certain manufacturing and non-manufacturing facilities, the Company has made available for sale certain facilities and properties. As of March 31, 2026, the Company classified properties in the Americas segment with an aggregate book value of approximately $1.2 million as held-for-sale. These assets are recorded in Prepaid expenses and other current assets in the Company’s Condensed Consolidated Balance Sheets. The Company expects to complete the sale of these properties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 Share-Based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$3.2 million of share-based compensation expense in its Condensed Consolidated Statements of Operations for each of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remaining unrecognized compensation expense related to non-vested restricted shares was fully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120"/>
        <w:jc w:val="both"/>
        <w:rPr/>
      </w:pPr>
      <w:r>
        <w:rPr>
          <w:rFonts w:ascii="Times New Roman;serif" w:hAnsi="Times New Roman;serif"/>
          <w:b w:val="false"/>
          <w:color w:val="000000"/>
          <w:sz w:val="20"/>
        </w:rPr>
        <w:t>During the three months ended March 31, 2026, the Company granted 74,235 restricted stock units under its LTIP</w:t>
      </w:r>
      <w:r>
        <w:rPr>
          <w:rFonts w:ascii="Times New Roman;serif" w:hAnsi="Times New Roman;serif"/>
          <w:b w:val="false"/>
          <w:color w:val="000000"/>
          <w:sz w:val="20"/>
          <w:shd w:fill="FFFFFF" w:val="clear"/>
        </w:rPr>
        <w:t xml:space="preserve">, which are subject to time-based vesting, generally over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to three years.</w:t>
      </w:r>
      <w:r>
        <w:rPr>
          <w:color w:val="000000"/>
        </w:rPr>
        <w:t xml:space="preserve"> </w:t>
      </w:r>
      <w:r>
        <w:rPr>
          <w:rFonts w:ascii="Times New Roman;serif" w:hAnsi="Times New Roman;serif"/>
          <w:b w:val="false"/>
          <w:color w:val="000000"/>
          <w:sz w:val="20"/>
        </w:rPr>
        <w:t>The fair value of these grants is based on the closing price of the Company’s common stock on the date of grant. As of March 31, 2026, unrecognized compensation expense related to non-vested restricted stock units was $13.4 million, to be recognized over a weighted average remaining period of 1.7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20" w:after="120"/>
        <w:jc w:val="both"/>
        <w:rPr/>
      </w:pPr>
      <w:r>
        <w:rPr>
          <w:rFonts w:ascii="Times New Roman;serif" w:hAnsi="Times New Roman;serif"/>
          <w:b w:val="false"/>
          <w:color w:val="000000"/>
          <w:sz w:val="20"/>
        </w:rPr>
        <w:t xml:space="preserve">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w:t>
      </w:r>
      <w:r>
        <w:rPr>
          <w:rFonts w:ascii="Times New Roman;serif" w:hAnsi="Times New Roman;serif"/>
          <w:b w:val="false"/>
          <w:color w:val="000000"/>
          <w:sz w:val="20"/>
          <w:shd w:fill="FFFFFF" w:val="clear"/>
        </w:rPr>
        <w:t>three years</w:t>
      </w:r>
      <w:r>
        <w:rPr>
          <w:color w:val="000000"/>
        </w:rPr>
        <w:t xml:space="preserve"> </w:t>
      </w:r>
      <w:r>
        <w:rPr>
          <w:rFonts w:ascii="Times New Roman;serif" w:hAnsi="Times New Roman;serif"/>
          <w:b w:val="false"/>
          <w:color w:val="000000"/>
          <w:sz w:val="20"/>
        </w:rPr>
        <w:t>and the measurement period of the market-based and performance-based objectives is generally from January 1 of the year of grant through December 31 of the year prior to issuance of the shares.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mentioned above, a portion of the Company’s PSUs are subject to the achievement of the Company’s TSR relative to the performance of a selected peer group. For PSUs subject to relative TSR performance granted in 2026, the Company’s peer group was the S&amp;P Composite 1500 Chemicals index.</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Compensation expense for PSUs is measured based on the grant date fair value and is recognized on a straight-line vesting method basis over the applicable vesting period. During the three months ended March 31, 2026, the Company granted 28,842 PSUs with a ROIC condition. The fair value of these grants is based on the closing trading price of the Company’s common stock on the date of grant. During the three months ended March 31, 2026, the Company granted 28,733 PSUs with a relative TSR condition. These PSUs are valued using a Monte Carlo simulation on the grant date and had a grant-date fair value of $109.28 per unit, which was developed based on the assumptions set forth in the table below:</w:t>
      </w:r>
    </w:p>
    <w:tbl>
      <w:tblPr>
        <w:tblW w:w="2655" w:type="dxa"/>
        <w:jc w:val="center"/>
        <w:tblInd w:w="0" w:type="dxa"/>
        <w:tblLayout w:type="fixed"/>
        <w:tblCellMar>
          <w:top w:w="28" w:type="dxa"/>
          <w:left w:w="28" w:type="dxa"/>
          <w:bottom w:w="28" w:type="dxa"/>
          <w:right w:w="28" w:type="dxa"/>
        </w:tblCellMar>
      </w:tblPr>
      <w:tblGrid>
        <w:gridCol w:w="679"/>
        <w:gridCol w:w="596"/>
        <w:gridCol w:w="600"/>
        <w:gridCol w:w="228"/>
        <w:gridCol w:w="228"/>
        <w:gridCol w:w="32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br/>
              <w:t xml:space="preserve">Grants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approximately $10.9 million of total unrecognized compensation cost related to PSUs, which the Company expects to recognize over a weighted-average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 Pension and Other Postretirement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(income) are as follows:</w:t>
      </w:r>
    </w:p>
    <w:tbl>
      <w:tblPr>
        <w:tblW w:w="8776" w:type="dxa"/>
        <w:jc w:val="center"/>
        <w:tblInd w:w="0" w:type="dxa"/>
        <w:tblLayout w:type="fixed"/>
        <w:tblCellMar>
          <w:top w:w="28" w:type="dxa"/>
          <w:left w:w="28" w:type="dxa"/>
          <w:bottom w:w="28" w:type="dxa"/>
          <w:right w:w="28" w:type="dxa"/>
        </w:tblCellMar>
      </w:tblPr>
      <w:tblGrid>
        <w:gridCol w:w="1041"/>
        <w:gridCol w:w="915"/>
        <w:gridCol w:w="923"/>
        <w:gridCol w:w="215"/>
        <w:gridCol w:w="475"/>
        <w:gridCol w:w="109"/>
        <w:gridCol w:w="109"/>
        <w:gridCol w:w="109"/>
        <w:gridCol w:w="109"/>
        <w:gridCol w:w="382"/>
        <w:gridCol w:w="308"/>
        <w:gridCol w:w="213"/>
        <w:gridCol w:w="109"/>
        <w:gridCol w:w="109"/>
        <w:gridCol w:w="109"/>
        <w:gridCol w:w="319"/>
        <w:gridCol w:w="501"/>
        <w:gridCol w:w="165"/>
        <w:gridCol w:w="165"/>
        <w:gridCol w:w="165"/>
        <w:gridCol w:w="165"/>
        <w:gridCol w:w="319"/>
        <w:gridCol w:w="660"/>
        <w:gridCol w:w="165"/>
        <w:gridCol w:w="109"/>
        <w:gridCol w:w="109"/>
        <w:gridCol w:w="109"/>
        <w:gridCol w:w="109"/>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Postretirement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 (gain) amortization</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 amortization</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(income)</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Employer Contributions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$0.8 million of contributions have been made to the Company’s U.S. and foreign pension plans. Contributions to other postretirement benefit plans were less than $0.1 million. Taking into consideration current minimum cash contribution requirements, the Company currently expects to make full year cash contributions of approximately $4.9 million to its U.S. and foreign pension plans and approximately $0.2 million to its other postretirement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10 – Other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Other expense, net are as follows:</w:t>
      </w:r>
    </w:p>
    <w:tbl>
      <w:tblPr>
        <w:tblW w:w="8575" w:type="dxa"/>
        <w:jc w:val="center"/>
        <w:tblInd w:w="0" w:type="dxa"/>
        <w:tblLayout w:type="fixed"/>
        <w:tblCellMar>
          <w:top w:w="28" w:type="dxa"/>
          <w:left w:w="28" w:type="dxa"/>
          <w:bottom w:w="28" w:type="dxa"/>
          <w:right w:w="28" w:type="dxa"/>
        </w:tblCellMar>
      </w:tblPr>
      <w:tblGrid>
        <w:gridCol w:w="2229"/>
        <w:gridCol w:w="1955"/>
        <w:gridCol w:w="1966"/>
        <w:gridCol w:w="211"/>
        <w:gridCol w:w="436"/>
        <w:gridCol w:w="109"/>
        <w:gridCol w:w="109"/>
        <w:gridCol w:w="109"/>
        <w:gridCol w:w="109"/>
        <w:gridCol w:w="211"/>
        <w:gridCol w:w="541"/>
        <w:gridCol w:w="109"/>
        <w:gridCol w:w="109"/>
        <w:gridCol w:w="109"/>
        <w:gridCol w:w="109"/>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 refunds and other related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disposals of property, plant, equipment and other assets, net</w:t>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net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other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(Loss) gain on disposals of property, plant, equipment and other assets, net, includes the gain of $2.2 million recognized for the sale of certain property previously classified as held for sale during the three months ended March 31, 2025. </w:t>
      </w:r>
    </w:p>
    <w:p>
      <w:pPr>
        <w:pStyle w:val="TextBody"/>
        <w:bidi w:val="0"/>
        <w:spacing w:lineRule="auto" w:line="288" w:before="0" w:after="120"/>
        <w:jc w:val="both"/>
        <w:rPr/>
      </w:pPr>
      <w:r>
        <w:rPr>
          <w:rFonts w:ascii="Times New Roman;serif" w:hAnsi="Times New Roman;serif"/>
          <w:b w:val="false"/>
          <w:color w:val="000000"/>
          <w:sz w:val="20"/>
        </w:rPr>
        <w:t xml:space="preserve">Foreign exchange losses, net during the three months ended March 31, 2025 includes a $1.9 million foreign exchange loss relating to the change in fair value of the foreign exchange forward contracts entered into in connection with the acquisition of Dipsol.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11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for the three months ended March 31, 2026 and 2025 were 30.2% and 43.4%, respectively. The Company’s effective tax rate for the three months ended March 31, 2026 was largely driven by our mix of pre-tax earnings and withholding taxes. Comparatively, the effective tax rate for the three months ended March 31, 2025 was largely driven by our mix of pre-tax earnings, withholding taxes and return to provision adjustments offset by net favorable reductions in uncertain tax positions.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in 2026 and 2027 forward. The provisions effective in 2025 did not have a material impact to our consolidated financial statements, and the provisions effective in 2026 and 2027 are not expected to have a material impact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12 – Earnings Per Share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earnings per share calculations:</w:t>
      </w:r>
    </w:p>
    <w:tbl>
      <w:tblPr>
        <w:tblW w:w="7630" w:type="dxa"/>
        <w:jc w:val="center"/>
        <w:tblInd w:w="0" w:type="dxa"/>
        <w:tblLayout w:type="fixed"/>
        <w:tblCellMar>
          <w:top w:w="28" w:type="dxa"/>
          <w:left w:w="28" w:type="dxa"/>
          <w:bottom w:w="28" w:type="dxa"/>
          <w:right w:w="28" w:type="dxa"/>
        </w:tblCellMar>
      </w:tblPr>
      <w:tblGrid>
        <w:gridCol w:w="1717"/>
        <w:gridCol w:w="1506"/>
        <w:gridCol w:w="1517"/>
        <w:gridCol w:w="211"/>
        <w:gridCol w:w="721"/>
        <w:gridCol w:w="109"/>
        <w:gridCol w:w="109"/>
        <w:gridCol w:w="109"/>
        <w:gridCol w:w="109"/>
        <w:gridCol w:w="211"/>
        <w:gridCol w:w="721"/>
        <w:gridCol w:w="109"/>
        <w:gridCol w:w="109"/>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17,326,847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17,639,764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17,326,847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17,639,764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17,411,094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17,669,965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stock options, restricted stock units, and PSUs are not included in the diluted earnings per share calculation when the effect would be anti-dilutive. The number of anti-dilutive shares were 61,990 and 70,771, respectively,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13 – Goodwill and Other Intangible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three months ended March 31, 2026 were as follows:</w:t>
      </w:r>
    </w:p>
    <w:tbl>
      <w:tblPr>
        <w:tblW w:w="8317" w:type="dxa"/>
        <w:jc w:val="center"/>
        <w:tblInd w:w="0" w:type="dxa"/>
        <w:tblLayout w:type="fixed"/>
        <w:tblCellMar>
          <w:top w:w="28" w:type="dxa"/>
          <w:left w:w="28" w:type="dxa"/>
          <w:bottom w:w="28" w:type="dxa"/>
          <w:right w:w="28" w:type="dxa"/>
        </w:tblCellMar>
      </w:tblPr>
      <w:tblGrid>
        <w:gridCol w:w="1052"/>
        <w:gridCol w:w="927"/>
        <w:gridCol w:w="930"/>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6038" w:type="dxa"/>
        <w:jc w:val="center"/>
        <w:tblInd w:w="0" w:type="dxa"/>
        <w:tblLayout w:type="fixed"/>
        <w:tblCellMar>
          <w:top w:w="28" w:type="dxa"/>
          <w:left w:w="28" w:type="dxa"/>
          <w:bottom w:w="28" w:type="dxa"/>
          <w:right w:w="28" w:type="dxa"/>
        </w:tblCellMar>
      </w:tblPr>
      <w:tblGrid>
        <w:gridCol w:w="1054"/>
        <w:gridCol w:w="925"/>
        <w:gridCol w:w="931"/>
        <w:gridCol w:w="229"/>
        <w:gridCol w:w="898"/>
        <w:gridCol w:w="118"/>
        <w:gridCol w:w="109"/>
        <w:gridCol w:w="109"/>
        <w:gridCol w:w="109"/>
        <w:gridCol w:w="218"/>
        <w:gridCol w:w="854"/>
        <w:gridCol w:w="112"/>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691,788 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694,311 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Accumulated impairment losses </w:t>
            </w:r>
            <w:r>
              <w:rPr>
                <w:rFonts w:ascii="Times New Roman;serif" w:hAnsi="Times New Roman;serif"/>
                <w:b w:val="false"/>
                <w:color w:val="000000"/>
                <w:sz w:val="13"/>
              </w:rPr>
              <w:t>(1)</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502,005 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impairment losses are attributable to the non-cash impairment charges of $88.8 million and $93.0 million to write down the carrying value of the EMEA reporting unit during the second quarter of 2025 and the fourth quarter of 2022, respectively. These amounts include the impact of currency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Gross carrying amounts and accumulated amortization for definite-lived intangible assets were as follows:</w:t>
      </w:r>
    </w:p>
    <w:tbl>
      <w:tblPr>
        <w:tblW w:w="10293" w:type="dxa"/>
        <w:jc w:val="center"/>
        <w:tblInd w:w="0" w:type="dxa"/>
        <w:tblLayout w:type="fixed"/>
        <w:tblCellMar>
          <w:top w:w="28" w:type="dxa"/>
          <w:left w:w="28" w:type="dxa"/>
          <w:bottom w:w="28" w:type="dxa"/>
          <w:right w:w="28" w:type="dxa"/>
        </w:tblCellMar>
      </w:tblPr>
      <w:tblGrid>
        <w:gridCol w:w="656"/>
        <w:gridCol w:w="287"/>
        <w:gridCol w:w="288"/>
        <w:gridCol w:w="332"/>
        <w:gridCol w:w="462"/>
        <w:gridCol w:w="469"/>
        <w:gridCol w:w="109"/>
        <w:gridCol w:w="109"/>
        <w:gridCol w:w="109"/>
        <w:gridCol w:w="472"/>
        <w:gridCol w:w="522"/>
        <w:gridCol w:w="409"/>
        <w:gridCol w:w="109"/>
        <w:gridCol w:w="109"/>
        <w:gridCol w:w="109"/>
        <w:gridCol w:w="332"/>
        <w:gridCol w:w="388"/>
        <w:gridCol w:w="393"/>
        <w:gridCol w:w="114"/>
        <w:gridCol w:w="114"/>
        <w:gridCol w:w="114"/>
        <w:gridCol w:w="466"/>
        <w:gridCol w:w="431"/>
        <w:gridCol w:w="350"/>
        <w:gridCol w:w="109"/>
        <w:gridCol w:w="109"/>
        <w:gridCol w:w="109"/>
        <w:gridCol w:w="332"/>
        <w:gridCol w:w="388"/>
        <w:gridCol w:w="393"/>
        <w:gridCol w:w="109"/>
        <w:gridCol w:w="109"/>
        <w:gridCol w:w="109"/>
        <w:gridCol w:w="447"/>
        <w:gridCol w:w="406"/>
        <w:gridCol w:w="420"/>
      </w:tblGrid>
      <w:tr>
        <w:trPr/>
        <w:tc>
          <w:tcPr>
            <w:tcW w:w="6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Book Value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rights to sell</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363,102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549,803</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formulations and product technology</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79,456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121,913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448,803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672,351</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amortizes definite-lived intangible assets on a straight-line basis over their useful lives. The Company recorded amortization expense as follows:</w:t>
      </w:r>
    </w:p>
    <w:tbl>
      <w:tblPr>
        <w:tblW w:w="4795" w:type="dxa"/>
        <w:jc w:val="center"/>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Estimated annual aggregate amortization expense for the current year and subsequent five years is as follows:</w:t>
      </w:r>
    </w:p>
    <w:tbl>
      <w:tblPr>
        <w:tblW w:w="4172" w:type="dxa"/>
        <w:jc w:val="center"/>
        <w:tblInd w:w="0" w:type="dxa"/>
        <w:tblLayout w:type="fixed"/>
        <w:tblCellMar>
          <w:top w:w="28" w:type="dxa"/>
          <w:left w:w="28" w:type="dxa"/>
          <w:bottom w:w="28" w:type="dxa"/>
          <w:right w:w="28" w:type="dxa"/>
        </w:tblCellMar>
      </w:tblPr>
      <w:tblGrid>
        <w:gridCol w:w="1172"/>
        <w:gridCol w:w="1031"/>
        <w:gridCol w:w="1037"/>
        <w:gridCol w:w="211"/>
        <w:gridCol w:w="298"/>
        <w:gridCol w:w="423"/>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47,098</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2027</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62,869</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2028</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62,400</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2029</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61,282</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2030</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59,969</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2031</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58,688</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indefinite-lived intangible assets for trademarks and tradenames totaling $198.3 million and $201.2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14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Company’s debt:</w:t>
      </w:r>
    </w:p>
    <w:tbl>
      <w:tblPr>
        <w:tblW w:w="9780"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15"/>
        <w:gridCol w:w="115"/>
        <w:gridCol w:w="115"/>
        <w:gridCol w:w="223"/>
        <w:gridCol w:w="874"/>
        <w:gridCol w:w="115"/>
        <w:gridCol w:w="109"/>
        <w:gridCol w:w="109"/>
        <w:gridCol w:w="109"/>
        <w:gridCol w:w="250"/>
        <w:gridCol w:w="250"/>
        <w:gridCol w:w="251"/>
        <w:gridCol w:w="127"/>
        <w:gridCol w:w="127"/>
        <w:gridCol w:w="127"/>
        <w:gridCol w:w="246"/>
        <w:gridCol w:w="965"/>
        <w:gridCol w:w="258"/>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w:t>
              <w:br/>
              <w:t>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Outstanding</w:t>
              <w:br/>
              <w:t>Balance</w:t>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Facilities:</w:t>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229,088 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Term Loan</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5.02%</w:t>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475,464 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5.10%</w:t>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482,144 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148,477 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development bonds</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874,973 </w:t>
            </w:r>
          </w:p>
        </w:tc>
        <w:tc>
          <w:tcPr>
            <w:tcW w:w="11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871,210 </w:t>
            </w:r>
          </w:p>
        </w:tc>
        <w:tc>
          <w:tcPr>
            <w:tcW w:w="2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and current portion of long-term debts</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(37,301)</w:t>
            </w:r>
          </w:p>
        </w:tc>
        <w:tc>
          <w:tcPr>
            <w:tcW w:w="11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(35,657)</w:t>
            </w:r>
          </w:p>
        </w:tc>
        <w:tc>
          <w:tcPr>
            <w:tcW w:w="258" w:type="dxa"/>
            <w:tcBorders/>
            <w:shd w:fill="CCED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837,132 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834,901 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Subsequent to the first quarter of 2026, in April 2026,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the fourth amendment to its primary credit facility, entered into in August 2019. The amended credit facility (the “Amended Credit Facility”) established (A) a $250.0 million Euro equivalent senior secured term loan (B) a $550.0 million senior secured term loan and (C) a $800.0 million senior secured revolving credit facility, each maturing in April 2031. The Company primarily used the proceeds from the Amended Credit Facility to repay in full all outstanding loans under the existing Credit Facility and to terminate the revolving credit commitments under the existing Credit Facility. The Company has the right to increase the amount of the Amended Credit Facility by an aggregate amount not to exceed (a) the greater of (i) $331.0 million and (ii) 100% of Consolidated EBITDA, subject to certain conditions including the agreement to provide financing by any lender providing such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val="false"/>
          <w:color w:val="000000"/>
          <w:sz w:val="20"/>
        </w:rPr>
        <w:t xml:space="preserve">As of March 31, 2026, the Company was in compliance with all of the Credit Facility covenants. See Note 19, </w:t>
      </w:r>
      <w:r>
        <w:rPr>
          <w:rFonts w:ascii="Times New Roman;serif" w:hAnsi="Times New Roman;serif"/>
          <w:b w:val="false"/>
          <w:i/>
          <w:color w:val="000000"/>
          <w:sz w:val="20"/>
        </w:rPr>
        <w:t xml:space="preserve">Debt, </w:t>
      </w:r>
      <w:r>
        <w:rPr>
          <w:rFonts w:ascii="Times New Roman;serif" w:hAnsi="Times New Roman;serif"/>
          <w:b w:val="false"/>
          <w:color w:val="000000"/>
          <w:sz w:val="20"/>
        </w:rPr>
        <w:t>to Consolidated Financial Statements in the Company’s 2025 Form 10-K.</w:t>
      </w:r>
    </w:p>
    <w:p>
      <w:pPr>
        <w:pStyle w:val="TextBody"/>
        <w:bidi w:val="0"/>
        <w:spacing w:lineRule="auto" w:line="288" w:before="0" w:after="120"/>
        <w:jc w:val="both"/>
        <w:rPr/>
      </w:pPr>
      <w:r>
        <w:rPr>
          <w:rFonts w:ascii="Times New Roman;serif" w:hAnsi="Times New Roman;serif"/>
          <w:b w:val="false"/>
          <w:color w:val="000000"/>
          <w:sz w:val="20"/>
        </w:rPr>
        <w:t>The weighted average variable interest rate incurred on the outstanding borrowings under the Credit Facility during the</w:t>
      </w:r>
      <w:r>
        <w:rPr>
          <w:color w:val="000000"/>
          <w:shd w:fill="FFFFFF" w:val="clear"/>
        </w:rPr>
        <w:t xml:space="preserve"> </w:t>
      </w:r>
      <w:r>
        <w:rPr>
          <w:rFonts w:ascii="Times New Roman;serif" w:hAnsi="Times New Roman;serif"/>
          <w:b w:val="false"/>
          <w:color w:val="000000"/>
          <w:sz w:val="20"/>
          <w:shd w:fill="FFFFFF" w:val="clear"/>
        </w:rPr>
        <w:t xml:space="preserve">three months </w:t>
      </w:r>
      <w:r>
        <w:rPr>
          <w:rFonts w:ascii="Times New Roman;serif" w:hAnsi="Times New Roman;serif"/>
          <w:b w:val="false"/>
          <w:color w:val="000000"/>
          <w:sz w:val="20"/>
        </w:rPr>
        <w:t xml:space="preserve">ended March 31, 2026 was approximately 4.8%. As of March 31, 2026, the weighted average variable interest rate on the outstanding borrowings under the Credit Facility was approximately 4.7%.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As of March 31, 2026, the Company had unused capacity under the Revolver of approximately $255 million, which is net of bank letters of credit of approximately $2 million. </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to an average fixed rate of 3.64% plus an applicable margin as provided in the Credit Facility based on the Company’s consolidated net leverage ratio. In March 2026, the Company’s interest rate swap contracts expired. In April 2026, the Company entered into $400.0 million notional amounts of four-year interest rate swaps, converting a portion of the Company’s variable rate borrowings into an average fixed rate of 3.58% plus the applicable margin.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more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are amortized into Interest expense over the five-year term of the Credit Facility. As of March 31, 2026 and December 31, 2025, the Company had $0.5 million and $0.7 million, respectively, of debt issuance costs recorded as a reduction of Long-term debt and $1.2 million and $1.4 million, respectively, of debt issuance costs recorded within Other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Industrial development bonds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fixed rate, industrial development authority bonds totaling $10.0 million in principal amount due in 2028. These bonds have similar covenants to the Credit Facility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Bank lines of credit and other debt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March 31, 2026 was approximately $58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bank letters of credit described in the “Credit facilities” subsection above, the Company maintains certain financial and other guarantees as off-balance sheet arrangements. Collectively, the total bank letters of credit and guarantees outstanding as of March 31, 2026 were approximately $7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the following debt related expenses included within Interest expense in the Condensed Consolidated Statements of Operations:</w:t>
      </w:r>
    </w:p>
    <w:tbl>
      <w:tblPr>
        <w:tblW w:w="5836" w:type="dxa"/>
        <w:jc w:val="center"/>
        <w:tblInd w:w="0" w:type="dxa"/>
        <w:tblLayout w:type="fixed"/>
        <w:tblCellMar>
          <w:top w:w="28" w:type="dxa"/>
          <w:left w:w="28" w:type="dxa"/>
          <w:bottom w:w="28" w:type="dxa"/>
          <w:right w:w="28" w:type="dxa"/>
        </w:tblCellMar>
      </w:tblPr>
      <w:tblGrid>
        <w:gridCol w:w="1087"/>
        <w:gridCol w:w="952"/>
        <w:gridCol w:w="960"/>
        <w:gridCol w:w="211"/>
        <w:gridCol w:w="616"/>
        <w:gridCol w:w="109"/>
        <w:gridCol w:w="109"/>
        <w:gridCol w:w="109"/>
        <w:gridCol w:w="109"/>
        <w:gridCol w:w="211"/>
        <w:gridCol w:w="616"/>
        <w:gridCol w:w="109"/>
        <w:gridCol w:w="109"/>
        <w:gridCol w:w="109"/>
        <w:gridCol w:w="109"/>
        <w:gridCol w:w="311"/>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Based on the variable interest rates associated with the Credit Facility, as of March 31, 2026 and as of December 31, 2025, the amounts at which the Company’s total debt were recorded are not materially different from their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 Accumulated Other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reclassifications from and resulting balances of accumulated other comprehensive income (“AOCI”):</w:t>
      </w:r>
    </w:p>
    <w:tbl>
      <w:tblPr>
        <w:tblW w:w="10205" w:type="dxa"/>
        <w:jc w:val="left"/>
        <w:tblInd w:w="0" w:type="dxa"/>
        <w:tblLayout w:type="fixed"/>
        <w:tblCellMar>
          <w:top w:w="28" w:type="dxa"/>
          <w:left w:w="28" w:type="dxa"/>
          <w:bottom w:w="28" w:type="dxa"/>
          <w:right w:w="28" w:type="dxa"/>
        </w:tblCellMar>
      </w:tblPr>
      <w:tblGrid>
        <w:gridCol w:w="1233"/>
        <w:gridCol w:w="804"/>
        <w:gridCol w:w="806"/>
        <w:gridCol w:w="219"/>
        <w:gridCol w:w="901"/>
        <w:gridCol w:w="113"/>
        <w:gridCol w:w="109"/>
        <w:gridCol w:w="109"/>
        <w:gridCol w:w="109"/>
        <w:gridCol w:w="211"/>
        <w:gridCol w:w="759"/>
        <w:gridCol w:w="109"/>
        <w:gridCol w:w="109"/>
        <w:gridCol w:w="109"/>
        <w:gridCol w:w="109"/>
        <w:gridCol w:w="370"/>
        <w:gridCol w:w="818"/>
        <w:gridCol w:w="192"/>
        <w:gridCol w:w="109"/>
        <w:gridCol w:w="109"/>
        <w:gridCol w:w="109"/>
        <w:gridCol w:w="253"/>
        <w:gridCol w:w="742"/>
        <w:gridCol w:w="131"/>
        <w:gridCol w:w="109"/>
        <w:gridCol w:w="109"/>
        <w:gridCol w:w="109"/>
        <w:gridCol w:w="211"/>
        <w:gridCol w:w="864"/>
        <w:gridCol w:w="161"/>
      </w:tblGrid>
      <w:tr>
        <w:trPr/>
        <w:tc>
          <w:tcPr>
            <w:tcW w:w="123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Currency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Translation</w:t>
            </w:r>
          </w:p>
          <w:p>
            <w:pPr>
              <w:pStyle w:val="TableContents"/>
              <w:bidi w:val="0"/>
              <w:spacing w:lineRule="auto" w:line="288" w:before="0" w:after="0"/>
              <w:jc w:val="center"/>
              <w:rPr/>
            </w:pPr>
            <w:r>
              <w:rPr>
                <w:rFonts w:ascii="Times New Roman;serif" w:hAnsi="Times New Roman;serif"/>
                <w:b/>
                <w:color w:val="000000"/>
                <w:sz w:val="20"/>
              </w:rPr>
              <w:t xml:space="preserve">Adjustments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 Gain</w:t>
              <w:br/>
              <w:t>(Loss)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w:t>
              <w:br/>
              <w:t xml:space="preserve">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(104,697)</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9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6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(9,255)</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2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1"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21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(114,619)</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(125,359)</w:t>
            </w:r>
          </w:p>
        </w:tc>
        <w:tc>
          <w:tcPr>
            <w:tcW w:w="16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9"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(192,841)</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(201,619)</w:t>
            </w:r>
          </w:p>
        </w:tc>
        <w:tc>
          <w:tcPr>
            <w:tcW w:w="161"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112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1"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tax amounts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4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(165,716)</w:t>
            </w:r>
          </w:p>
        </w:tc>
        <w:tc>
          <w:tcPr>
            <w:tcW w:w="1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9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(175,655)</w:t>
            </w:r>
          </w:p>
        </w:tc>
        <w:tc>
          <w:tcPr>
            <w:tcW w:w="16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mark-to-market impacts associated with net investment hedges.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16 – Fair Value Measurements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values its company-owned life insurance policies at fair value. The Company owns an immaterial amount of company-owned life insurance policies as of March 31, 2026 and December 31,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values its long-term debt at fair value based on quoted market prices for the same or similar issues, or on current rates offered to the company for debt of the same remaining maturities and terms. Due to the infrequency of trades, these inputs are considered to be Level 2 inputs. Based on the variable interest rates associated with the Credit Facility, as of March 31, 2026 and December 31, 2025, the amounts at which the Company’s total debt were recorded are not materially different from their fair market value.</w:t>
      </w:r>
    </w:p>
    <w:p>
      <w:pPr>
        <w:pStyle w:val="TextBody"/>
        <w:bidi w:val="0"/>
        <w:spacing w:lineRule="auto" w:line="288" w:before="0" w:after="120"/>
        <w:jc w:val="both"/>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for a description of the Company’s derivative instruments including the valuation techniques used to determine fair value and support for their classification within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Hedging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interest rate swap agreements, and cross-currency swap agreements. The Company does not hold or enter into derivative financial instruments for trading or speculative purposes.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expense, net. The fair value of the forward contract is determined from sources independent of the Company, including the financial institutions which are party to the derivative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March 31, 2026 were entered into as hedges of the Japanese yen and Mexican peso against the U.S. dollar and had the following notional U.S. dollar values (in millions):</w:t>
      </w:r>
    </w:p>
    <w:tbl>
      <w:tblPr>
        <w:tblW w:w="2672" w:type="dxa"/>
        <w:jc w:val="center"/>
        <w:tblInd w:w="0" w:type="dxa"/>
        <w:tblLayout w:type="fixed"/>
        <w:tblCellMar>
          <w:top w:w="28" w:type="dxa"/>
          <w:left w:w="28" w:type="dxa"/>
          <w:bottom w:w="28" w:type="dxa"/>
          <w:right w:w="28" w:type="dxa"/>
        </w:tblCellMar>
      </w:tblPr>
      <w:tblGrid>
        <w:gridCol w:w="456"/>
        <w:gridCol w:w="400"/>
        <w:gridCol w:w="403"/>
        <w:gridCol w:w="109"/>
        <w:gridCol w:w="109"/>
        <w:gridCol w:w="109"/>
        <w:gridCol w:w="211"/>
        <w:gridCol w:w="721"/>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27,900 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In connection with the acquisition of Dipsol as described in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$1.9 million foreign currency loss during the three months ended March 31, 2026 in Other expense, net relating to the change in fair value of these instruments as of the settlement date.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Open foreign exchange forward contracts as of March 31, 2026 had maturities occurring over a period of up to one month.</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See Note 14, </w:t>
      </w:r>
      <w:r>
        <w:rPr>
          <w:rFonts w:ascii="Times New Roman;serif" w:hAnsi="Times New Roman;serif"/>
          <w:b w:val="false"/>
          <w:i/>
          <w:color w:val="000000"/>
          <w:sz w:val="20"/>
        </w:rPr>
        <w:t>Debt</w:t>
      </w:r>
      <w:r>
        <w:rPr>
          <w:rFonts w:ascii="Times New Roman;serif" w:hAnsi="Times New Roman;serif"/>
          <w:b w:val="false"/>
          <w:color w:val="000000"/>
          <w:sz w:val="20"/>
        </w:rPr>
        <w:t>, for additional information. 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During March 2026, the Company’s interest rate swap contracts expired. In April 2026, the Company entered into $400.0 million notional amount of four-year interest rate swaps, converting a portion of the Company’s variable rate borrowings into an average fixed rate of 3.58% plus the applicable margin. These interest rate swaps are designated as cash flow hedges.</w:t>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 Dollars in thousands, except per share amounts, unless otherwise stated)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Net Investment Hedges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entered into a fixed-for-fixed cross currency swap for a notional amount of $75.0 million to hedge the variability of exchange rate impacts between the U.S. dollar and the European euro. Under the terms of the cross-currency swap agreement, the Company notionally exchanged $75.0 million at an interest rate of 1.9% for 65.8 million EUR at an interest rate of 0.0%. The cross-currency swap is designated as a net investment hedge on a pre-tax basis and expires in June 2027.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entered into fixed-for-fixed cross currency swaps with an aggregate notional amount totaling $100.0 million to hedge the variability of exchange rate impacts between the U.S. dollar and Japanese yen. Under the terms of the cross-currency swap agreements, the Company notionally exchanged $100.0 million at a weighted average interest rate of 3.1% for 14.3 billion JPY at a weighted average interest rate of 0.0%. The cross-currency swaps are designated as net investment hedges on an after-tax basis and expire in April 2028. </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fixed-for-fixed cross-currency swaps are marked to market at each reporting date and any unrealized gains or losses are included in unrealized currency translation adjustments, within AOCI. The Company uses the spot method to evaluate the effectiveness of the net investment hedges.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balance sheet classification and fair values of the Company’s derivative instruments, which are Level 2 measurements, are as follows:</w:t>
      </w:r>
    </w:p>
    <w:tbl>
      <w:tblPr>
        <w:tblW w:w="10205" w:type="dxa"/>
        <w:jc w:val="center"/>
        <w:tblInd w:w="0" w:type="dxa"/>
        <w:tblLayout w:type="fixed"/>
        <w:tblCellMar>
          <w:top w:w="28" w:type="dxa"/>
          <w:left w:w="28" w:type="dxa"/>
          <w:bottom w:w="28" w:type="dxa"/>
          <w:right w:w="28" w:type="dxa"/>
        </w:tblCellMar>
      </w:tblPr>
      <w:tblGrid>
        <w:gridCol w:w="1017"/>
        <w:gridCol w:w="897"/>
        <w:gridCol w:w="898"/>
        <w:gridCol w:w="109"/>
        <w:gridCol w:w="109"/>
        <w:gridCol w:w="109"/>
        <w:gridCol w:w="1358"/>
        <w:gridCol w:w="1358"/>
        <w:gridCol w:w="1361"/>
        <w:gridCol w:w="109"/>
        <w:gridCol w:w="109"/>
        <w:gridCol w:w="109"/>
        <w:gridCol w:w="211"/>
        <w:gridCol w:w="721"/>
        <w:gridCol w:w="109"/>
        <w:gridCol w:w="109"/>
        <w:gridCol w:w="109"/>
        <w:gridCol w:w="109"/>
        <w:gridCol w:w="250"/>
        <w:gridCol w:w="856"/>
        <w:gridCol w:w="188"/>
      </w:tblGrid>
      <w:tr>
        <w:trPr/>
        <w:tc>
          <w:tcPr>
            <w:tcW w:w="101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1" w:type="dxa"/>
            <w:gridSpan w:val="6"/>
            <w:tcBorders/>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812"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8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unrealized gain deferred to AOCI:</w:t>
      </w:r>
    </w:p>
    <w:tbl>
      <w:tblPr>
        <w:tblW w:w="9666" w:type="dxa"/>
        <w:jc w:val="center"/>
        <w:tblInd w:w="0" w:type="dxa"/>
        <w:tblLayout w:type="fixed"/>
        <w:tblCellMar>
          <w:top w:w="28" w:type="dxa"/>
          <w:left w:w="28" w:type="dxa"/>
          <w:bottom w:w="28" w:type="dxa"/>
          <w:right w:w="28" w:type="dxa"/>
        </w:tblCellMar>
      </w:tblPr>
      <w:tblGrid>
        <w:gridCol w:w="765"/>
        <w:gridCol w:w="674"/>
        <w:gridCol w:w="676"/>
        <w:gridCol w:w="109"/>
        <w:gridCol w:w="109"/>
        <w:gridCol w:w="109"/>
        <w:gridCol w:w="1429"/>
        <w:gridCol w:w="1429"/>
        <w:gridCol w:w="1432"/>
        <w:gridCol w:w="109"/>
        <w:gridCol w:w="109"/>
        <w:gridCol w:w="109"/>
        <w:gridCol w:w="220"/>
        <w:gridCol w:w="642"/>
        <w:gridCol w:w="113"/>
        <w:gridCol w:w="109"/>
        <w:gridCol w:w="109"/>
        <w:gridCol w:w="109"/>
        <w:gridCol w:w="280"/>
        <w:gridCol w:w="820"/>
        <w:gridCol w:w="205"/>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location and the amount of net gain (loss) recognized in the Company’s Condensed Consolidated Statements of Operations related to derivative instruments:</w:t>
      </w:r>
    </w:p>
    <w:tbl>
      <w:tblPr>
        <w:tblW w:w="10205" w:type="dxa"/>
        <w:jc w:val="center"/>
        <w:tblInd w:w="0" w:type="dxa"/>
        <w:tblLayout w:type="fixed"/>
        <w:tblCellMar>
          <w:top w:w="28" w:type="dxa"/>
          <w:left w:w="28" w:type="dxa"/>
          <w:bottom w:w="28" w:type="dxa"/>
          <w:right w:w="28" w:type="dxa"/>
        </w:tblCellMar>
      </w:tblPr>
      <w:tblGrid>
        <w:gridCol w:w="1015"/>
        <w:gridCol w:w="894"/>
        <w:gridCol w:w="896"/>
        <w:gridCol w:w="109"/>
        <w:gridCol w:w="109"/>
        <w:gridCol w:w="109"/>
        <w:gridCol w:w="1330"/>
        <w:gridCol w:w="1330"/>
        <w:gridCol w:w="1333"/>
        <w:gridCol w:w="109"/>
        <w:gridCol w:w="109"/>
        <w:gridCol w:w="109"/>
        <w:gridCol w:w="211"/>
        <w:gridCol w:w="616"/>
        <w:gridCol w:w="109"/>
        <w:gridCol w:w="109"/>
        <w:gridCol w:w="109"/>
        <w:gridCol w:w="109"/>
        <w:gridCol w:w="211"/>
        <w:gridCol w:w="684"/>
        <w:gridCol w:w="109"/>
        <w:gridCol w:w="109"/>
        <w:gridCol w:w="109"/>
        <w:gridCol w:w="109"/>
        <w:gridCol w:w="159"/>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Note 18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Times New Roman;serif" w:hAnsi="Times New Roman;serif"/>
          <w:b w:val="false"/>
          <w:color w:val="000000"/>
          <w:sz w:val="20"/>
        </w:rPr>
        <w:t xml:space="preserve">As previously disclosed in its 2025 Form 10-K, the Company is party to certain environmental matters and other litigation. See Note 25,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Company’s 2025 Form 10-K for more information. During the three months ended March 31, 2026, there have been no 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$5.2 million as of March 31, 2026 and December 31, 2025 for these ongoing matters.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months ended March 31, 2026, there are no new environmental matters or litigation that the Company believes will have a material adverse effect on the Company’s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r>
        <w:rPr>
          <w:rFonts w:ascii="Times New Roman;serif" w:hAnsi="Times New Roman;serif"/>
          <w:b/>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used in this Report, the terms “Quaker Houghton,” the “Company,” “we” and “our” refer to Quaker Chemical Corporation (doing business as Quaker Houghton), its subsidiaries, and associated companies, unless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Net sales in the first quarter of 2026 were </w:t>
      </w:r>
      <w:r>
        <w:rPr>
          <w:rFonts w:ascii="Times New Roman;serif" w:hAnsi="Times New Roman;serif"/>
          <w:b w:val="false"/>
          <w:color w:val="000000"/>
          <w:sz w:val="20"/>
        </w:rPr>
        <w:t>$480.5 million</w:t>
      </w:r>
      <w:r>
        <w:rPr>
          <w:rFonts w:ascii="Times New Roman;serif" w:hAnsi="Times New Roman;serif"/>
          <w:b w:val="false"/>
          <w:color w:val="000000"/>
          <w:sz w:val="20"/>
          <w:shd w:fill="FFFFFF" w:val="clear"/>
        </w:rPr>
        <w:t>, an increase</w:t>
      </w:r>
      <w:r>
        <w:rPr>
          <w:color w:val="000000"/>
        </w:rPr>
        <w:t xml:space="preserve"> </w:t>
      </w:r>
      <w:r>
        <w:rPr>
          <w:rFonts w:ascii="Times New Roman;serif" w:hAnsi="Times New Roman;serif"/>
          <w:b w:val="false"/>
          <w:color w:val="000000"/>
          <w:sz w:val="20"/>
        </w:rPr>
        <w:t>of 8% co</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pared to $442.9 million in the first quarter of 2025. This increase was primarily driven by an increase in organic volumes of approximately 3%, a contribution from acquisitions of approximately 4%, and a favorable impact from foreign currency translation of approximately 4%, partially offset by a decline in selling price and product mix of approximately 3%. The increase in organic sales volumes compared to the prior year was primarily a result of continued growth in the Asia/Pacific segment and new business wins across all segments, helping to offset a continuation of soft end market conditions, particularly in the Americas and EMEA segments, including the uncertainty caused by the macroeconomic environment. The decrease in selling price and product mix was primarily attributable to the impact of the mix of products, services and geographies and the impact of our index-based customer contracts. </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 reported net income in the first quarter of 2026</w:t>
      </w:r>
      <w:r>
        <w:rPr>
          <w:color w:val="000000"/>
        </w:rPr>
        <w:t xml:space="preserve"> </w:t>
      </w:r>
      <w:r>
        <w:rPr>
          <w:rFonts w:ascii="Times New Roman;serif" w:hAnsi="Times New Roman;serif"/>
          <w:b w:val="false"/>
          <w:color w:val="000000"/>
          <w:sz w:val="20"/>
        </w:rPr>
        <w:t>of $19.7 million, or $1.13 earnin</w:t>
      </w:r>
      <w:r>
        <w:rPr>
          <w:rFonts w:ascii="Times New Roman;serif" w:hAnsi="Times New Roman;serif"/>
          <w:b w:val="false"/>
          <w:color w:val="000000"/>
          <w:sz w:val="20"/>
          <w:shd w:fill="FFFFFF" w:val="clear"/>
        </w:rPr>
        <w:t>gs per diluted share, compared to $12.9 million, or $0.73 earnings per diluted share in the first quarter of 2025. Excluding non-recurring and non-core items in each period, the Company’s first quarter 2026 non-GAAP ne</w:t>
      </w:r>
      <w:r>
        <w:rPr>
          <w:rFonts w:ascii="Times New Roman;serif" w:hAnsi="Times New Roman;serif"/>
          <w:b w:val="false"/>
          <w:color w:val="000000"/>
          <w:sz w:val="20"/>
        </w:rPr>
        <w:t>t income and earnings per diluted share were $28.4 million and $1.63 compared to $28.0 million and $1.58, respectively, in the prior year. The increase in current quarter Non-GAAP earnings was primarily driven by an increase in net sales and improved gross margins, partially offset by an increase in selling, general and administrative expenses (“SG&amp;A”). The</w:t>
      </w:r>
      <w:r>
        <w:rPr>
          <w:color w:val="000000"/>
          <w:shd w:fill="FFFFFF" w:val="clear"/>
        </w:rPr>
        <w:t xml:space="preserve"> </w:t>
      </w:r>
      <w:r>
        <w:rPr>
          <w:rFonts w:ascii="Times New Roman;serif" w:hAnsi="Times New Roman;serif"/>
          <w:b w:val="false"/>
          <w:color w:val="000000"/>
          <w:sz w:val="20"/>
          <w:shd w:fill="FFFFFF" w:val="clear"/>
        </w:rPr>
        <w:t xml:space="preserve">Company’s current quarter adjusted EBITDA was $72.5 million compared to $69.0 million in the first quarter of 2025, primarily driven </w:t>
      </w:r>
      <w:r>
        <w:rPr>
          <w:rFonts w:ascii="Times New Roman;serif" w:hAnsi="Times New Roman;serif"/>
          <w:b w:val="false"/>
          <w:color w:val="000000"/>
          <w:sz w:val="20"/>
        </w:rPr>
        <w:t xml:space="preserve">by the increase in net sales, partially offset by lower operating margins. See the Non-GAAP Measures and Consolidated Operations Review sections of this Item below for additional details. </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Company’s first quarter 2026 operating performance in each of its three reportable segments: (i) Americas; (ii) EMEA; and (iii) Asia/Pacific,</w:t>
      </w:r>
      <w:r>
        <w:rPr>
          <w:color w:val="000000"/>
        </w:rPr>
        <w:t xml:space="preserve"> </w:t>
      </w:r>
      <w:r>
        <w:rPr>
          <w:rFonts w:ascii="Times New Roman;serif" w:hAnsi="Times New Roman;serif"/>
          <w:b w:val="false"/>
          <w:color w:val="000000"/>
          <w:sz w:val="20"/>
        </w:rPr>
        <w:t>reflects similar drivers to that of the Company’s consolidated performance. Operating earnings for the EMEA and Asia/Pacific segments increased compared to the prior year quarter, primarily due to an increase in net sales and an improvement in segment gross margins, partially offset by higher SG&amp;A. Operating earnings for the Americas segment decreased primarily due to lower segment gross margins and higher SG&amp;A. Additional details of segment operating performance are provided in the Reportable Segments Review in the Operations section of this Item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 were $3.8 million in the first three months of 2026 compared to $3.1 million of net cash flows used in operating activities the first three months of 2025. The higher operating cash inflow year-over-year reflects improved operating performance and lower cash outflows from restructuring activities and working capital in the first three months of 2026 compared to the first three months of 2025. The key drivers of the Company’s operating cash flow and working capital are further discussed in the Company’s Liquidity and Capital Resources section of this Item below.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Overall, the Company’s results in the first quarter of 2026 reflect an increase in net sales in all segments, driven by acquisitions and new business wins, despite a continuation of challenging end market conditions, and the Company’s continued focus on delivering on its long-term financial and strategic initiatives.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Recent geopolitical developments, including the escalation of the military conflict involving Iran, have increased uncertainty in the Middle East and global markets. While we do not have direct operations in Iran, our business is exposed to the current disruptions to international shipping routes, supply chain delays, and increased raw material and transportation costs. Additionally, volatility in global energy prices resulting from the conflict may impact our operating expenses and margins. In addition, the potential imposition of new or expanded sanctions against Iran or entities doing business in the region could restrict our ability to transact with certain partners and may require us to undertake additional compliance measures, review our contractual arrangements, or incur higher costs to ensure adherence to applicable laws. We are actively monitoring the situation and have implemented contingency plans, including raising our selling prices to cover higher raw material costs and increasing inventory levels where feasible. At this time, the conflict has not had a material impact on our financial results; however, due to the unpredictable nature and scope of the conflict, we cannot guarantee that future developments will not materially affect our business, operations, or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in 2026 and 2027 forward. The provisions effective in 2025 did not have a material impact to our consolidated financial statements, and the provisions effective in 2026 and 2027 are not expected to have a material impact to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“Management’s Discussion and Analysis” and “Note 1 – Significant Accounting Policies” to the Consolidated Financial Statements in our 2025 Form 10-K. There have been no material changes to the critical accounting policies and estimates disclosed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0" w:after="120"/>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Recently Issued Accounting Standards</w:t>
      </w:r>
      <w:r>
        <w:rPr>
          <w:rFonts w:ascii="Times New Roman;serif" w:hAnsi="Times New Roman;serif"/>
          <w:b w:val="false"/>
          <w:color w:val="000000"/>
          <w:sz w:val="20"/>
        </w:rPr>
        <w:t>, to the Condensed Consolidated Financial Statements for a discussion regarding recently adopted accounting standards and recently issued accounting standards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20"/>
        <w:jc w:val="both"/>
        <w:rPr/>
      </w:pPr>
      <w:r>
        <w:rPr>
          <w:rFonts w:ascii="Times New Roman;serif" w:hAnsi="Times New Roman;serif"/>
          <w:b w:val="false"/>
          <w:color w:val="000000"/>
          <w:sz w:val="20"/>
          <w:shd w:fill="FFFFFF" w:val="clear"/>
        </w:rPr>
        <w:t>We had cash and cash equivalents of</w:t>
      </w:r>
      <w:r>
        <w:rPr>
          <w:color w:val="000000"/>
        </w:rPr>
        <w:t xml:space="preserve"> </w:t>
      </w:r>
      <w:r>
        <w:rPr>
          <w:rFonts w:ascii="Times New Roman;serif" w:hAnsi="Times New Roman;serif"/>
          <w:b w:val="false"/>
          <w:color w:val="000000"/>
          <w:sz w:val="20"/>
        </w:rPr>
        <w:t xml:space="preserve">$169.7 million </w:t>
      </w:r>
      <w:r>
        <w:rPr>
          <w:rFonts w:ascii="Times New Roman;serif" w:hAnsi="Times New Roman;serif"/>
          <w:b w:val="false"/>
          <w:color w:val="000000"/>
          <w:sz w:val="20"/>
          <w:shd w:fill="FFFFFF" w:val="clear"/>
        </w:rPr>
        <w:t xml:space="preserve">and $179.8 million as of March 31, 2026 and December 31, 2025, respectively. Cash held by subsidiaries in foreign countries was approximately </w:t>
      </w:r>
      <w:r>
        <w:rPr>
          <w:rFonts w:ascii="Times New Roman;serif" w:hAnsi="Times New Roman;serif"/>
          <w:b w:val="false"/>
          <w:color w:val="000000"/>
          <w:sz w:val="20"/>
        </w:rPr>
        <w:t>$162.5 million</w:t>
      </w:r>
      <w:r>
        <w:rPr>
          <w:color w:val="000000"/>
          <w:shd w:fill="FFFFFF" w:val="clear"/>
        </w:rPr>
        <w:t xml:space="preserve"> </w:t>
      </w:r>
      <w:r>
        <w:rPr>
          <w:rFonts w:ascii="Times New Roman;serif" w:hAnsi="Times New Roman;serif"/>
          <w:b w:val="false"/>
          <w:color w:val="000000"/>
          <w:sz w:val="20"/>
          <w:shd w:fill="FFFFFF" w:val="clear"/>
        </w:rPr>
        <w:t xml:space="preserve">and $171.4 million at March 31, 2026 and December 31, 2025, respectively. The $10.1 million decrease in cash and cash equivalents was the net result of </w:t>
      </w:r>
      <w:r>
        <w:rPr>
          <w:rFonts w:ascii="Times New Roman;serif" w:hAnsi="Times New Roman;serif"/>
          <w:b w:val="false"/>
          <w:color w:val="000000"/>
          <w:sz w:val="20"/>
        </w:rPr>
        <w:t>$9.5 million</w:t>
      </w:r>
      <w:r>
        <w:rPr>
          <w:color w:val="000000"/>
          <w:shd w:fill="FFFFFF" w:val="clear"/>
        </w:rPr>
        <w:t xml:space="preserve"> </w:t>
      </w:r>
      <w:r>
        <w:rPr>
          <w:rFonts w:ascii="Times New Roman;serif" w:hAnsi="Times New Roman;serif"/>
          <w:b w:val="false"/>
          <w:color w:val="000000"/>
          <w:sz w:val="20"/>
          <w:shd w:fill="FFFFFF" w:val="clear"/>
        </w:rPr>
        <w:t>of cas</w:t>
      </w:r>
      <w:r>
        <w:rPr>
          <w:rFonts w:ascii="Times New Roman;serif" w:hAnsi="Times New Roman;serif"/>
          <w:b w:val="false"/>
          <w:color w:val="000000"/>
          <w:sz w:val="20"/>
        </w:rPr>
        <w:t xml:space="preserve">h used in </w:t>
      </w:r>
      <w:r>
        <w:rPr>
          <w:rFonts w:ascii="Times New Roman;serif" w:hAnsi="Times New Roman;serif"/>
          <w:b w:val="false"/>
          <w:color w:val="000000"/>
          <w:sz w:val="20"/>
          <w:shd w:fill="FFFFFF" w:val="clear"/>
        </w:rPr>
        <w:t>investing activities</w:t>
      </w:r>
      <w:r>
        <w:rPr>
          <w:rFonts w:ascii="Times New Roman;serif" w:hAnsi="Times New Roman;serif"/>
          <w:b w:val="false"/>
          <w:color w:val="000000"/>
          <w:sz w:val="20"/>
        </w:rPr>
        <w:t>, $3.4 million of cash used in financing activi</w:t>
      </w:r>
      <w:r>
        <w:rPr>
          <w:rFonts w:ascii="Times New Roman;serif" w:hAnsi="Times New Roman;serif"/>
          <w:b w:val="false"/>
          <w:color w:val="000000"/>
          <w:sz w:val="20"/>
          <w:shd w:fill="FFFFFF" w:val="clear"/>
        </w:rPr>
        <w:t>ties, and a $0.9 million unfavorable impact of foreign currency translation, partially offset b</w:t>
      </w:r>
      <w:r>
        <w:rPr>
          <w:rFonts w:ascii="Times New Roman;serif" w:hAnsi="Times New Roman;serif"/>
          <w:b w:val="false"/>
          <w:color w:val="000000"/>
          <w:sz w:val="20"/>
        </w:rPr>
        <w:t>y $3.8 million of cash provided by operating activities.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Net cash flows </w:t>
      </w:r>
      <w:r>
        <w:rPr>
          <w:rFonts w:ascii="Times New Roman;serif" w:hAnsi="Times New Roman;serif"/>
          <w:b w:val="false"/>
          <w:color w:val="000000"/>
          <w:sz w:val="20"/>
        </w:rPr>
        <w:t xml:space="preserve">provided by operating activities were $3.8 million in the first three months of 2026 compared to net cash flows used in operating activities of $3.1 million in the first three months of 2025. The increase in net operating cash flow year-over-year reflects improved operating performance, lower outflows from restructuring activities, and lower net cash outflows from working capital. The lower net cash outflows from working capital were primarily due to higher inflows from the timing of payments of accounts payable. This is partially offset by higher net cash outflows from accounts receivable due to an increase in net sales and timing of collections and higher net cash outflows for the purchases of inventory due to higher working capital needs including strategic inventory builds at production sites in advance of planned manufacturing transitions and in response to global supply chain risks in connection with the conflict in the Middle East. </w:t>
      </w:r>
    </w:p>
    <w:p>
      <w:pPr>
        <w:pStyle w:val="TextBody"/>
        <w:bidi w:val="0"/>
        <w:spacing w:lineRule="auto" w:line="288" w:before="0" w:after="120"/>
        <w:jc w:val="both"/>
        <w:rPr/>
      </w:pPr>
      <w:r>
        <w:rPr>
          <w:rFonts w:ascii="Times New Roman;serif" w:hAnsi="Times New Roman;serif"/>
          <w:b w:val="false"/>
          <w:color w:val="000000"/>
          <w:sz w:val="20"/>
          <w:shd w:fill="FFFFFF" w:val="clear"/>
        </w:rPr>
        <w:t>Net c</w:t>
      </w:r>
      <w:r>
        <w:rPr>
          <w:rFonts w:ascii="Times New Roman;serif" w:hAnsi="Times New Roman;serif"/>
          <w:b w:val="false"/>
          <w:color w:val="000000"/>
          <w:sz w:val="20"/>
        </w:rPr>
        <w:t>ash flows used in investing activities were $9.5 million in the first three months of 2026 compared to $13.4 million in the first three months of 2025. The decrease in cash used in investing activities year-over-year is primarily the result of $4.0 million of payments, net of cash acquired, in the prior year related to the acquisition of Chemical Solutions &amp; Innovations (Pty) Ltd, and a $1.7 million decrease in payments related to capital expenditures. This is partially offset by $2.9 million proceeds from asset dispositions in the prior year. See Note 2,</w:t>
      </w:r>
      <w:r>
        <w:rPr>
          <w:color w:val="000000"/>
        </w:rPr>
        <w:t xml:space="preserve"> </w:t>
      </w:r>
      <w:r>
        <w:rPr>
          <w:rFonts w:ascii="Times New Roman;serif" w:hAnsi="Times New Roman;serif"/>
          <w:b w:val="false"/>
          <w:i/>
          <w:color w:val="000000"/>
          <w:sz w:val="20"/>
        </w:rPr>
        <w:t>Business Acquisitions</w:t>
      </w:r>
      <w:r>
        <w:rPr>
          <w:rFonts w:ascii="Times New Roman;serif" w:hAnsi="Times New Roman;serif"/>
          <w:b w:val="false"/>
          <w:color w:val="000000"/>
          <w:sz w:val="20"/>
        </w:rPr>
        <w:t>, to the Condensed Consolidated Financial Statements for further information about business acquisitions.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Net cash flows used in financing activities were </w:t>
      </w:r>
      <w:r>
        <w:rPr>
          <w:rFonts w:ascii="Times New Roman;serif" w:hAnsi="Times New Roman;serif"/>
          <w:b w:val="false"/>
          <w:color w:val="000000"/>
          <w:sz w:val="20"/>
        </w:rPr>
        <w:t>$3.4 million</w:t>
      </w:r>
      <w:r>
        <w:rPr>
          <w:color w:val="000000"/>
          <w:shd w:fill="FFFFFF" w:val="clear"/>
        </w:rPr>
        <w:t xml:space="preserve"> </w:t>
      </w:r>
      <w:r>
        <w:rPr>
          <w:rFonts w:ascii="Times New Roman;serif" w:hAnsi="Times New Roman;serif"/>
          <w:b w:val="false"/>
          <w:color w:val="000000"/>
          <w:sz w:val="20"/>
          <w:shd w:fill="FFFFFF" w:val="clear"/>
        </w:rPr>
        <w:t>in the first three months of 2026 compared to $11.0 million cash provided by financing activities in the first three months of 2025. The decrease in finan</w:t>
      </w:r>
      <w:r>
        <w:rPr>
          <w:rFonts w:ascii="Times New Roman;serif" w:hAnsi="Times New Roman;serif"/>
          <w:b w:val="false"/>
          <w:color w:val="000000"/>
          <w:sz w:val="20"/>
        </w:rPr>
        <w:t>cing cash inflows is primarily driven by a $15.9 million decrease of net borrowings on the Company’s revolving credit facility in the first three months of 2026 compared to the prior year. This is partially offset by a $2.4 million increase of borrowings of other debt in the first three months of 2026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rPr>
        <w:t xml:space="preserve">In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March 31, 2026, the Company was in compliance with all of the Credit Facility covenants. Refer to the description of the Company’s primary Credit Facility in Note 19, </w:t>
      </w:r>
      <w:r>
        <w:rPr>
          <w:rFonts w:ascii="Times New Roman;serif" w:hAnsi="Times New Roman;serif"/>
          <w:b w:val="false"/>
          <w:i/>
          <w:color w:val="000000"/>
          <w:sz w:val="20"/>
        </w:rPr>
        <w:t>Debt</w:t>
      </w:r>
      <w:r>
        <w:rPr>
          <w:rFonts w:ascii="Times New Roman;serif" w:hAnsi="Times New Roman;serif"/>
          <w:b w:val="false"/>
          <w:color w:val="000000"/>
          <w:sz w:val="20"/>
        </w:rPr>
        <w:t>, to the Consolidated Financial Statements in its 2025 Form 10-K.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Subsequent to the first quarter of 2026, in April 2026,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the fourth amendment to its primary credit facility, entered into in August 2019. The amended credit facility (the “Amended Credit Facility”) established (A) a $250.0 million Euro equivalent senior secured term loan (B) a $550.0 million senior secured term loan and (C) a $800.0 million senior secured revolving credit facility, each maturing in April 2031. The Company primarily used the proceeds from the Amended Credit Facility to repay in full all outstanding loans under the existing Credit Facility and to terminate the revolving credit commitments under the existing Credit Facility. The Company has the right to increase the amount of the Amended Credit Facility by an aggregate amount not to exceed (a) the greater of (i) $331.0 million and (ii) 100% of Consolidated EBITDA, subject to certain conditions including the agreement to provide financing by any lender providing such increase.</w:t>
      </w:r>
    </w:p>
    <w:p>
      <w:pPr>
        <w:pStyle w:val="TextBody"/>
        <w:bidi w:val="0"/>
        <w:spacing w:lineRule="auto" w:line="288" w:before="0" w:after="120"/>
        <w:jc w:val="both"/>
        <w:rPr/>
      </w:pPr>
      <w:r>
        <w:rPr>
          <w:rFonts w:ascii="Times New Roman;serif" w:hAnsi="Times New Roman;serif"/>
          <w:b w:val="false"/>
          <w:color w:val="000000"/>
          <w:sz w:val="20"/>
          <w:shd w:fill="FFFFFF" w:val="clear"/>
        </w:rPr>
        <w:t>As o</w:t>
      </w:r>
      <w:r>
        <w:rPr>
          <w:rFonts w:ascii="Times New Roman;serif" w:hAnsi="Times New Roman;serif"/>
          <w:b w:val="false"/>
          <w:color w:val="000000"/>
          <w:sz w:val="20"/>
        </w:rPr>
        <w:t xml:space="preserve">f March 31, 2026 and December 31, 2025, the Company had Credit Facility borrowings outstanding of $861.8 million and $859.7 million, respectively. The Company’s other debt obligations are primarily industrial development bonds, bank lines of credit and municipality-related loans, which totaled $13.2 million and $11.5 million as of March 31, 2026 and December 31, 2025. Total unused capacity under these arrangements, excluding the Credit Facility, as of March 31, 2026 was approximately $58 million. The Company’s total net debt as of March 31, 2026, which consists of total borrowings of $875.0 million less cash and cash equivalents of $169.7 million, was approximately $705.3 million. </w:t>
      </w:r>
    </w:p>
    <w:p>
      <w:pPr>
        <w:pStyle w:val="TextBody"/>
        <w:bidi w:val="0"/>
        <w:spacing w:lineRule="auto" w:line="288" w:before="0" w:after="120"/>
        <w:jc w:val="both"/>
        <w:rPr/>
      </w:pPr>
      <w:r>
        <w:rPr>
          <w:rFonts w:ascii="Times New Roman;serif" w:hAnsi="Times New Roman;serif"/>
          <w:b w:val="false"/>
          <w:color w:val="000000"/>
          <w:sz w:val="20"/>
        </w:rPr>
        <w:t>The weighted average variable interest rate incurred on the outstanding borrowings under the Credit Facility during the</w:t>
      </w:r>
      <w:r>
        <w:rPr>
          <w:color w:val="000000"/>
          <w:shd w:fill="FFFFFF" w:val="clear"/>
        </w:rPr>
        <w:t xml:space="preserv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w:t>
      </w:r>
      <w:r>
        <w:rPr>
          <w:rFonts w:ascii="Times New Roman;serif" w:hAnsi="Times New Roman;serif"/>
          <w:b w:val="false"/>
          <w:color w:val="000000"/>
          <w:sz w:val="20"/>
        </w:rPr>
        <w:t xml:space="preserve">ended March 31, 2026 was approximately 4.8%. As of March 31, 2026, the weighted average variable interest rate on the outstanding borrowings under the Credit Facility was approximately 4.7%.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As of March 31, 2026, the Company had unused capacity under the Revolver of approximately $255 million, which is net of bank letters of credit of approximately $2 million. </w:t>
      </w:r>
    </w:p>
    <w:p>
      <w:pPr>
        <w:pStyle w:val="TextBody"/>
        <w:bidi w:val="0"/>
        <w:spacing w:lineRule="auto" w:line="288" w:before="0" w:after="120"/>
        <w:jc w:val="both"/>
        <w:rPr/>
      </w:pPr>
      <w:r>
        <w:rPr>
          <w:rFonts w:ascii="Times New Roman;serif" w:hAnsi="Times New Roman;serif"/>
          <w:b w:val="false"/>
          <w:color w:val="000000"/>
          <w:sz w:val="20"/>
        </w:rPr>
        <w:t xml:space="preserve">In order to manage the Company’s exposure to variable interest rate risk associated with the Credit Facility,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In March 2026, the Company’s interest rate swap contracts expired. In April 2026, the Company entered into $400.0 million notional amounts of four-year interest rate swaps, converting a portion of the Company’s variable rate borrowings into an average fixed rate of 3.58% plus the applicable margin.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capitalized third-party and credit debt issuance costs attributed to the Euro Term Loan, U.S. Term Loan and Revolver during the second quarter of 2022. Capitalized costs attributed to the Euro Term Loan and U.S. Term Loan are recorded as a direct offset to Long-term debt on the Condensed Consolidated Balance Sheets. Capitalized costs attributed to the Revolver are recorded within Other assets on the Condensed Consolidated Balance Sheets. These capitalized costs are amortized into Interest expense over the five-year term of the Credit Facility. As of March 31, 2026 and December 31, 2025, the Company had $0.5 million and $0.7 million, respectively, of debt issuance costs recorded as a reduction of Long-term debt and $1.2 million and $1.4 million, respectively, of debt issuance costs recorded within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 uses foreign exchange forward contracts to economically hedge the impact of the variability in exchange rates on certain foreign currency-denominated assets and liabilities</w:t>
      </w:r>
      <w:r>
        <w:rPr>
          <w:rFonts w:ascii="Times New Roman;serif" w:hAnsi="Times New Roman;serif"/>
          <w:b w:val="false"/>
          <w:color w:val="000000"/>
          <w:sz w:val="20"/>
        </w:rPr>
        <w:t xml:space="preserve">. During the three months ended March 31, 2026, the Company entered into and settled forward contracts resulting in other income of $0.4 million as compared to $1.9 million other expense during the three months ended March 31, 2025.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settled on April 1, 2025 in connection with the Dipsol acquisition. During the three months ended March 31, 2025, the Company recognized a $1.9 million foreign currency loss in Other expense, net relating to changes in fair value of these instruments as of the settlement date. See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2026, the Company initiated a global business transformation program (the “2026 program”), encompassing several strategic transformation and restructuring initiatives. The 2026 program primarily involves simplifying the organizational structure of legal entities, projects associated with information technology infrastructure initiatives, the optimization of specific product portfolios through targeted rationalization efforts, the optimization of certain supply chain activities and related workforce reductions. The 2026 program began in the first quarter of 2026 and is expected to be complete in 2028. The Company expects the program to generate at least $20 million to $30 million of annualized cost savings. The Company recognized restructuring and related charges and cash payments relating to the settlement of restructuring liabilities of $4.4 million and $1.0 million during the three months ended March 31, 2026, respectively, under this program. The Company expects total one-time cash costs of this program to be approximately 1 to 1.5 times annualized savings. </w:t>
      </w:r>
    </w:p>
    <w:p>
      <w:pPr>
        <w:pStyle w:val="TextBody"/>
        <w:bidi w:val="0"/>
        <w:spacing w:lineRule="auto" w:line="288" w:before="0" w:after="120"/>
        <w:jc w:val="both"/>
        <w:rPr/>
      </w:pPr>
      <w:r>
        <w:rPr>
          <w:rFonts w:ascii="Times New Roman;serif" w:hAnsi="Times New Roman;serif"/>
          <w:b w:val="false"/>
          <w:color w:val="000000"/>
          <w:sz w:val="20"/>
        </w:rPr>
        <w:t>During 2022, the Company initiated a global cost and optimization program (the “2022 program”) to improve its cost structure and drive a more profitable and productive organization. The Company has achieved its annualized cost savings goal from this program of at least $20 million. During 2025, the Company approved additional actions under the 2022 program, which are expected to generate approximately an additional $40.0 million of annualized cost savings. These actions are expected to be substantially complete by the end of 2026. The Company recognized restructuring and related charges of $3.0 million and $14.6 million for the three months ended March 31, 2026 and 2025, respectively, under this program. The Company made cash payments related to the settlement of restructuring liabilities under the 2022 program during the first</w:t>
      </w:r>
      <w:r>
        <w:rPr>
          <w:color w:val="000000"/>
          <w:shd w:fill="FFFFFF" w:val="clear"/>
        </w:rPr>
        <w:t xml:space="preserve"> </w:t>
      </w:r>
      <w:r>
        <w:rPr>
          <w:rFonts w:ascii="Times New Roman;serif" w:hAnsi="Times New Roman;serif"/>
          <w:b w:val="false"/>
          <w:color w:val="000000"/>
          <w:sz w:val="20"/>
        </w:rPr>
        <w:t>three months of 2026 of approximately $2.9 million compared to $9.0 million in the</w:t>
      </w:r>
      <w:r>
        <w:rPr>
          <w:color w:val="000000"/>
          <w:shd w:fill="FFFFFF" w:val="clear"/>
        </w:rPr>
        <w:t xml:space="preserve"> </w:t>
      </w:r>
      <w:r>
        <w:rPr>
          <w:rFonts w:ascii="Times New Roman;serif" w:hAnsi="Times New Roman;serif"/>
          <w:b w:val="false"/>
          <w:color w:val="000000"/>
          <w:sz w:val="20"/>
          <w:shd w:fill="FFFFFF" w:val="clear"/>
        </w:rPr>
        <w:t xml:space="preserve">first </w:t>
      </w:r>
      <w:r>
        <w:rPr>
          <w:rFonts w:ascii="Times New Roman;serif" w:hAnsi="Times New Roman;serif"/>
          <w:b w:val="false"/>
          <w:color w:val="000000"/>
          <w:sz w:val="20"/>
        </w:rPr>
        <w:t xml:space="preserve">three months of 2025. The Company expects total one-time cash costs of this program to be approximately 1 to 1.5 times annualized savings.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Condensed Consolidated Financial Statements for further information.</w:t>
      </w:r>
    </w:p>
    <w:p>
      <w:pPr>
        <w:pStyle w:val="TextBody"/>
        <w:bidi w:val="0"/>
        <w:spacing w:lineRule="auto" w:line="288" w:before="0" w:after="120"/>
        <w:jc w:val="both"/>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s of March 31, 2026, the Company’s gross liability for uncertain tax positions, including interest and penalties, was $15.7 million.</w:t>
      </w:r>
      <w:r>
        <w:rPr>
          <w:color w:val="000000"/>
          <w:shd w:fill="FFFFFF" w:val="clear"/>
        </w:rPr>
        <w:t xml:space="preserve"> </w:t>
      </w:r>
      <w:r>
        <w:rPr>
          <w:rFonts w:ascii="Times New Roman;serif" w:hAnsi="Times New Roman;serif"/>
          <w:b w:val="false"/>
          <w:color w:val="000000"/>
          <w:sz w:val="20"/>
          <w:shd w:fill="FFFFFF" w:val="clear"/>
        </w:rPr>
        <w:t>The Company cannot determine a reliable estimate of the timing of cash flows related to its uncertain tax position liability. However, should the entire liability be paid, the amount of the payment may be reduced by u</w:t>
      </w:r>
      <w:r>
        <w:rPr>
          <w:rFonts w:ascii="Times New Roman;serif" w:hAnsi="Times New Roman;serif"/>
          <w:b w:val="false"/>
          <w:color w:val="000000"/>
          <w:sz w:val="20"/>
        </w:rPr>
        <w:t>p to $7.5 million as a</w:t>
      </w:r>
      <w:r>
        <w:rPr>
          <w:color w:val="000000"/>
          <w:shd w:fill="FFFFFF" w:val="clear"/>
        </w:rPr>
        <w:t xml:space="preserve"> </w:t>
      </w:r>
      <w:r>
        <w:rPr>
          <w:rFonts w:ascii="Times New Roman;serif" w:hAnsi="Times New Roman;serif"/>
          <w:b w:val="false"/>
          <w:color w:val="000000"/>
          <w:sz w:val="20"/>
          <w:shd w:fill="FFFFFF" w:val="clear"/>
        </w:rPr>
        <w:t>result of offsetting benefits in other tax jurisdictions.</w:t>
      </w:r>
    </w:p>
    <w:p>
      <w:pPr>
        <w:pStyle w:val="TextBody"/>
        <w:bidi w:val="0"/>
        <w:spacing w:lineRule="auto" w:line="288" w:before="0" w:after="120"/>
        <w:jc w:val="both"/>
        <w:rPr/>
      </w:pPr>
      <w:r>
        <w:rPr>
          <w:rFonts w:ascii="Times New Roman;serif" w:hAnsi="Times New Roman;serif"/>
          <w:b w:val="false"/>
          <w:color w:val="000000"/>
          <w:sz w:val="20"/>
        </w:rPr>
        <w:t xml:space="preserve">As previously disclosed, the Board of Directors of the Company has approved a share repurchase program (“2024 Share Repurchase Program”), authorizing the Company to repurchase up to an aggregate of $150 million of the Company’s outstanding common stock and replacing the prior share repurchase program. The 2024 Share Repurchase Program was effective immediately and has no expiration date. The Company did not make any purchases under the 2024 Share Repurchase Program during the three months ended March 31, 2026. See Item 2, </w:t>
      </w:r>
      <w:r>
        <w:rPr>
          <w:rFonts w:ascii="Times New Roman;serif" w:hAnsi="Times New Roman;serif"/>
          <w:b w:val="false"/>
          <w:i/>
          <w:color w:val="000000"/>
          <w:sz w:val="20"/>
        </w:rPr>
        <w:t>Unregistered Sales of Equity Securities, Use of Proceeds and Issuer Purchases of Equity Securities</w:t>
      </w:r>
      <w:r>
        <w:rPr>
          <w:rFonts w:ascii="Times New Roman;serif" w:hAnsi="Times New Roman;serif"/>
          <w:b w:val="false"/>
          <w:color w:val="000000"/>
          <w:sz w:val="20"/>
        </w:rPr>
        <w:t>, within Part II of this Report for further information.</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additional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lineRule="auto" w:line="288" w:before="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Consolidated Operations Review – Comparison of the First Quarter of 2026 with the First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sales variances by reportable segment and consolidated operations from the prior year:</w:t>
      </w:r>
    </w:p>
    <w:tbl>
      <w:tblPr>
        <w:tblW w:w="10205" w:type="dxa"/>
        <w:jc w:val="left"/>
        <w:tblInd w:w="0" w:type="dxa"/>
        <w:tblLayout w:type="fixed"/>
        <w:tblCellMar>
          <w:top w:w="28" w:type="dxa"/>
          <w:left w:w="28" w:type="dxa"/>
          <w:bottom w:w="28" w:type="dxa"/>
          <w:right w:w="28" w:type="dxa"/>
        </w:tblCellMar>
      </w:tblPr>
      <w:tblGrid>
        <w:gridCol w:w="439"/>
        <w:gridCol w:w="386"/>
        <w:gridCol w:w="391"/>
        <w:gridCol w:w="109"/>
        <w:gridCol w:w="109"/>
        <w:gridCol w:w="109"/>
        <w:gridCol w:w="263"/>
        <w:gridCol w:w="262"/>
        <w:gridCol w:w="654"/>
        <w:gridCol w:w="109"/>
        <w:gridCol w:w="109"/>
        <w:gridCol w:w="109"/>
        <w:gridCol w:w="471"/>
        <w:gridCol w:w="471"/>
        <w:gridCol w:w="1176"/>
        <w:gridCol w:w="109"/>
        <w:gridCol w:w="109"/>
        <w:gridCol w:w="109"/>
        <w:gridCol w:w="303"/>
        <w:gridCol w:w="302"/>
        <w:gridCol w:w="760"/>
        <w:gridCol w:w="109"/>
        <w:gridCol w:w="109"/>
        <w:gridCol w:w="109"/>
        <w:gridCol w:w="357"/>
        <w:gridCol w:w="357"/>
        <w:gridCol w:w="894"/>
        <w:gridCol w:w="109"/>
        <w:gridCol w:w="109"/>
        <w:gridCol w:w="109"/>
        <w:gridCol w:w="203"/>
        <w:gridCol w:w="203"/>
        <w:gridCol w:w="301"/>
        <w:gridCol w:w="109"/>
        <w:gridCol w:w="109"/>
        <w:gridCol w:w="159"/>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Sales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price &amp; product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shd w:fill="FFFFFF" w:val="clear"/>
        </w:rPr>
        <w:t xml:space="preserve">Net sales in the first quarter of 2026 were </w:t>
      </w:r>
      <w:r>
        <w:rPr>
          <w:rFonts w:ascii="Times New Roman;serif" w:hAnsi="Times New Roman;serif"/>
          <w:b w:val="false"/>
          <w:color w:val="000000"/>
          <w:sz w:val="20"/>
        </w:rPr>
        <w:t>$480.5 million</w:t>
      </w:r>
      <w:r>
        <w:rPr>
          <w:rFonts w:ascii="Times New Roman;serif" w:hAnsi="Times New Roman;serif"/>
          <w:b w:val="false"/>
          <w:color w:val="000000"/>
          <w:sz w:val="20"/>
          <w:shd w:fill="FFFFFF" w:val="clear"/>
        </w:rPr>
        <w:t>, an increase</w:t>
      </w:r>
      <w:r>
        <w:rPr>
          <w:color w:val="000000"/>
        </w:rPr>
        <w:t xml:space="preserve"> </w:t>
      </w:r>
      <w:r>
        <w:rPr>
          <w:rFonts w:ascii="Times New Roman;serif" w:hAnsi="Times New Roman;serif"/>
          <w:b w:val="false"/>
          <w:color w:val="000000"/>
          <w:sz w:val="20"/>
        </w:rPr>
        <w:t>of 8% co</w:t>
      </w:r>
      <w:r>
        <w:rPr>
          <w:rFonts w:ascii="Times New Roman;serif" w:hAnsi="Times New Roman;serif"/>
          <w:b w:val="false"/>
          <w:color w:val="000000"/>
          <w:sz w:val="20"/>
          <w:shd w:fill="FFFFFF" w:val="clear"/>
        </w:rPr>
        <w:t>m</w:t>
      </w:r>
      <w:r>
        <w:rPr>
          <w:rFonts w:ascii="Times New Roman;serif" w:hAnsi="Times New Roman;serif"/>
          <w:b w:val="false"/>
          <w:color w:val="000000"/>
          <w:sz w:val="20"/>
        </w:rPr>
        <w:t xml:space="preserve">pared to $442.9 million in the first quarter of 2025. This increase was primarily driven by an increase in organic volumes of approximately 3%, a contribution from acquisitions of approximately 4%, and a favorable impact from foreign currency translation of approximately 4%, partially offset by a decline in selling price and product mix of approximately 3%. The increase in organic sales volumes compared to the prior year was primarily a result of continued growth in the Asia/Pacific segment and new business wins across all segments, helping to offset a continuation of soft end market conditions, particularly in the Americas and EMEA segments, including the uncertainty caused by the macroeconomic environment. The decrease in selling price and product mix was primarily attributable to the impact of the mix of products, services and geographies and the impact of our index-based customer contracts. </w:t>
      </w:r>
    </w:p>
    <w:p>
      <w:pPr>
        <w:pStyle w:val="TextBody"/>
        <w:bidi w:val="0"/>
        <w:spacing w:lineRule="auto" w:line="288" w:before="0" w:after="120"/>
        <w:jc w:val="both"/>
        <w:rPr/>
      </w:pPr>
      <w:r>
        <w:rPr>
          <w:rFonts w:ascii="Times New Roman;serif" w:hAnsi="Times New Roman;serif"/>
          <w:b w:val="false"/>
          <w:color w:val="000000"/>
          <w:sz w:val="20"/>
          <w:shd w:fill="FFFFFF" w:val="clear"/>
        </w:rPr>
        <w:t>Cost of goods sold (“COGS”) w</w:t>
      </w:r>
      <w:r>
        <w:rPr>
          <w:rFonts w:ascii="Times New Roman;serif" w:hAnsi="Times New Roman;serif"/>
          <w:b w:val="false"/>
          <w:color w:val="000000"/>
          <w:sz w:val="20"/>
        </w:rPr>
        <w:t xml:space="preserve">as $303.7 million in the first quarter of 2026 compared to $281.7 million in the first quarter of 2025, an increase of approximately $22.0 million, or 8%. The increase in COGS reflects an increase in spend on the increase in current year sales volumes, partially offset by a slight decrease in global raw material costs. </w:t>
      </w:r>
    </w:p>
    <w:p>
      <w:pPr>
        <w:pStyle w:val="TextBody"/>
        <w:bidi w:val="0"/>
        <w:spacing w:lineRule="auto" w:line="288" w:before="0" w:after="120"/>
        <w:jc w:val="both"/>
        <w:rPr/>
      </w:pPr>
      <w:r>
        <w:rPr>
          <w:rFonts w:ascii="Times New Roman;serif" w:hAnsi="Times New Roman;serif"/>
          <w:b w:val="false"/>
          <w:color w:val="000000"/>
          <w:sz w:val="20"/>
          <w:shd w:fill="FFFFFF" w:val="clear"/>
        </w:rPr>
        <w:t>Gross profit wa</w:t>
      </w:r>
      <w:r>
        <w:rPr>
          <w:rFonts w:ascii="Times New Roman;serif" w:hAnsi="Times New Roman;serif"/>
          <w:b w:val="false"/>
          <w:color w:val="000000"/>
          <w:sz w:val="20"/>
        </w:rPr>
        <w:t>s $176.7 million in the first quarter of 2026 compared to $161.3 million in the first quarter of 2025, an increase of $15.4 million, or 10% primarily due to an increase in sales and a slight decrease in raw material costs. The Com</w:t>
      </w:r>
      <w:r>
        <w:rPr>
          <w:rFonts w:ascii="Times New Roman;serif" w:hAnsi="Times New Roman;serif"/>
          <w:b w:val="false"/>
          <w:color w:val="000000"/>
          <w:sz w:val="20"/>
          <w:shd w:fill="FFFFFF" w:val="clear"/>
        </w:rPr>
        <w:t>pany’s reported gross margin in the first quarter of 2026 w</w:t>
      </w:r>
      <w:r>
        <w:rPr>
          <w:rFonts w:ascii="Times New Roman;serif" w:hAnsi="Times New Roman;serif"/>
          <w:b w:val="false"/>
          <w:color w:val="000000"/>
          <w:sz w:val="20"/>
        </w:rPr>
        <w:t>as 36.8% compa</w:t>
      </w:r>
      <w:r>
        <w:rPr>
          <w:rFonts w:ascii="Times New Roman;serif" w:hAnsi="Times New Roman;serif"/>
          <w:b w:val="false"/>
          <w:color w:val="000000"/>
          <w:sz w:val="20"/>
          <w:shd w:fill="FFFFFF" w:val="clear"/>
        </w:rPr>
        <w:t xml:space="preserve">red to 36.4% in the first quarter of 2025. </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SG&amp;A expense </w:t>
      </w:r>
      <w:r>
        <w:rPr>
          <w:rFonts w:ascii="Times New Roman;serif" w:hAnsi="Times New Roman;serif"/>
          <w:b w:val="false"/>
          <w:color w:val="000000"/>
          <w:sz w:val="20"/>
        </w:rPr>
        <w:t>was $135.8 million in the</w:t>
      </w:r>
      <w:r>
        <w:rPr>
          <w:color w:val="000000"/>
          <w:shd w:fill="FFFFFF" w:val="clear"/>
        </w:rPr>
        <w:t xml:space="preserve"> </w:t>
      </w:r>
      <w:r>
        <w:rPr>
          <w:rFonts w:ascii="Times New Roman;serif" w:hAnsi="Times New Roman;serif"/>
          <w:b w:val="false"/>
          <w:color w:val="000000"/>
          <w:sz w:val="20"/>
          <w:shd w:fill="FFFFFF" w:val="clear"/>
        </w:rPr>
        <w:t>first quarter of 2026 compared to $119.0 million in the first quarter of 2025, an increase of approximately $16.8 million, or 14%,</w:t>
      </w:r>
      <w:r>
        <w:rPr>
          <w:color w:val="000000"/>
        </w:rPr>
        <w:t xml:space="preserve"> </w:t>
      </w:r>
      <w:r>
        <w:rPr>
          <w:rFonts w:ascii="Times New Roman;serif" w:hAnsi="Times New Roman;serif"/>
          <w:b w:val="false"/>
          <w:color w:val="000000"/>
          <w:sz w:val="20"/>
        </w:rPr>
        <w:t>primarily driven by an increase in SG&amp;A expenses related to acquisitions, an increase in incentive compensation, and unfavorable impacts from foreign currency translation.</w:t>
      </w:r>
    </w:p>
    <w:p>
      <w:pPr>
        <w:pStyle w:val="TextBody"/>
        <w:bidi w:val="0"/>
        <w:spacing w:lineRule="auto" w:line="288" w:before="0" w:after="120"/>
        <w:jc w:val="both"/>
        <w:rPr/>
      </w:pPr>
      <w:r>
        <w:rPr>
          <w:rFonts w:ascii="Times New Roman;serif" w:hAnsi="Times New Roman;serif"/>
          <w:b w:val="false"/>
          <w:color w:val="000000"/>
          <w:sz w:val="20"/>
        </w:rPr>
        <w:t xml:space="preserve">The Company incurred Restructuring and related charges of $7.4 million and $14.6 million during the first quarter of 2026 and 2025, respectively, primarily related to a lower number of headcount reductions in the first quarter of 2026 compared to the first quarter of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See the Non-GAAP Measures section below and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to the Condensed Consolidated Financial Statements for additional information.</w:t>
      </w:r>
    </w:p>
    <w:p>
      <w:pPr>
        <w:pStyle w:val="TextBody"/>
        <w:bidi w:val="0"/>
        <w:spacing w:lineRule="auto" w:line="288" w:before="0" w:after="120"/>
        <w:jc w:val="both"/>
        <w:rPr/>
      </w:pPr>
      <w:r>
        <w:rPr>
          <w:rFonts w:ascii="Times New Roman;serif" w:hAnsi="Times New Roman;serif"/>
          <w:b w:val="false"/>
          <w:color w:val="000000"/>
          <w:sz w:val="20"/>
          <w:shd w:fill="FFFFFF" w:val="clear"/>
        </w:rPr>
        <w:t>Operating income in the first quarter of 2026 w</w:t>
      </w:r>
      <w:r>
        <w:rPr>
          <w:rFonts w:ascii="Times New Roman;serif" w:hAnsi="Times New Roman;serif"/>
          <w:b w:val="false"/>
          <w:color w:val="000000"/>
          <w:sz w:val="20"/>
        </w:rPr>
        <w:t xml:space="preserve">as $33.6 million compared to $27.6 million in the first quarter of 2025. Excluding non-recurring and non-core expenses that are not indicative of the future operating performance of the Company described in the Non-GAAP Measures section of this Item below, the Company’s non-GAAP operating income was $45.3 million in </w:t>
      </w:r>
      <w:r>
        <w:rPr>
          <w:rFonts w:ascii="Times New Roman;serif" w:hAnsi="Times New Roman;serif"/>
          <w:b w:val="false"/>
          <w:color w:val="000000"/>
          <w:sz w:val="20"/>
          <w:shd w:fill="FFFFFF" w:val="clear"/>
        </w:rPr>
        <w:t>the first quarter of 2026 and $45.8 million in the first quarter of 2025.</w:t>
      </w:r>
      <w:r>
        <w:rPr>
          <w:color w:val="000000"/>
        </w:rPr>
        <w:t xml:space="preserve"> </w:t>
      </w:r>
      <w:r>
        <w:rPr>
          <w:rFonts w:ascii="Times New Roman;serif" w:hAnsi="Times New Roman;serif"/>
          <w:b w:val="false"/>
          <w:color w:val="000000"/>
          <w:sz w:val="20"/>
        </w:rPr>
        <w:t>The slight decrease in non-GAAP operating income was primarily due to higher SG&amp;A, partially offset by an increase in net sales and higher gross margins, as described above.</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 had</w:t>
      </w:r>
      <w:r>
        <w:rPr>
          <w:color w:val="000000"/>
        </w:rPr>
        <w:t xml:space="preserve"> </w:t>
      </w:r>
      <w:r>
        <w:rPr>
          <w:rFonts w:ascii="Times New Roman;serif" w:hAnsi="Times New Roman;serif"/>
          <w:b w:val="false"/>
          <w:color w:val="000000"/>
          <w:sz w:val="20"/>
        </w:rPr>
        <w:t>Other expense, net of less than $0.1 million in the first quarter of 2026 as compared to Other expense, net of $0.7 million in the first quarter of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Both the first quarter of 2026 and 2025 included foreign exchange transaction losses, which were $2.8 million higher in the prior year. The prior year also included other income from net gain on disposals of property of $2.1 million.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was $9.9 million in the first quarter of 2026 compared to $9.5 million in the first quarter of 2025, an increase of approximately $0.4 million, primarily as a result of higher outstanding borrowings, partially offset by decreases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pPr>
      <w:r>
        <w:rPr>
          <w:rFonts w:ascii="Times New Roman;serif" w:hAnsi="Times New Roman;serif"/>
          <w:b w:val="false"/>
          <w:color w:val="000000"/>
          <w:sz w:val="20"/>
          <w:shd w:fill="FFFFFF" w:val="clear"/>
        </w:rPr>
        <w:t>The Company’s effective tax rates for the first quarters of 2026 and 2025 were 30.2% and 43.4%, respectively. The Company’s effective tax rate for the first quarter of 2026 was largely driven b</w:t>
      </w:r>
      <w:r>
        <w:rPr>
          <w:rFonts w:ascii="Times New Roman;serif" w:hAnsi="Times New Roman;serif"/>
          <w:b w:val="false"/>
          <w:color w:val="000000"/>
          <w:sz w:val="20"/>
        </w:rPr>
        <w:t xml:space="preserve">y our mix of pre-tax earnings and withholding taxes. </w:t>
      </w:r>
      <w:r>
        <w:rPr>
          <w:rFonts w:ascii="Times New Roman;serif" w:hAnsi="Times New Roman;serif"/>
          <w:b w:val="false"/>
          <w:color w:val="000000"/>
          <w:sz w:val="20"/>
          <w:shd w:fill="FFFFFF" w:val="clear"/>
        </w:rPr>
        <w:t>Comparatively, the effective tax rate for the first quarter of 2025 was largely driven by our mix of pre-tax earnings, withholding taxes and return to provision adjustments offset by net favorable reductions in uncertain tax positions. Excluding the impact of non-core items in each quarter, described in the Non-GAAP Measures section of this Item below, the Company estimates that its effective tax rates for the first quarters of 2026 and 2025 would have been appro</w:t>
      </w:r>
      <w:r>
        <w:rPr>
          <w:rFonts w:ascii="Times New Roman;serif" w:hAnsi="Times New Roman;serif"/>
          <w:b w:val="false"/>
          <w:color w:val="000000"/>
          <w:sz w:val="20"/>
        </w:rPr>
        <w:t>ximately 28% and 29%, respe</w:t>
      </w:r>
      <w:r>
        <w:rPr>
          <w:rFonts w:ascii="Times New Roman;serif" w:hAnsi="Times New Roman;serif"/>
          <w:b w:val="false"/>
          <w:color w:val="000000"/>
          <w:sz w:val="20"/>
          <w:shd w:fill="FFFFFF" w:val="clear"/>
        </w:rPr>
        <w:t>ctively.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Equity in net income of associated companies was $3.2 million in the first quarter of 2026 compared to $3.1 million in the first quarter of 2025, an increase of $0.1 million, primarily due to recognizing earnings from SKT, a 30% equity method investment the Company acquired as part of the Dipsol acquisition.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less than $0.1 million in the first quarter of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Reportable Segments Review - Comparison of the First Quarter of 2026 with the First Quarter of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net.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Americas represented approximately 44% of the Company’s consolidated net sales in the first quarter of 2026. This segment’s net sales were $213.7 million, which was consistent compared to the first quarter of 2025. This was driven by an increase in net sales from the acquisition of Dipsol of approximately 2%, a favorable foreign exchange impact of 1%, partially offset by a decrease in organic sales volumes of approximately 2% and a decrease in selling price and product mix of approximately 1%. The favorable foreign exchange impact was primarily due to the weakening of the U.S. dollar against the Mexican peso and Brazilian real. Sales volumes declined compared to the prior year due to a continuation of soft end market conditions further impacted by the uncertainty of the macroeconomic environment, partially offset by new business wins. The decrease in selling price and product mix was primarily attributable to the impact of the mix of products, services and geographies and the impact of our index-based customer contracts. Segment operating earnings were $53.9 million, a decrease of $4.5 million, or 8%, compared to the first quarter of 2025, primarily driven by lower segment margins and higher SG&amp;A. </w:t>
      </w:r>
    </w:p>
    <w:p>
      <w:pPr>
        <w:pStyle w:val="TextBody"/>
        <w:bidi w:val="0"/>
        <w:spacing w:lineRule="auto" w:line="288" w:before="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EMEA</w:t>
      </w:r>
    </w:p>
    <w:p>
      <w:pPr>
        <w:pStyle w:val="TextBody"/>
        <w:bidi w:val="0"/>
        <w:spacing w:lineRule="auto" w:line="288" w:before="0" w:after="120"/>
        <w:jc w:val="both"/>
        <w:rPr/>
      </w:pPr>
      <w:r>
        <w:rPr>
          <w:rFonts w:ascii="Times New Roman;serif" w:hAnsi="Times New Roman;serif"/>
          <w:b w:val="false"/>
          <w:color w:val="000000"/>
          <w:sz w:val="20"/>
          <w:shd w:fill="FFFFFF" w:val="clear"/>
        </w:rPr>
        <w:t>EMEA represented approximate</w:t>
      </w:r>
      <w:r>
        <w:rPr>
          <w:rFonts w:ascii="Times New Roman;serif" w:hAnsi="Times New Roman;serif"/>
          <w:b w:val="false"/>
          <w:color w:val="000000"/>
          <w:sz w:val="20"/>
        </w:rPr>
        <w:t xml:space="preserve">ly 30% of the Company’s consolidated net sales in the first quarter of 2026. This segment’s net sales were $142.1 million, an increase of $12.8 million, or 10%, compared to the first quarter of 2025. This was driven by an increase in organic sales volumes of approximately 2%, an increase in net sales from the acquisitions of Dipsol and Natech of approximately 2%, and a favorable impact from foreign currency translation of approximately 10%, partially offset by a decrease in selling price and product mix of approximately 4%. The increase in organic sales volumes was primarily driven by new business wins, which helped offset a continuation of soft end market conditions, which were further impacted by the uncertainty of the macroeconomic environment. The favorable foreign currency translation impact was primarily due to the weakening of the U.S. dollar against the Euro. The decrease in selling price and product mix was primarily attributable to the impact of the mix of products, services and geographies and the impact of our index-based customer contracts. Segment operating earnings were $25.6 million, an increase of $2.2 million, or 9%, compared to the first quarter of 2025, primarily due to an increase in net sales and an improvement in segment gross margins, partially offset by higher SG&amp;A.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Asia/Pacific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Asia/Pacific represented approximately 26% of the Company’s consolidated net sales in the first quarter of 2026. This segment’s net sales were $124.7 million, an increase of $24.7 million, or 25%, compared to the first quarter of 2025. This was driven by an increase in net sales from the acquisition of Dipsol of approximately 14%, an increase in organic sales volumes of approximately 10%, and a favorable impact from foreign currency translation of approximately 3%, partially offset by a decrease in selling price and product mix of approximately 2%. The increase in organic sales volumes was primarily driven by new business wins despite a modest decrease in underlying market conditions. The favorable foreign currency translation impact was primarily due to the weakening of the U.S. dollar against the Chinese renminbi. The decrease in selling price and product mix was primarily attributable to the impact of the mix of products, services and geographies and the impact of our index-based customer contracts. Segment operating earnings were $34.3 million, an increase of $8.3 million, or 32%, compared to the first quarter of 2025, primarily due to an increase in net sales and an improvement in segment gross margins, partially offset by higher SG&amp;A.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Non-GAAP Measures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Form 10-Q includes non-GAAP (unaudited) financial information that includes EBITDA, adjusted EBITDA, adjusted EBITDA margin, non-GAAP operating income, non-GAAP operating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The Company presents non-GAAP operating income, which is calculated as operating income plus or minus certain items that are not considered indicative of future operating performance or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8269" w:type="dxa"/>
        <w:jc w:val="center"/>
        <w:tblInd w:w="0" w:type="dxa"/>
        <w:tblLayout w:type="fixed"/>
        <w:tblCellMar>
          <w:top w:w="28" w:type="dxa"/>
          <w:left w:w="28" w:type="dxa"/>
          <w:bottom w:w="28" w:type="dxa"/>
          <w:right w:w="28" w:type="dxa"/>
        </w:tblCellMar>
      </w:tblPr>
      <w:tblGrid>
        <w:gridCol w:w="1833"/>
        <w:gridCol w:w="1609"/>
        <w:gridCol w:w="1613"/>
        <w:gridCol w:w="211"/>
        <w:gridCol w:w="721"/>
        <w:gridCol w:w="271"/>
        <w:gridCol w:w="109"/>
        <w:gridCol w:w="109"/>
        <w:gridCol w:w="109"/>
        <w:gridCol w:w="211"/>
        <w:gridCol w:w="721"/>
        <w:gridCol w:w="271"/>
        <w:gridCol w:w="109"/>
        <w:gridCol w:w="109"/>
        <w:gridCol w:w="109"/>
        <w:gridCol w:w="154"/>
      </w:tblGrid>
      <w:tr>
        <w:trPr/>
        <w:tc>
          <w:tcPr>
            <w:tcW w:w="183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Operating Income and Margin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27,624 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0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(b)</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(k)</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 (%) (n)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572"/>
        <w:gridCol w:w="2206"/>
        <w:gridCol w:w="2211"/>
        <w:gridCol w:w="211"/>
        <w:gridCol w:w="721"/>
        <w:gridCol w:w="271"/>
        <w:gridCol w:w="109"/>
        <w:gridCol w:w="109"/>
        <w:gridCol w:w="109"/>
        <w:gridCol w:w="211"/>
        <w:gridCol w:w="721"/>
        <w:gridCol w:w="271"/>
        <w:gridCol w:w="109"/>
        <w:gridCol w:w="109"/>
        <w:gridCol w:w="109"/>
        <w:gridCol w:w="156"/>
      </w:tblGrid>
      <w:tr>
        <w:trPr/>
        <w:tc>
          <w:tcPr>
            <w:tcW w:w="257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 Adjusted EBITDA, Adjusted EBITDA Margin and Non-GAAP Net Income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Quaker Chemical Corporation</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income before equity in net income of associated companies (m)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62,563 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50,839 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(a)</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 (c)</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acquisition-related hedges (h)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(i)</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69,047 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 (n)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 (l)</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20,830 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Taxes on income before equity in net income of associated companies - adjusted (m)</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Acquisition-related depreciation and amortization (k)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28,374 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28,028 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2817"/>
        <w:gridCol w:w="2455"/>
        <w:gridCol w:w="2461"/>
        <w:gridCol w:w="211"/>
        <w:gridCol w:w="511"/>
        <w:gridCol w:w="109"/>
        <w:gridCol w:w="109"/>
        <w:gridCol w:w="109"/>
        <w:gridCol w:w="109"/>
        <w:gridCol w:w="211"/>
        <w:gridCol w:w="511"/>
        <w:gridCol w:w="109"/>
        <w:gridCol w:w="109"/>
        <w:gridCol w:w="109"/>
        <w:gridCol w:w="109"/>
        <w:gridCol w:w="156"/>
      </w:tblGrid>
      <w:tr>
        <w:trPr/>
        <w:tc>
          <w:tcPr>
            <w:tcW w:w="281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Earnings per Diluted Share Reconciliations</w:t>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earnings per diluted share attributable to Quaker Chemical Corporation common shareholders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in a captive insurance company (f)</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 net (a)</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 (c)</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7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costs, non-service components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conversion impacts of hyper-inflationary economies (g)</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acquisition-related hedges (h)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 (i)</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Discrete tax items (j)</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depreciation and amortization (k)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3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diluted share (o)</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(a)Restructuring and related charges, net represent the costs incurred by the Company associated with the Company’s restructuring programs and facility closure actions.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(b)Acquisition-related expenses include expenses associated with the Company’s recent and potential acquisitions, including legal, financial, consulting and other costs.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(c)Business transformation costs represent non-recurring expenses associated with the Company’s global business transformation program which was initiated in 2026. These costs generally relate to one-time third-party consulting costs relating to simplifying the organizational structure of legal entities, projects associated with information technology infrastructure initiatives, the optimization of specific product portfolios through targeted rationalization efforts, and the optimization of certain supply chain activities. See Note 7, </w:t>
      </w:r>
      <w:r>
        <w:rPr>
          <w:rFonts w:ascii="Times New Roman;serif" w:hAnsi="Times New Roman;serif"/>
          <w:b w:val="false"/>
          <w:i/>
          <w:color w:val="000000"/>
          <w:sz w:val="20"/>
        </w:rPr>
        <w:t xml:space="preserve">Restructuring and Related Activities, </w:t>
      </w:r>
      <w:r>
        <w:rPr>
          <w:rFonts w:ascii="Times New Roman;serif" w:hAnsi="Times New Roman;serif"/>
          <w:b w:val="false"/>
          <w:color w:val="000000"/>
          <w:sz w:val="20"/>
        </w:rPr>
        <w:t>to the Condensed Consolidated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(d)Pension and postretirement benefit costs, non-service components represents the pre-tax, non-service components of the Company’s pension and postretirement net periodic benefit cost in each period. See Note 9, </w:t>
      </w:r>
      <w:r>
        <w:rPr>
          <w:rFonts w:ascii="Times New Roman;serif" w:hAnsi="Times New Roman;serif"/>
          <w:b w:val="false"/>
          <w:i/>
          <w:color w:val="000000"/>
          <w:sz w:val="20"/>
        </w:rPr>
        <w:t>Pension and Other Postretirement Benefits,</w:t>
      </w:r>
      <w:r>
        <w:rPr>
          <w:color w:val="000000"/>
        </w:rPr>
        <w:t xml:space="preserve"> </w:t>
      </w:r>
      <w:r>
        <w:rPr>
          <w:rFonts w:ascii="Times New Roman;serif" w:hAnsi="Times New Roman;serif"/>
          <w:b w:val="false"/>
          <w:color w:val="000000"/>
          <w:sz w:val="20"/>
        </w:rPr>
        <w:t>and Note 10,</w:t>
      </w:r>
      <w:r>
        <w:rPr>
          <w:color w:val="000000"/>
        </w:rPr>
        <w:t xml:space="preserve"> </w:t>
      </w:r>
      <w:r>
        <w:rPr>
          <w:rFonts w:ascii="Times New Roman;serif" w:hAnsi="Times New Roman;serif"/>
          <w:b w:val="false"/>
          <w:i/>
          <w:color w:val="000000"/>
          <w:sz w:val="20"/>
        </w:rPr>
        <w:t xml:space="preserve">Other expense, net, </w:t>
      </w:r>
      <w:r>
        <w:rPr>
          <w:rFonts w:ascii="Times New Roman;serif" w:hAnsi="Times New Roman;serif"/>
          <w:b w:val="false"/>
          <w:color w:val="000000"/>
          <w:sz w:val="20"/>
        </w:rPr>
        <w:t xml:space="preserve">to the Condensed Consolidated Financial Statements for additional information.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(e)Other charges include professional fees incurred in connection with tax audits, certain consultant and advisory expenses for the Company’s long-term strategic planning, and other items.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(g)</w:t>
      </w:r>
      <w:r>
        <w:rPr>
          <w:rFonts w:ascii="Times New Roman;serif" w:hAnsi="Times New Roman;serif"/>
          <w:b w:val="false"/>
          <w:color w:val="000000"/>
          <w:sz w:val="20"/>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months ended March 31, 2026 and 2025. The charges incurred relate to the immediate recognition of foreign currency remeasurement in the Condensed Consolidated Statements of Operations.</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(h)Loss on acquisition-related hedges represents the mark-to-market and settlement of the foreign exchange forward contracts entered into March 2025 for an aggregate notional amount totaling $155.3 million to hedge the variability of exchange rate impacts between the U.S. Dollar and Japanese yen in connection with the acquisition of Dipsol.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and Note 17, </w:t>
      </w:r>
      <w:r>
        <w:rPr>
          <w:rFonts w:ascii="Times New Roman;serif" w:hAnsi="Times New Roman;serif"/>
          <w:b w:val="false"/>
          <w:i/>
          <w:color w:val="000000"/>
          <w:sz w:val="20"/>
        </w:rPr>
        <w:t>Hedging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(i)Gain on sale of assets represents the gain recognized on the sale of certain property previously classified as held for sale. See Note 7, </w:t>
      </w:r>
      <w:r>
        <w:rPr>
          <w:rFonts w:ascii="Times New Roman;serif" w:hAnsi="Times New Roman;serif"/>
          <w:b w:val="false"/>
          <w:i/>
          <w:color w:val="000000"/>
          <w:sz w:val="20"/>
        </w:rPr>
        <w:t>Restructuring and Related Activities</w:t>
      </w:r>
      <w:r>
        <w:rPr>
          <w:rFonts w:ascii="Times New Roman;serif" w:hAnsi="Times New Roman;serif"/>
          <w:b w:val="false"/>
          <w:color w:val="000000"/>
          <w:sz w:val="20"/>
        </w:rPr>
        <w:t xml:space="preserve">, to the Condensed Consolidated Financial Statements for additional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(j)Discrete tax items include certain impacts of uncertain tax positions. See Note 11, </w:t>
      </w:r>
      <w:r>
        <w:rPr>
          <w:rFonts w:ascii="Times New Roman;serif" w:hAnsi="Times New Roman;serif"/>
          <w:b w:val="false"/>
          <w:i/>
          <w:color w:val="000000"/>
          <w:sz w:val="20"/>
        </w:rPr>
        <w:t>Income Taxes</w:t>
      </w:r>
      <w:r>
        <w:rPr>
          <w:rFonts w:ascii="Times New Roman;serif" w:hAnsi="Times New Roman;serif"/>
          <w:b w:val="false"/>
          <w:color w:val="000000"/>
          <w:sz w:val="20"/>
        </w:rPr>
        <w:t>, to the Condensed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ind w:left="0" w:right="0" w:hanging="360"/>
        <w:jc w:val="both"/>
        <w:rPr/>
      </w:pPr>
      <w:r>
        <w:rPr>
          <w:rFonts w:ascii="Times New Roman;serif" w:hAnsi="Times New Roman;serif"/>
          <w:b w:val="false"/>
          <w:color w:val="000000"/>
          <w:sz w:val="20"/>
        </w:rPr>
        <w:t xml:space="preserve">(k)Acquisition-related depreciation and amortization represents amortization expense recorded for definite-lived intangible assets in connection with the Dipsol and Natech acquisitions and depreciation expense recorded in connection with the fair value step-up of Dipsol’s property, plant, and equipment. See Note 2,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and Note 13,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for more information.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(l)</w:t>
      </w:r>
      <w:r>
        <w:rPr>
          <w:rFonts w:ascii="Times New Roman;serif" w:hAnsi="Times New Roman;serif"/>
          <w:b w:val="false"/>
          <w:color w:val="000000"/>
          <w:sz w:val="20"/>
        </w:rPr>
        <w:t xml:space="preserve">Depreciation and amortization for the three months ended March 31, 2026 and 2025 each includes approximately $0.2 million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 </w:t>
      </w:r>
    </w:p>
    <w:p>
      <w:pPr>
        <w:pStyle w:val="TextBody"/>
        <w:bidi w:val="0"/>
        <w:spacing w:lineRule="auto" w:line="288" w:before="0" w:after="120"/>
        <w:ind w:left="0" w:right="0" w:hanging="360"/>
        <w:jc w:val="both"/>
        <w:rPr/>
      </w:pPr>
      <w:r>
        <w:rPr>
          <w:rFonts w:ascii="Times New Roman;serif" w:hAnsi="Times New Roman;serif"/>
          <w:b w:val="false"/>
          <w:color w:val="000000"/>
          <w:sz w:val="20"/>
          <w:shd w:fill="FFFFFF" w:val="clear"/>
        </w:rPr>
        <w:t>(m)</w:t>
      </w:r>
      <w:r>
        <w:rPr>
          <w:rFonts w:ascii="Times New Roman;serif" w:hAnsi="Times New Roman;serif"/>
          <w:b w:val="false"/>
          <w:color w:val="000000"/>
          <w:sz w:val="20"/>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 This caption also includes the impact of specific tax charges and benefits for the three months ended March 31, 2026 and 2025.</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(n)The Company calculates adjusted EBITDA margin and non-GAAP operating margin as the percentage of adjusted EBITDA and non-GAAP operating income to consolidated net sales.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(o)In each given period, the Company calculates non-GAAP earnings per diluted share as non-GAAP net income attributable to the Company per weighted average diluted shares outstanding using the “two-class share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off-balance sheet items outstanding as of March 31, 2026 include approximately $7 million of bank letters of credit and guarantees. The bank letters of credit and guarantees are not significant to the Company’s liquidity or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Factors That May Affect Our Future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timing and extent of the impacts on our business from acts of war, terrorism and military conflicts, including those in Ukraine and the Middle East, as well as related economic, political and governmental actions taken by various governments and governmental organizations in response;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inflationary pressures, increases in raw material costs, supply chain constraints and other impacts of economic downturns, as well as high interest rates and their impact on our and our customers’ business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broader macroeconomic factors, including potential for changes in global and regional economic conditions, the possibility of global or regional slowdowns or recessions, other macroeconomic stresses and uncertainties, including potential impacts related to the recent actions of the federal government and responses thereto, as well as other political and geopolitical events, civil disturbances and endemics/pandemics or extreme weather events and other natural disasters that may adversely affect regional economic conditions and housing market;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political conditions and legislative and regulatory activity (or inactivity), including adoption of (or failure to adopt) new laws, regulations and executive orders, changes in existing laws, regulations and executive orders or the way they are interpreted or applied, and adoption of laws, regulations or executive orders that conflict among jurisdictions in which we operate;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future results and plans including our sustainability goals and enterprise strategy.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governments or government organizations; suspensions of activities in Russia by many multinational companies; foreign currency fluctuations; significant changes in applicable tax rates and regulations and the potential impacts therefrom, including those arising from OBBB;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automotive, aerospace, industrial equipment, aluminum, and durable goods industries.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Any or all of the forward-looking statements in this Report, in the Company’s 2025 Form 10-K and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Item 2, Management’s Discussion and Analysis of Financial Condition and Results of Operations.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can be found in the Company’s subsequent reports on Forms 10-K, 10-Q, 8-K and other related filings. We caution you not to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Quaker Houghton on the Internet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evaluated the information required under this Item that was disclosed in Part II, Item 7A, of our Annual Report on Form 10-K for the year ended December 31, 2025, and we believe there has been no material change to that information, except the interest rate risk noted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borrowings under the Company’s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outstanding borrowings under the Credit Facility of approximately $861.8 million and $859.7 million, respectively. The interest rate applicable on outstanding borrowings under the Credit Facility was approximately 4.7% as of both March 31, 2026, and December 31, 2025, respectively. An interest rate change of 100 basis points would result in an approximate $2.2 million and $8.6 million increase or decrease to interest expense for the three months ended March 31, 2026, and year ended December 31, 2025, respectively.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From 2023 until the first quarter of 2026, the Company had interest rate swaps in place to convert a portion of the Company's variable rate borrowings under the Credit Facility to a fixed rate exposure. In March 2026, these interest rate swap contracts expired. In April 2026, the Company further amended its Credit Facility. In April 2026, the Company entered into $400.0 million notional amounts of four-year interest rate swaps, converting a portion of the Company’s variable rate borrowings into an average fixed rate of 3.58% plus the applicable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pPr>
      <w:r>
        <w:rPr>
          <w:rFonts w:ascii="Times New Roman;serif" w:hAnsi="Times New Roman;serif"/>
          <w:b w:val="false"/>
          <w:i/>
          <w:color w:val="000000"/>
          <w:sz w:val="20"/>
        </w:rPr>
        <w:t>Evaluation of disclosure controls and procedures.</w:t>
      </w:r>
      <w:r>
        <w:rPr>
          <w:color w:val="000000"/>
        </w:rPr>
        <w:t xml:space="preserve"> </w:t>
      </w:r>
      <w:r>
        <w:rPr>
          <w:rFonts w:ascii="Times New Roman;serif" w:hAnsi="Times New Roman;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March 31, 2026, the end of the period covered by this Report, our disclosure controls and procedures (as defined in Rule 13a-15(e) under the Exchange Act) were effective.</w:t>
      </w:r>
    </w:p>
    <w:p>
      <w:pPr>
        <w:pStyle w:val="TextBody"/>
        <w:bidi w:val="0"/>
        <w:spacing w:lineRule="auto" w:line="288" w:before="0" w:after="120"/>
        <w:jc w:val="both"/>
        <w:rPr/>
      </w:pPr>
      <w:r>
        <w:rPr>
          <w:rFonts w:ascii="Times New Roman;serif" w:hAnsi="Times New Roman;serif"/>
          <w:b w:val="false"/>
          <w:i/>
          <w:color w:val="000000"/>
          <w:sz w:val="20"/>
        </w:rPr>
        <w:t>Changes in internal control over financial reporting.</w:t>
      </w:r>
      <w:r>
        <w:rPr>
          <w:color w:val="000000"/>
        </w:rPr>
        <w:t xml:space="preserve"> </w:t>
      </w:r>
      <w:r>
        <w:rPr>
          <w:rFonts w:ascii="Times New Roman;serif" w:hAnsi="Times New Roman;serif"/>
          <w:b w:val="false"/>
          <w:color w:val="000000"/>
          <w:sz w:val="20"/>
        </w:rPr>
        <w:t xml:space="preserve">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March 31, 2026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w:t>
      </w:r>
      <w:r>
        <w:rPr>
          <w:rFonts w:ascii="Times New Roman;serif" w:hAnsi="Times New Roman;serif"/>
          <w:b w:val="false"/>
          <w:color w:val="000000"/>
          <w:sz w:val="20"/>
          <w:shd w:fill="FFFFFF" w:val="clear"/>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Items 3 and 4 of Part II are inapplicable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both"/>
        <w:rPr/>
      </w:pPr>
      <w:r>
        <w:rPr>
          <w:rFonts w:ascii="Times New Roman;serif" w:hAnsi="Times New Roman;serif"/>
          <w:b w:val="false"/>
          <w:color w:val="000000"/>
          <w:sz w:val="20"/>
        </w:rPr>
        <w:t xml:space="preserve">Incorporated by reference is the information in Note 18,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2025 Form 10-K. There have been no material changes to the risk factors described therein other than as follows. However, the primary and secondary impacts of recent government actions including tariffs and trade policies, have impacted the global economy, disrupted global supply chains, created significant uncertainty and volatility in financial markets, and increased the risk of recession and elevated unemployment levels, and those conditions could continue or worsen. Accordingly, these actions and their impact on, among other things, the macroeconomic environment and regulatory policies could exacerbate the other risks and uncertainties set forth in “Item 1A. Risk Factors” in our 2025 10-K and could negatively impact our businesses and financial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Geopolitical instability, ongoing military conflicts involving Iran and other potential global events could materially and adversely affect our business, operations, and financial results.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Military conflict in the Middle East involving Iran has escalated in recent periods. This may result in extended or expanded military conflict, including to other countries, acts of terrorism, or other forms of regional instability. Such events could have a number of adverse impacts on our business, including but not limited to:</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 xml:space="preserve">Disruption of Supply Chains: </w:t>
      </w:r>
      <w:r>
        <w:rPr>
          <w:rFonts w:ascii="Times New Roman;serif" w:hAnsi="Times New Roman;serif"/>
          <w:b w:val="false"/>
          <w:color w:val="000000"/>
          <w:sz w:val="20"/>
        </w:rPr>
        <w:t>Events unfolding in the Middle East have disrupted critical shipping routes (such as the Strait of Hormuz), delayed the delivery of raw materials and finished goods, and increased transportation and logistics costs. These may increase our materials costs or make it difficult or impossible to obtain necessary raw materials.</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Energy Price Volatility:</w:t>
      </w:r>
      <w:r>
        <w:rPr>
          <w:color w:val="000000"/>
        </w:rPr>
        <w:t xml:space="preserve"> </w:t>
      </w:r>
      <w:r>
        <w:rPr>
          <w:rFonts w:ascii="Times New Roman;serif" w:hAnsi="Times New Roman;serif"/>
          <w:b w:val="false"/>
          <w:color w:val="000000"/>
          <w:sz w:val="20"/>
        </w:rPr>
        <w:t>Iran and its neighbors are significant oil producers, and conflict in the region has led to sharp increases and volatility in global energy prices, which may be prolonged and which may increase our operating costs and impact customer demand.</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Sanctions and Regulatory Risks:</w:t>
      </w:r>
      <w:r>
        <w:rPr>
          <w:color w:val="000000"/>
        </w:rPr>
        <w:t xml:space="preserve"> </w:t>
      </w:r>
      <w:r>
        <w:rPr>
          <w:rFonts w:ascii="Times New Roman;serif" w:hAnsi="Times New Roman;serif"/>
          <w:b w:val="false"/>
          <w:color w:val="000000"/>
          <w:sz w:val="20"/>
        </w:rPr>
        <w:t>The imposition of new or expanded U.S., EU, or UN sanctions in response to hostilities could restrict our ability to conduct business with certain customers, suppliers, or financial institutions, and may require us to incur significant costs to ensure compliance or to unwind existing relationships.</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Cybersecurity Threats</w:t>
      </w:r>
      <w:r>
        <w:rPr>
          <w:rFonts w:ascii="Times New Roman;serif" w:hAnsi="Times New Roman;serif"/>
          <w:b w:val="false"/>
          <w:color w:val="000000"/>
          <w:sz w:val="20"/>
        </w:rPr>
        <w:t>: Heightened geopolitical tensions may increase the risk of cyberattacks or other malicious activities targeting our information systems, potentially resulting in data breaches, business interruption, or reputational harm.</w:t>
      </w:r>
    </w:p>
    <w:p>
      <w:pPr>
        <w:pStyle w:val="TextBody"/>
        <w:bidi w:val="0"/>
        <w:spacing w:lineRule="auto" w:line="288" w:before="0" w:after="120"/>
        <w:ind w:left="0" w:right="0" w:hanging="180"/>
        <w:jc w:val="both"/>
        <w:rPr/>
      </w:pPr>
      <w:r>
        <w:rPr>
          <w:color w:val="000000"/>
        </w:rPr>
        <w:t>•</w:t>
      </w:r>
      <w:r>
        <w:rPr>
          <w:rFonts w:ascii="Times New Roman;serif" w:hAnsi="Times New Roman;serif"/>
          <w:b/>
          <w:color w:val="000000"/>
          <w:sz w:val="20"/>
        </w:rPr>
        <w:t>Insurance and Financial Market Impacts:</w:t>
      </w:r>
      <w:r>
        <w:rPr>
          <w:color w:val="000000"/>
        </w:rPr>
        <w:t xml:space="preserve"> </w:t>
      </w:r>
      <w:r>
        <w:rPr>
          <w:rFonts w:ascii="Times New Roman;serif" w:hAnsi="Times New Roman;serif"/>
          <w:b w:val="false"/>
          <w:color w:val="000000"/>
          <w:sz w:val="20"/>
        </w:rPr>
        <w:t>War or ongoing instability may result in higher insurance premiums, reduced availability of coverage for war-related losses, and increased volatility in global financial markets, which could adversely affect our liquidity and access to capital.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events, or other unforeseen consequences of conflict involving Iran and/or the Middle East, could materially and adversely affect our business, financial condition, results of operations, and cash flows. We cannot predict the duration or scope of any such conflict, nor the extent to which it may impact our business or the global economy.</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shares of the Company’s common stock acquired by the Company during the period covered by this Report:</w:t>
      </w:r>
    </w:p>
    <w:tbl>
      <w:tblPr>
        <w:tblW w:w="10205" w:type="dxa"/>
        <w:jc w:val="center"/>
        <w:tblInd w:w="0" w:type="dxa"/>
        <w:tblLayout w:type="fixed"/>
        <w:tblCellMar>
          <w:top w:w="28" w:type="dxa"/>
          <w:left w:w="28" w:type="dxa"/>
          <w:bottom w:w="28" w:type="dxa"/>
          <w:right w:w="28" w:type="dxa"/>
        </w:tblCellMar>
      </w:tblPr>
      <w:tblGrid>
        <w:gridCol w:w="487"/>
        <w:gridCol w:w="369"/>
        <w:gridCol w:w="373"/>
        <w:gridCol w:w="109"/>
        <w:gridCol w:w="109"/>
        <w:gridCol w:w="109"/>
        <w:gridCol w:w="369"/>
        <w:gridCol w:w="369"/>
        <w:gridCol w:w="371"/>
        <w:gridCol w:w="109"/>
        <w:gridCol w:w="109"/>
        <w:gridCol w:w="109"/>
        <w:gridCol w:w="232"/>
        <w:gridCol w:w="796"/>
        <w:gridCol w:w="120"/>
        <w:gridCol w:w="109"/>
        <w:gridCol w:w="109"/>
        <w:gridCol w:w="109"/>
        <w:gridCol w:w="759"/>
        <w:gridCol w:w="759"/>
        <w:gridCol w:w="762"/>
        <w:gridCol w:w="109"/>
        <w:gridCol w:w="109"/>
        <w:gridCol w:w="109"/>
        <w:gridCol w:w="455"/>
        <w:gridCol w:w="2336"/>
        <w:gridCol w:w="340"/>
      </w:tblGrid>
      <w:tr>
        <w:trPr/>
        <w:tc>
          <w:tcPr>
            <w:tcW w:w="48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t>
              <w:b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w:t>
              <w:br/>
              <w:t>Average</w:t>
              <w:br/>
              <w:t>Price Paid</w:t>
              <w:br/>
              <w:t xml:space="preserve">Per Share (1)(2)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w:t>
              <w:br/>
              <w:t>Total Number of</w:t>
              <w:br/>
              <w:t>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w:t>
              <w:br/>
              <w:t>Approximate Dollar Value of Shares that May Yet be Purchased Under the Plans or Programs (2)</w:t>
            </w:r>
          </w:p>
        </w:tc>
      </w:tr>
      <w:tr>
        <w:trPr/>
        <w:tc>
          <w:tcPr>
            <w:tcW w:w="1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3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118.87 </w:t>
            </w:r>
          </w:p>
        </w:tc>
        <w:tc>
          <w:tcPr>
            <w:tcW w:w="120"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6"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59,237,294 </w:t>
            </w:r>
          </w:p>
        </w:tc>
        <w:tc>
          <w:tcPr>
            <w:tcW w:w="340"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(1)15,930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(2)On February 28, 2024, the Board of Directors of the Company approved, and the Company announced, a share repurchase program, pursuant to which the Company is authorized to repurchase up to $150 million of Quaker Chemical Corporation common stock (the “2024 Share Repurchase Program”), which replaced the prior authorization and has no expiration date. The number of shares to be repurchased and the timing of such transactions will depend on a variety of factors, including market conditions.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Limitation on the Payment of Dividends</w:t>
      </w:r>
    </w:p>
    <w:p>
      <w:pPr>
        <w:pStyle w:val="TextBody"/>
        <w:bidi w:val="0"/>
        <w:spacing w:lineRule="auto" w:line="288" w:before="0" w:after="120"/>
        <w:jc w:val="both"/>
        <w:rPr/>
      </w:pPr>
      <w:r>
        <w:rPr>
          <w:rFonts w:ascii="Times New Roman;serif" w:hAnsi="Times New Roman;serif"/>
          <w:b w:val="false"/>
          <w:color w:val="000000"/>
          <w:sz w:val="20"/>
        </w:rPr>
        <w:t xml:space="preserve">The Credit Facility has certain limitations on the payment of dividends and other so-called restricted payment covenants. See Note 14, </w:t>
      </w:r>
      <w:r>
        <w:rPr>
          <w:rFonts w:ascii="Times New Roman;serif" w:hAnsi="Times New Roman;serif"/>
          <w:b w:val="false"/>
          <w:i/>
          <w:color w:val="000000"/>
          <w:sz w:val="20"/>
        </w:rPr>
        <w:t>Debt</w:t>
      </w:r>
      <w:r>
        <w:rPr>
          <w:rFonts w:ascii="Times New Roman;serif" w:hAnsi="Times New Roman;serif"/>
          <w:b w:val="false"/>
          <w:color w:val="000000"/>
          <w:sz w:val="20"/>
        </w:rPr>
        <w:t>,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20"/>
        <w:jc w:val="both"/>
        <w:rPr/>
      </w:pPr>
      <w:r>
        <w:rPr>
          <w:rFonts w:ascii="Times New Roman;serif" w:hAnsi="Times New Roman;serif"/>
          <w:b w:val="false"/>
          <w:color w:val="000000"/>
          <w:sz w:val="20"/>
        </w:rPr>
        <w:t xml:space="preserve">No director or officer (as defined in Rule 16a-1(f) promulgated under the Exchange Act) of the Company adopted or terminated any Rule 10b5-1 trading arrangement or any non-Rule 10b5-1 trading arrangement (as such terms are defined in Item 408 of Regulation S-K) during the quarter ended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d9dfccbbae34bb4975265bac2e3f427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40"/>
        <w:gridCol w:w="212"/>
        <w:gridCol w:w="217"/>
        <w:gridCol w:w="109"/>
        <w:gridCol w:w="109"/>
        <w:gridCol w:w="109"/>
        <w:gridCol w:w="2694"/>
        <w:gridCol w:w="2694"/>
        <w:gridCol w:w="3821"/>
      </w:tblGrid>
      <w:tr>
        <w:trPr/>
        <w:tc>
          <w:tcPr>
            <w:tcW w:w="2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2">
              <w:r>
                <w:rPr>
                  <w:rStyle w:val="InternetLink"/>
                  <w:rFonts w:ascii="Times New Roman;serif" w:hAnsi="Times New Roman;serif"/>
                  <w:b w:val="false"/>
                  <w:color w:val="0000FF"/>
                  <w:sz w:val="20"/>
                  <w:u w:val="single"/>
                </w:rPr>
                <w:t>Amended and Restated Articles of Incorporation (as amended through July 24, 2019). Incorporated by reference to Exhibit 3.1 as filed by the Registrant with its quarterly report on Form 10-Q filed on August 1, 2019.</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r:id="rId3">
              <w:r>
                <w:rPr>
                  <w:rStyle w:val="InternetLink"/>
                  <w:rFonts w:ascii="Times New Roman;serif" w:hAnsi="Times New Roman;serif"/>
                  <w:b w:val="false"/>
                  <w:color w:val="0000FF"/>
                  <w:sz w:val="20"/>
                  <w:u w:val="single"/>
                </w:rPr>
                <w:t>Amended and Restated By-laws (effective December 19, 2022). Incorporated by reference to Exhibit 3.1 as filed by the Registrant within its current report on Form 8-K on December 20, 2022.</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101.htm">
              <w:r>
                <w:rPr>
                  <w:rStyle w:val="InternetLink"/>
                  <w:rFonts w:ascii="Times New Roman;serif" w:hAnsi="Times New Roman;serif"/>
                  <w:b w:val="false"/>
                  <w:color w:val="000080"/>
                  <w:sz w:val="20"/>
                  <w:u w:val="single"/>
                </w:rPr>
                <w:t xml:space="preserve">Employment Agreement by and between Registrant and </w:t>
              </w:r>
            </w:hyperlink>
            <w:hyperlink w:anchor="kwr2026q1-exx101.htm">
              <w:r>
                <w:rPr>
                  <w:rStyle w:val="InternetLink"/>
                  <w:rFonts w:ascii="Times New Roman;serif" w:hAnsi="Times New Roman;serif"/>
                  <w:b w:val="false"/>
                  <w:color w:val="000080"/>
                  <w:sz w:val="20"/>
                  <w:u w:val="single"/>
                </w:rPr>
                <w:t>Kevin Meagher</w:t>
              </w:r>
            </w:hyperlink>
            <w:hyperlink w:anchor="kwr2026q1-exx101.htm">
              <w:r>
                <w:rPr>
                  <w:rStyle w:val="InternetLink"/>
                  <w:rFonts w:ascii="Times New Roman;serif" w:hAnsi="Times New Roman;serif"/>
                  <w:b w:val="false"/>
                  <w:color w:val="000080"/>
                  <w:sz w:val="20"/>
                  <w:u w:val="single"/>
                </w:rPr>
                <w:t>, dated</w:t>
              </w:r>
            </w:hyperlink>
            <w:hyperlink w:anchor="kwr2026q1-exx101.htm">
              <w:r>
                <w:rPr>
                  <w:rStyle w:val="InternetLink"/>
                  <w:rFonts w:ascii="Times New Roman;serif" w:hAnsi="Times New Roman;serif"/>
                  <w:b w:val="false"/>
                  <w:color w:val="000080"/>
                  <w:sz w:val="20"/>
                  <w:u w:val="single"/>
                </w:rPr>
                <w:t xml:space="preserve"> </w:t>
              </w:r>
            </w:hyperlink>
            <w:hyperlink w:anchor="kwr2026q1-exx101.htm">
              <w:r>
                <w:rPr>
                  <w:rStyle w:val="InternetLink"/>
                  <w:rFonts w:ascii="Times New Roman;serif" w:hAnsi="Times New Roman;serif"/>
                  <w:b w:val="false"/>
                  <w:color w:val="000080"/>
                  <w:sz w:val="20"/>
                  <w:u w:val="single"/>
                </w:rPr>
                <w:t>January 1, 2026</w:t>
              </w:r>
            </w:hyperlink>
            <w:hyperlink w:anchor="kwr2026q1-exx101.htm">
              <w:r>
                <w:rPr>
                  <w:rStyle w:val="InternetLink"/>
                  <w:rFonts w:ascii="Times New Roman;serif" w:hAnsi="Times New Roman;serif"/>
                  <w:b w:val="false"/>
                  <w:color w:val="000080"/>
                  <w:sz w:val="20"/>
                  <w:u w:val="single"/>
                </w:rPr>
                <w:t>.*†^</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102.htm">
              <w:r>
                <w:rPr>
                  <w:rStyle w:val="InternetLink"/>
                  <w:rFonts w:ascii="Times New Roman;serif" w:hAnsi="Times New Roman;serif"/>
                  <w:b w:val="false"/>
                  <w:color w:val="0000FF"/>
                  <w:sz w:val="20"/>
                  <w:u w:val="single"/>
                </w:rPr>
                <w:t>Change in Control Agreement by and between Registrant and Kevin Meagher, dated January 1, 2026.*†^</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103.htm">
              <w:r>
                <w:rPr>
                  <w:rStyle w:val="InternetLink"/>
                  <w:rFonts w:ascii="Times New Roman;serif" w:hAnsi="Times New Roman;serif"/>
                  <w:b w:val="false"/>
                  <w:color w:val="0000FF"/>
                  <w:sz w:val="20"/>
                  <w:u w:val="single"/>
                </w:rPr>
                <w:t>Separation Agreement and General Release by and between Quaker Chemical Corporation and Jeffrey Fleck, dated March 25, 2026.*†</w:t>
              </w:r>
            </w:hyperlink>
          </w:p>
        </w:tc>
      </w:tr>
      <w:tr>
        <w:trPr/>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311.htm">
              <w:r>
                <w:rPr>
                  <w:rStyle w:val="InternetLink"/>
                  <w:rFonts w:ascii="Times New Roman;serif" w:hAnsi="Times New Roman;serif"/>
                  <w:b w:val="false"/>
                  <w:color w:val="0000FF"/>
                  <w:sz w:val="20"/>
                  <w:u w:val="single"/>
                </w:rPr>
                <w:t>Certification of Chief Executive Officer of the Company pursuant to Rule 13a-14(a) of the Securities Exchange Act of 1934.*</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312.htm">
              <w:r>
                <w:rPr>
                  <w:rStyle w:val="InternetLink"/>
                  <w:rFonts w:ascii="Times New Roman;serif" w:hAnsi="Times New Roman;serif"/>
                  <w:b w:val="false"/>
                  <w:color w:val="0000FF"/>
                  <w:sz w:val="20"/>
                  <w:u w:val="single"/>
                </w:rPr>
                <w:t>Certification of Chief Financial Officer of the Company pursuant to Rule 13a-14(a) of the Securities Exchange Act of 1934.*</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321.htm">
              <w:r>
                <w:rPr>
                  <w:rStyle w:val="InternetLink"/>
                  <w:rFonts w:ascii="Times New Roman;serif" w:hAnsi="Times New Roman;serif"/>
                  <w:b w:val="false"/>
                  <w:color w:val="0000FF"/>
                  <w:sz w:val="20"/>
                  <w:u w:val="single"/>
                </w:rPr>
                <w:t>Certification of Chief Executive Officer of the Company Pursuant to 18 U.S. C. Section 1350.**</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120"/>
              <w:jc w:val="both"/>
              <w:rPr/>
            </w:pPr>
            <w:hyperlink w:anchor="kwr2026q1-exx322.htm">
              <w:r>
                <w:rPr>
                  <w:rStyle w:val="InternetLink"/>
                  <w:rFonts w:ascii="Times New Roman;serif" w:hAnsi="Times New Roman;serif"/>
                  <w:b w:val="false"/>
                  <w:color w:val="0000FF"/>
                  <w:sz w:val="20"/>
                  <w:u w:val="single"/>
                </w:rPr>
                <w:t>Certification of Chief Financial Officer of the Company Pursuant to 18 U.S. C. Section 1350.**</w:t>
              </w:r>
            </w:hyperlink>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Schema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Management contract or compensatory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Certain portions of the exhibits that are not material and are of the type Quaker Houghton treats as confidential have been redacted pursuant to Item 601(b)(10)(iv) of Regulation S-K. Copies of the unredacted exhibits will be furnished to the SEC upon request.</w:t>
      </w:r>
    </w:p>
    <w:p>
      <w:pPr>
        <w:pStyle w:val="TextBody"/>
        <w:bidi w:val="0"/>
        <w:spacing w:before="0" w:after="120"/>
        <w:jc w:val="both"/>
        <w:rPr/>
      </w:pPr>
      <w:r>
        <w:rPr/>
      </w:r>
    </w:p>
    <w:p>
      <w:pPr>
        <w:pStyle w:val="TextBody"/>
        <w:bidi w:val="0"/>
        <w:spacing w:lineRule="auto" w:line="268" w:before="120" w:after="120"/>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both"/>
        <w:rPr/>
      </w:pPr>
      <w:hyperlink w:anchor="i6d9dfccbbae34bb4975265bac2e3f427_7">
        <w:r>
          <w:rPr>
            <w:rStyle w:val="InternetLink"/>
            <w:rFonts w:ascii="Times New Roman;serif" w:hAnsi="Times New Roman;serif"/>
            <w:b w:val="false"/>
            <w:color w:val="0000FF"/>
            <w:sz w:val="20"/>
            <w:u w:val="single"/>
          </w:rPr>
          <w:t>Table of Content</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488"/>
        <w:gridCol w:w="430"/>
        <w:gridCol w:w="432"/>
        <w:gridCol w:w="2592"/>
        <w:gridCol w:w="2592"/>
        <w:gridCol w:w="3671"/>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88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Thomas Coler, Executive Vice President, Chief Financial Officer (officer duly authorized on behalf of, and principal financial officer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shd w:fill="FFFFFF" w:val="clear"/>
        </w:rPr>
      </w:pPr>
      <w:r>
        <w:rPr>
          <w:rFonts w:ascii="Arial;sans-serif" w:hAnsi="Arial;sans-serif"/>
          <w:b/>
          <w:color w:val="000000"/>
          <w:sz w:val="24"/>
          <w:shd w:fill="FFFFFF" w:val="clear"/>
        </w:rPr>
        <w:t>EXHIBIT 10.1</w:t>
      </w:r>
    </w:p>
    <w:p>
      <w:pPr>
        <w:pStyle w:val="TextBody"/>
        <w:bidi w:val="0"/>
        <w:spacing w:before="0" w:after="0"/>
        <w:jc w:val="right"/>
        <w:rPr/>
      </w:pPr>
      <w:r>
        <w:rPr/>
      </w:r>
    </w:p>
    <w:p>
      <w:pPr>
        <w:pStyle w:val="TextBody"/>
        <w:bidi w:val="0"/>
        <w:spacing w:before="0" w:after="0"/>
        <w:jc w:val="right"/>
        <w:rPr>
          <w:shd w:fill="FFFFFF" w:val="clear"/>
        </w:rPr>
      </w:pPr>
      <w:r>
        <w:rPr>
          <w:shd w:fill="FFFFFF" w:val="clear"/>
        </w:rPr>
        <w:drawing>
          <wp:inline distT="0" distB="0" distL="0" distR="0">
            <wp:extent cx="2181225" cy="84772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4"/>
                    <a:stretch>
                      <a:fillRect/>
                    </a:stretch>
                  </pic:blipFill>
                  <pic:spPr bwMode="auto">
                    <a:xfrm>
                      <a:off x="0" y="0"/>
                      <a:ext cx="2181225" cy="847725"/>
                    </a:xfrm>
                    <a:prstGeom prst="rect">
                      <a:avLst/>
                    </a:prstGeom>
                  </pic:spPr>
                </pic:pic>
              </a:graphicData>
            </a:graphic>
          </wp:inline>
        </w:drawing>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2"/>
        <w:gridCol w:w="1414"/>
        <w:gridCol w:w="1417"/>
        <w:gridCol w:w="109"/>
        <w:gridCol w:w="109"/>
        <w:gridCol w:w="109"/>
        <w:gridCol w:w="854"/>
        <w:gridCol w:w="640"/>
        <w:gridCol w:w="514"/>
        <w:gridCol w:w="514"/>
        <w:gridCol w:w="514"/>
        <w:gridCol w:w="514"/>
        <w:gridCol w:w="514"/>
        <w:gridCol w:w="514"/>
        <w:gridCol w:w="737"/>
      </w:tblGrid>
      <w:tr>
        <w:trPr/>
        <w:tc>
          <w:tcPr>
            <w:tcW w:w="173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color w:val="000000"/>
                <w:sz w:val="22"/>
              </w:rPr>
              <w:t>DIESER ARBEITSVERTRAG</w:t>
            </w:r>
            <w:r>
              <w:rPr>
                <w:color w:val="000000"/>
              </w:rPr>
              <w:t xml:space="preserve"> </w:t>
            </w:r>
            <w:r>
              <w:rPr>
                <w:rFonts w:ascii="sans-serif" w:hAnsi="sans-serif"/>
                <w:b w:val="false"/>
                <w:color w:val="000000"/>
                <w:sz w:val="22"/>
              </w:rPr>
              <w:t>wird geschlossen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color w:val="000000"/>
                <w:sz w:val="22"/>
              </w:rPr>
              <w:t>THIS CONTRACT OF EMPLOYMENT</w:t>
            </w:r>
            <w:r>
              <w:rPr>
                <w:color w:val="000000"/>
              </w:rPr>
              <w:t xml:space="preserve"> </w:t>
            </w:r>
            <w:r>
              <w:rPr>
                <w:rFonts w:ascii="sans-serif" w:hAnsi="sans-serif"/>
                <w:b w:val="false"/>
                <w:color w:val="000000"/>
                <w:sz w:val="22"/>
              </w:rPr>
              <w:t>is made</w:t>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2"/>
              </w:rPr>
            </w:pPr>
            <w:r>
              <w:rPr>
                <w:rFonts w:ascii="sans-serif" w:hAnsi="sans-serif"/>
                <w:b/>
                <w:color w:val="000000"/>
                <w:sz w:val="22"/>
              </w:rPr>
              <w:t xml:space="preserve">ZWISCHEN: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2"/>
              </w:rPr>
            </w:pPr>
            <w:r>
              <w:rPr>
                <w:rFonts w:ascii="sans-serif" w:hAnsi="sans-serif"/>
                <w:b/>
                <w:color w:val="000000"/>
                <w:sz w:val="22"/>
              </w:rPr>
              <w:t xml:space="preserve">BETWEEN: </w:t>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sans-serif" w:hAnsi="sans-serif"/>
                <w:b/>
                <w:color w:val="000000"/>
                <w:sz w:val="22"/>
              </w:rPr>
            </w:pPr>
            <w:r>
              <w:rPr>
                <w:rFonts w:ascii="sans-serif" w:hAnsi="sans-serif"/>
                <w:b/>
                <w:color w:val="000000"/>
                <w:sz w:val="22"/>
              </w:rPr>
              <w:t>(1)     QUAKER HOUGHTON SALES BV ZWEIGNIEDERLASSUNG DEUTSCHLAND</w:t>
            </w:r>
          </w:p>
          <w:p>
            <w:pPr>
              <w:pStyle w:val="TableContents"/>
              <w:bidi w:val="0"/>
              <w:spacing w:lineRule="auto" w:line="288" w:before="0" w:after="0"/>
              <w:ind w:left="0" w:right="0" w:hanging="720"/>
              <w:jc w:val="left"/>
              <w:rPr>
                <w:rFonts w:ascii="sans-serif" w:hAnsi="sans-serif"/>
                <w:b w:val="false"/>
                <w:color w:val="000000"/>
                <w:sz w:val="22"/>
              </w:rPr>
            </w:pPr>
            <w:r>
              <w:rPr>
                <w:rFonts w:ascii="sans-serif" w:hAnsi="sans-serif"/>
                <w:b w:val="false"/>
                <w:color w:val="000000"/>
                <w:sz w:val="22"/>
              </w:rPr>
              <w:t>Giselherstr. 57</w:t>
            </w:r>
          </w:p>
          <w:p>
            <w:pPr>
              <w:pStyle w:val="TableContents"/>
              <w:bidi w:val="0"/>
              <w:spacing w:lineRule="auto" w:line="288" w:before="0" w:after="0"/>
              <w:ind w:left="0" w:right="0" w:hanging="720"/>
              <w:jc w:val="left"/>
              <w:rPr>
                <w:rFonts w:ascii="sans-serif" w:hAnsi="sans-serif"/>
                <w:b w:val="false"/>
                <w:color w:val="000000"/>
                <w:sz w:val="22"/>
              </w:rPr>
            </w:pPr>
            <w:r>
              <w:rPr>
                <w:rFonts w:ascii="sans-serif" w:hAnsi="sans-serif"/>
                <w:b w:val="false"/>
                <w:color w:val="000000"/>
                <w:sz w:val="22"/>
              </w:rPr>
              <w:t>44319 Dortmund</w:t>
            </w:r>
          </w:p>
          <w:p>
            <w:pPr>
              <w:pStyle w:val="TableContents"/>
              <w:bidi w:val="0"/>
              <w:spacing w:lineRule="auto" w:line="288" w:before="0" w:after="240"/>
              <w:ind w:left="0" w:right="0" w:hanging="720"/>
              <w:jc w:val="left"/>
              <w:rPr>
                <w:rFonts w:ascii="sans-serif" w:hAnsi="sans-serif"/>
                <w:b w:val="false"/>
                <w:color w:val="000000"/>
                <w:sz w:val="22"/>
              </w:rPr>
            </w:pPr>
            <w:r>
              <w:rPr>
                <w:rFonts w:ascii="sans-serif" w:hAnsi="sans-serif"/>
                <w:b w:val="false"/>
                <w:color w:val="000000"/>
                <w:sz w:val="22"/>
              </w:rPr>
              <w:t>Deutschland</w:t>
            </w:r>
          </w:p>
          <w:p>
            <w:pPr>
              <w:pStyle w:val="TableContents"/>
              <w:bidi w:val="0"/>
              <w:spacing w:lineRule="auto" w:line="288" w:before="0" w:after="240"/>
              <w:ind w:left="0" w:right="0" w:hanging="720"/>
              <w:jc w:val="left"/>
              <w:rPr>
                <w:rFonts w:ascii="sans-serif" w:hAnsi="sans-serif"/>
                <w:b/>
                <w:color w:val="000000"/>
                <w:sz w:val="22"/>
              </w:rPr>
            </w:pPr>
            <w:r>
              <w:rPr>
                <w:rFonts w:ascii="sans-serif" w:hAnsi="sans-serif"/>
                <w:b/>
                <w:color w:val="000000"/>
                <w:sz w:val="22"/>
              </w:rPr>
              <w:t xml:space="preserve">("GESELLSCHAFT"); </w:t>
            </w:r>
          </w:p>
          <w:p>
            <w:pPr>
              <w:pStyle w:val="TableContents"/>
              <w:bidi w:val="0"/>
              <w:spacing w:lineRule="auto" w:line="288" w:before="0" w:after="240"/>
              <w:ind w:left="0" w:right="0" w:hanging="720"/>
              <w:jc w:val="left"/>
              <w:rPr>
                <w:rFonts w:ascii="sans-serif" w:hAnsi="sans-serif"/>
                <w:b/>
                <w:color w:val="000000"/>
                <w:sz w:val="22"/>
              </w:rPr>
            </w:pPr>
            <w:r>
              <w:rPr>
                <w:rFonts w:ascii="sans-serif" w:hAnsi="sans-serif"/>
                <w:b/>
                <w:color w:val="000000"/>
                <w:sz w:val="22"/>
              </w:rPr>
              <w:t>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sans-serif" w:hAnsi="sans-serif"/>
                <w:b/>
                <w:color w:val="000000"/>
                <w:sz w:val="22"/>
              </w:rPr>
            </w:pPr>
            <w:r>
              <w:rPr>
                <w:rFonts w:ascii="sans-serif" w:hAnsi="sans-serif"/>
                <w:b/>
                <w:color w:val="000000"/>
                <w:sz w:val="22"/>
              </w:rPr>
              <w:t>(1)     QUAKER HOUGHTON SALES BV ZWEIGNIEDERLASSUNG DEUTSCHLAND</w:t>
            </w:r>
          </w:p>
          <w:p>
            <w:pPr>
              <w:pStyle w:val="TableContents"/>
              <w:bidi w:val="0"/>
              <w:spacing w:lineRule="auto" w:line="288" w:before="0" w:after="0"/>
              <w:ind w:left="0" w:right="0" w:hanging="720"/>
              <w:jc w:val="left"/>
              <w:rPr>
                <w:rFonts w:ascii="sans-serif" w:hAnsi="sans-serif"/>
                <w:b w:val="false"/>
                <w:color w:val="000000"/>
                <w:sz w:val="22"/>
              </w:rPr>
            </w:pPr>
            <w:r>
              <w:rPr>
                <w:rFonts w:ascii="sans-serif" w:hAnsi="sans-serif"/>
                <w:b w:val="false"/>
                <w:color w:val="000000"/>
                <w:sz w:val="22"/>
              </w:rPr>
              <w:t>Giselherstr. 57</w:t>
            </w:r>
          </w:p>
          <w:p>
            <w:pPr>
              <w:pStyle w:val="TableContents"/>
              <w:bidi w:val="0"/>
              <w:spacing w:lineRule="auto" w:line="288" w:before="0" w:after="0"/>
              <w:ind w:left="0" w:right="0" w:hanging="720"/>
              <w:jc w:val="left"/>
              <w:rPr>
                <w:rFonts w:ascii="sans-serif" w:hAnsi="sans-serif"/>
                <w:b w:val="false"/>
                <w:color w:val="000000"/>
                <w:sz w:val="22"/>
              </w:rPr>
            </w:pPr>
            <w:r>
              <w:rPr>
                <w:rFonts w:ascii="sans-serif" w:hAnsi="sans-serif"/>
                <w:b w:val="false"/>
                <w:color w:val="000000"/>
                <w:sz w:val="22"/>
              </w:rPr>
              <w:t>44319 Dortmund</w:t>
            </w:r>
          </w:p>
          <w:p>
            <w:pPr>
              <w:pStyle w:val="TableContents"/>
              <w:bidi w:val="0"/>
              <w:spacing w:lineRule="auto" w:line="288" w:before="0" w:after="240"/>
              <w:ind w:left="0" w:right="0" w:hanging="720"/>
              <w:jc w:val="left"/>
              <w:rPr>
                <w:rFonts w:ascii="sans-serif" w:hAnsi="sans-serif"/>
                <w:b w:val="false"/>
                <w:color w:val="000000"/>
                <w:sz w:val="22"/>
              </w:rPr>
            </w:pPr>
            <w:r>
              <w:rPr>
                <w:rFonts w:ascii="sans-serif" w:hAnsi="sans-serif"/>
                <w:b w:val="false"/>
                <w:color w:val="000000"/>
                <w:sz w:val="22"/>
              </w:rPr>
              <w:t>Germany</w:t>
            </w:r>
          </w:p>
          <w:p>
            <w:pPr>
              <w:pStyle w:val="TableContents"/>
              <w:bidi w:val="0"/>
              <w:spacing w:lineRule="auto" w:line="288" w:before="0" w:after="240"/>
              <w:ind w:left="0" w:right="0" w:hanging="720"/>
              <w:jc w:val="left"/>
              <w:rPr/>
            </w:pPr>
            <w:r>
              <w:rPr>
                <w:rFonts w:ascii="sans-serif" w:hAnsi="sans-serif"/>
                <w:b w:val="false"/>
                <w:color w:val="000000"/>
                <w:sz w:val="22"/>
              </w:rPr>
              <w:t>(</w:t>
            </w:r>
            <w:r>
              <w:rPr>
                <w:rFonts w:ascii="sans-serif" w:hAnsi="sans-serif"/>
                <w:b/>
                <w:color w:val="000000"/>
                <w:sz w:val="22"/>
              </w:rPr>
              <w:t>"Company"</w:t>
            </w:r>
            <w:r>
              <w:rPr>
                <w:rFonts w:ascii="sans-serif" w:hAnsi="sans-serif"/>
                <w:b w:val="false"/>
                <w:color w:val="000000"/>
                <w:sz w:val="22"/>
              </w:rPr>
              <w:t xml:space="preserve">); </w:t>
            </w:r>
          </w:p>
          <w:p>
            <w:pPr>
              <w:pStyle w:val="TableContents"/>
              <w:bidi w:val="0"/>
              <w:spacing w:lineRule="auto" w:line="288" w:before="0" w:after="240"/>
              <w:ind w:left="0" w:right="0" w:hanging="720"/>
              <w:jc w:val="left"/>
              <w:rPr>
                <w:rFonts w:ascii="sans-serif" w:hAnsi="sans-serif"/>
                <w:b w:val="false"/>
                <w:color w:val="000000"/>
                <w:sz w:val="22"/>
              </w:rPr>
            </w:pPr>
            <w:r>
              <w:rPr>
                <w:rFonts w:ascii="sans-serif" w:hAnsi="sans-serif"/>
                <w:b w:val="false"/>
                <w:color w:val="000000"/>
                <w:sz w:val="22"/>
              </w:rPr>
              <w:t>And</w:t>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(2)     KEVIN MEAGHER *25.03.1973</w:t>
            </w:r>
          </w:p>
          <w:p>
            <w:pPr>
              <w:pStyle w:val="TableContents"/>
              <w:bidi w:val="0"/>
              <w:spacing w:lineRule="auto" w:line="288" w:before="0" w:after="0"/>
              <w:jc w:val="left"/>
              <w:rPr>
                <w:color w:val="000000"/>
              </w:rPr>
            </w:pPr>
            <w:r>
              <w:rPr>
                <w:color w:val="000000"/>
              </w:rPr>
              <w:t>               </w:t>
            </w:r>
            <w:r>
              <w:rPr>
                <w:rFonts w:ascii="sans-serif" w:hAnsi="sans-serif"/>
                <w:b/>
                <w:color w:val="000000"/>
                <w:sz w:val="22"/>
              </w:rPr>
              <w:t>[ REDACTED]</w:t>
            </w:r>
          </w:p>
          <w:p>
            <w:pPr>
              <w:pStyle w:val="TableContents"/>
              <w:bidi w:val="0"/>
              <w:spacing w:before="0" w:after="0"/>
              <w:ind w:left="0" w:right="0" w:hanging="720"/>
              <w:jc w:val="both"/>
              <w:rPr/>
            </w:pPr>
            <w:r>
              <w:rPr/>
            </w:r>
          </w:p>
          <w:p>
            <w:pPr>
              <w:pStyle w:val="TableContents"/>
              <w:bidi w:val="0"/>
              <w:spacing w:before="0" w:after="0"/>
              <w:ind w:left="0" w:right="0" w:hanging="720"/>
              <w:jc w:val="both"/>
              <w:rPr/>
            </w:pPr>
            <w:r>
              <w:rPr/>
            </w:r>
          </w:p>
          <w:p>
            <w:pPr>
              <w:pStyle w:val="TableContents"/>
              <w:bidi w:val="0"/>
              <w:spacing w:lineRule="auto" w:line="288" w:before="0" w:after="240"/>
              <w:ind w:left="0" w:right="0" w:hanging="720"/>
              <w:jc w:val="both"/>
              <w:rPr/>
            </w:pPr>
            <w:r>
              <w:rPr>
                <w:color w:val="000000"/>
              </w:rPr>
              <w:t> </w:t>
            </w:r>
            <w:r>
              <w:rPr>
                <w:rFonts w:ascii="sans-serif" w:hAnsi="sans-serif"/>
                <w:b w:val="false"/>
                <w:color w:val="000000"/>
                <w:sz w:val="22"/>
              </w:rPr>
              <w:t>(</w:t>
            </w:r>
            <w:r>
              <w:rPr>
                <w:rFonts w:ascii="sans-serif" w:hAnsi="sans-serif"/>
                <w:b/>
                <w:color w:val="000000"/>
                <w:sz w:val="22"/>
              </w:rPr>
              <w:t>"Arbeitnehmer"</w:t>
            </w:r>
            <w:r>
              <w:rPr>
                <w:rFonts w:ascii="sans-serif" w:hAnsi="sans-serif"/>
                <w:b w:val="false"/>
                <w:color w:val="000000"/>
                <w:sz w:val="22"/>
              </w:rPr>
              <w:t>).</w:t>
            </w:r>
            <w:r>
              <w:rPr>
                <w:rFonts w:ascii="sans-serif" w:hAnsi="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88" w:before="0" w:after="240"/>
              <w:ind w:left="0" w:right="0" w:hanging="720"/>
              <w:jc w:val="both"/>
              <w:rPr/>
            </w:pPr>
            <w:r>
              <w:rPr>
                <w:rFonts w:ascii="sans-serif" w:hAnsi="sans-serif"/>
                <w:b/>
                <w:color w:val="000000"/>
                <w:sz w:val="22"/>
              </w:rPr>
              <w:t>(2)     KEVIN MEAGHER</w:t>
            </w:r>
            <w:r>
              <w:rPr>
                <w:color w:val="000000"/>
              </w:rPr>
              <w:t xml:space="preserve"> </w:t>
            </w:r>
            <w:r>
              <w:rPr>
                <w:rFonts w:ascii="sans-serif" w:hAnsi="sans-serif"/>
                <w:b w:val="false"/>
                <w:color w:val="000000"/>
                <w:sz w:val="22"/>
              </w:rPr>
              <w:t>*25.03.1973</w:t>
            </w:r>
          </w:p>
          <w:p>
            <w:pPr>
              <w:pStyle w:val="TableContents"/>
              <w:bidi w:val="0"/>
              <w:spacing w:lineRule="auto" w:line="288" w:before="0" w:after="0"/>
              <w:jc w:val="left"/>
              <w:rPr>
                <w:color w:val="000000"/>
              </w:rPr>
            </w:pPr>
            <w:r>
              <w:rPr>
                <w:color w:val="000000"/>
              </w:rPr>
              <w:t>            </w:t>
            </w:r>
            <w:r>
              <w:rPr>
                <w:rFonts w:ascii="sans-serif" w:hAnsi="sans-serif"/>
                <w:b/>
                <w:color w:val="000000"/>
                <w:sz w:val="22"/>
              </w:rPr>
              <w:t>[ REDACTED]</w:t>
            </w:r>
          </w:p>
          <w:p>
            <w:pPr>
              <w:pStyle w:val="TableContents"/>
              <w:bidi w:val="0"/>
              <w:spacing w:before="0" w:after="240"/>
              <w:ind w:left="0" w:right="0" w:hanging="720"/>
              <w:jc w:val="both"/>
              <w:rPr/>
            </w:pPr>
            <w:r>
              <w:rPr/>
            </w:r>
          </w:p>
          <w:p>
            <w:pPr>
              <w:pStyle w:val="TableContents"/>
              <w:bidi w:val="0"/>
              <w:spacing w:lineRule="auto" w:line="288" w:before="0" w:after="240"/>
              <w:ind w:left="0" w:right="0" w:hanging="720"/>
              <w:jc w:val="both"/>
              <w:rPr/>
            </w:pPr>
            <w:r>
              <w:rPr>
                <w:rFonts w:ascii="sans-serif" w:hAnsi="sans-serif"/>
                <w:b w:val="false"/>
                <w:color w:val="000000"/>
                <w:sz w:val="22"/>
              </w:rPr>
              <w:t>(</w:t>
            </w:r>
            <w:r>
              <w:rPr>
                <w:rFonts w:ascii="sans-serif" w:hAnsi="sans-serif"/>
                <w:b/>
                <w:color w:val="000000"/>
                <w:sz w:val="22"/>
              </w:rPr>
              <w:t>"Employee"</w:t>
            </w:r>
            <w:r>
              <w:rPr>
                <w:rFonts w:ascii="sans-serif" w:hAnsi="sans-serif"/>
                <w:b w:val="false"/>
                <w:color w:val="000000"/>
                <w:sz w:val="22"/>
              </w:rPr>
              <w:t>).</w:t>
            </w:r>
            <w:r>
              <w:rPr>
                <w:rFonts w:ascii="sans-serif" w:hAnsi="sans-serif"/>
                <w:b w:val="false"/>
                <w:color w:val="000000"/>
                <w:sz w:val="14"/>
              </w:rPr>
              <w:t>2</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1.PFLICHTEN UND AUFGABEN, ARBEITSORT, GESCHÄFTSREISEN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1.JOB TITLE AND DUTIES, PLACE OF WORK, TRAVEL ON BUSINESS</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1.1Der Arbeitnehmer wird bei der Gesellschaft ab dem 01.01.2026 als Vice President R&amp;D Advanced Solutions angestellt. Der Mitarbeiter wird in der Funktion eines leitenden Angestellten gemäß § 5 Abs. 3 BetrVG eingestellt.</w:t>
              <w:br/>
              <w:t>Eine Beschreibung der Tätigkeit ist als Anlage beigefügt.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1.1The Employee will be employed by the Company as Vice President R&amp;D Advanced Solutions as of 1</w:t>
            </w:r>
            <w:r>
              <w:rPr>
                <w:rFonts w:ascii="sans-serif" w:hAnsi="sans-serif"/>
                <w:b w:val="false"/>
                <w:color w:val="000000"/>
                <w:sz w:val="14"/>
              </w:rPr>
              <w:t>st</w:t>
            </w:r>
            <w:r>
              <w:rPr>
                <w:color w:val="000000"/>
              </w:rPr>
              <w:t xml:space="preserve"> </w:t>
            </w:r>
            <w:r>
              <w:rPr>
                <w:rFonts w:ascii="sans-serif" w:hAnsi="sans-serif"/>
                <w:b w:val="false"/>
                <w:color w:val="000000"/>
                <w:sz w:val="22"/>
              </w:rPr>
              <w:t>of January 2026. The employee is employed in the capacity of a managerial employee as defined under Section 5 (3) of the German Works Constitution Act (BetrVG). A description of the role is attached as.</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1.2Arbeitsort ist Homeoffice an der Wohnanschrift.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1.2The place of work will be Homeoffice, at the employees current living address. </w:t>
            </w:r>
          </w:p>
        </w:tc>
      </w:tr>
    </w:tbl>
    <w:p>
      <w:pPr>
        <w:pStyle w:val="TextBody"/>
        <w:bidi w:val="0"/>
        <w:spacing w:lineRule="auto" w:line="288" w:before="0" w:after="60"/>
        <w:ind w:left="0" w:right="0" w:hanging="720"/>
        <w:jc w:val="both"/>
        <w:rPr>
          <w:shd w:fill="FFFFFF" w:val="clear"/>
        </w:rPr>
      </w:pPr>
      <w:r>
        <w:rPr>
          <w:rFonts w:ascii="Arial;sans-serif" w:hAnsi="Arial;sans-serif"/>
          <w:b w:val="false"/>
          <w:color w:val="000000"/>
          <w:sz w:val="14"/>
          <w:shd w:fill="FFFFFF" w:val="clear"/>
        </w:rPr>
        <w:t>1</w:t>
      </w:r>
      <w:r>
        <w:rPr>
          <w:color w:val="000000"/>
          <w:shd w:fill="FFFFFF" w:val="clear"/>
        </w:rPr>
        <w:t xml:space="preserve">     </w:t>
      </w:r>
      <w:r>
        <w:rPr>
          <w:rFonts w:ascii="Times New Roman;serif" w:hAnsi="Times New Roman;serif"/>
          <w:b w:val="false"/>
          <w:color w:val="000000"/>
          <w:sz w:val="16"/>
          <w:shd w:fill="FFFFFF" w:val="clear"/>
        </w:rPr>
        <w:t>Die männliche Form wird lediglich aus Vereinfachungsgründen verwendet. Eine Benachteiligung von weiblichen Arbeitnehmerinnen oder Intersexuellen ist nicht beabsichtigt.</w:t>
      </w:r>
    </w:p>
    <w:p>
      <w:pPr>
        <w:pStyle w:val="TextBody"/>
        <w:bidi w:val="0"/>
        <w:spacing w:lineRule="auto" w:line="288" w:before="0" w:after="60"/>
        <w:ind w:left="0" w:right="0" w:hanging="720"/>
        <w:jc w:val="both"/>
        <w:rPr>
          <w:shd w:fill="FFFFFF" w:val="clear"/>
        </w:rPr>
      </w:pPr>
      <w:r>
        <w:rPr>
          <w:rFonts w:ascii="Arial;sans-serif" w:hAnsi="Arial;sans-serif"/>
          <w:b w:val="false"/>
          <w:color w:val="000000"/>
          <w:sz w:val="14"/>
          <w:shd w:fill="FFFFFF" w:val="clear"/>
        </w:rPr>
        <w:t>2</w:t>
      </w:r>
      <w:r>
        <w:rPr>
          <w:color w:val="000000"/>
          <w:shd w:fill="FFFFFF" w:val="clear"/>
        </w:rPr>
        <w:t xml:space="preserve">     </w:t>
      </w:r>
      <w:r>
        <w:rPr>
          <w:rFonts w:ascii="Times New Roman;serif" w:hAnsi="Times New Roman;serif"/>
          <w:b w:val="false"/>
          <w:color w:val="000000"/>
          <w:sz w:val="16"/>
          <w:shd w:fill="FFFFFF" w:val="clear"/>
        </w:rPr>
        <w:t>The male form is used only to simplify the text. There is no intention of discrimination against female or intersex employees.</w:t>
      </w:r>
    </w:p>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74015"/>
                <wp:effectExtent l="0" t="0" r="0" b="0"/>
                <wp:wrapNone/>
                <wp:docPr id="42" name="Frame41"/>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30"/>
        <w:gridCol w:w="1257"/>
        <w:gridCol w:w="1261"/>
        <w:gridCol w:w="109"/>
        <w:gridCol w:w="109"/>
        <w:gridCol w:w="109"/>
        <w:gridCol w:w="1155"/>
        <w:gridCol w:w="353"/>
        <w:gridCol w:w="353"/>
        <w:gridCol w:w="353"/>
        <w:gridCol w:w="353"/>
        <w:gridCol w:w="353"/>
        <w:gridCol w:w="353"/>
        <w:gridCol w:w="353"/>
        <w:gridCol w:w="504"/>
      </w:tblGrid>
      <w:tr>
        <w:trPr/>
        <w:tc>
          <w:tcPr>
            <w:tcW w:w="32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1.3Die Gesellschaft ist berechtigt, dem Arbeitnehmer andere gleichwertige und zumutbare, seinen Kenntnissen und Fähigkeiten entsprechende Aufgaben zu übertragen. Der Arbeitnehmer hat auf Verlangen der Gesellschaft seine Arbeit vorübergehend oder dauerhaft auch an einem anderen Ort zu erbringen. Auch durch eine langwährende Tätigkeit am selben Arbeitsplatz bzw. Arbeitsort wird dieses Recht der Gesellschaft nicht eingeschränkt.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1.3The Company may assign the Employee other reasonable duties of an equivalent level consistent with his knowledge and abilities. At the request of the Company the Employee shall temporarily or permanently work at another location. Even long-term activity in the same role or location does not restrict this right of the Company.</w:t>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1.4Bei Bedarf wird der Arbeitnehmer Geschäftsreisen, auch ins Ausland, tätigen. Reisezeiten außerhalb der regelmäßigen Arbeitszeit gemäß Ziffer </w:t>
            </w:r>
            <w:r>
              <w:rPr>
                <w:rFonts w:ascii="sans-serif" w:hAnsi="sans-serif"/>
                <w:b/>
                <w:color w:val="000000"/>
                <w:sz w:val="22"/>
              </w:rPr>
              <w:t>Fehler! Verweisquelle konnte nicht gefunden werden.</w:t>
            </w:r>
            <w:r>
              <w:rPr>
                <w:color w:val="000000"/>
              </w:rPr>
              <w:t xml:space="preserve"> </w:t>
            </w:r>
            <w:r>
              <w:rPr>
                <w:rFonts w:ascii="sans-serif" w:hAnsi="sans-serif"/>
                <w:b w:val="false"/>
                <w:color w:val="000000"/>
                <w:sz w:val="22"/>
              </w:rPr>
              <w:t>werden nicht vergütet, soweit dadurch der Anspruch auf gesetzliches Mindestentgelt nicht unterschritten wird.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1.4If necessary, the Company may request the Employee to travel on business, including abroad. Travel times outside the regular weekly working time according to clause </w:t>
            </w:r>
            <w:r>
              <w:rPr>
                <w:rFonts w:ascii="sans-serif" w:hAnsi="sans-serif"/>
                <w:b/>
                <w:color w:val="000000"/>
                <w:sz w:val="22"/>
              </w:rPr>
              <w:t>Fehler! Verweisquelle konnte nicht gefunden werden.</w:t>
            </w:r>
            <w:r>
              <w:rPr>
                <w:color w:val="000000"/>
              </w:rPr>
              <w:t xml:space="preserve"> </w:t>
            </w:r>
            <w:r>
              <w:rPr>
                <w:rFonts w:ascii="sans-serif" w:hAnsi="sans-serif"/>
                <w:b w:val="false"/>
                <w:color w:val="000000"/>
                <w:sz w:val="22"/>
              </w:rPr>
              <w:t>up to the extent of will not be paid, if this does not fall below the entitlement to statutory minimum wage.</w:t>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2.ARBEITSZEIT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2.HOURS OF WORK</w:t>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1.1Der Mitarbeiter ist als leitender Angestellter im Sinne von § 5 Abs. 3 BetrVG bzw. § 14 Abs. 2 KSchG tätig. Aufgrund der mit der Position verbundenen Aufgaben und Verantwortlichkeiten unterliegt der Mitarbeiter nicht den Bestimmungen des Arbeitszeitgesetzes.</w:t>
            </w:r>
          </w:p>
          <w:p>
            <w:pPr>
              <w:pStyle w:val="TableContents"/>
              <w:bidi w:val="0"/>
              <w:spacing w:lineRule="auto" w:line="288" w:before="0" w:after="240"/>
              <w:jc w:val="both"/>
              <w:rPr/>
            </w:pPr>
            <w:r>
              <w:rPr>
                <w:rFonts w:ascii="Times New Roman;serif" w:hAnsi="Times New Roman;serif"/>
                <w:b w:val="false"/>
                <w:color w:val="000000"/>
                <w:sz w:val="22"/>
              </w:rPr>
              <w:t>1.2</w:t>
            </w:r>
            <w:r>
              <w:rPr>
                <w:rFonts w:ascii="sans-serif" w:hAnsi="sans-serif"/>
                <w:b w:val="false"/>
                <w:color w:val="000000"/>
                <w:sz w:val="22"/>
              </w:rPr>
              <w:t>Es gilt Vertrauensarbeitszeit. Der Mitarbeiter ist in der Einteilung seiner Arbeitszeit grundsätzlich frei, hat jedoch sicherzustellen, dass alle Aufgaben eigenverantwortlich, fristgerecht und in der erwarteten Qualität erfüllt werden. Eine Arbeitszeitdokumentation erfolgt nicht.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1.1The Employee is employed as an executive employee within the meaning of applicable German law (including Section 5 (3) BetrVG and Section 14 (2) KSchG). Due to the nature of the duties and responsibilities associated with this position, the Employee is exempt from the provisions of the German Working Time Act (Arbeitszeitgesetz).</w:t>
            </w:r>
          </w:p>
          <w:p>
            <w:pPr>
              <w:pStyle w:val="TableContents"/>
              <w:bidi w:val="0"/>
              <w:spacing w:lineRule="auto" w:line="288" w:before="0" w:after="240"/>
              <w:jc w:val="both"/>
              <w:rPr/>
            </w:pPr>
            <w:r>
              <w:rPr>
                <w:rFonts w:ascii="Times New Roman;serif" w:hAnsi="Times New Roman;serif"/>
                <w:b w:val="false"/>
                <w:color w:val="000000"/>
                <w:sz w:val="22"/>
              </w:rPr>
              <w:t>1.2</w:t>
            </w:r>
            <w:r>
              <w:rPr>
                <w:rFonts w:ascii="sans-serif" w:hAnsi="sans-serif"/>
                <w:b w:val="false"/>
                <w:color w:val="000000"/>
                <w:sz w:val="22"/>
              </w:rPr>
              <w:t>The parties agree on a trust-based working time system. The Employee is generally free to organize his/her working hours but must ensure that all duties are performed independently, within the required deadlines, and with the expected level of quality. No working time recording is required.</w:t>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1.2Mit der vereinbarten Vergütung sind sämtliche etwaig anfallenden Überstunden, Mehrarbeit sowie Arbeitszeiten an Sonn- und Feiertagen abgegolten, soweit diese zur Erfüllung der dem Mitarbeiter obliegenden Aufgaben notwendig sind und im Rahmen seiner leitenden Funktion üblich und angemessen sind. Ein gesonderter Ausgleich – weder in Zeit noch in Geld – erfolgt nicht.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agreed remuneration covers all overtime, additional working hours, and work performed on Sundays and public holidays, insofar as such work is necessary for the proper performance of the Employee’s executive duties and is customary and reasonable for this position. No separate compensation — neither in time off nor in monetary form — shall be granted.</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74015"/>
                <wp:effectExtent l="0" t="0" r="0" b="0"/>
                <wp:wrapNone/>
                <wp:docPr id="43" name="Frame42"/>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54"/>
        <w:gridCol w:w="1531"/>
        <w:gridCol w:w="1440"/>
        <w:gridCol w:w="109"/>
        <w:gridCol w:w="109"/>
        <w:gridCol w:w="109"/>
        <w:gridCol w:w="492"/>
        <w:gridCol w:w="492"/>
        <w:gridCol w:w="492"/>
        <w:gridCol w:w="492"/>
        <w:gridCol w:w="492"/>
        <w:gridCol w:w="492"/>
        <w:gridCol w:w="492"/>
        <w:gridCol w:w="455"/>
        <w:gridCol w:w="654"/>
      </w:tblGrid>
      <w:tr>
        <w:trPr/>
        <w:tc>
          <w:tcPr>
            <w:tcW w:w="235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3.VERGÜTUNG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3.SALARY</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1.1Der Arbeitnehmer erhält ein jährliches Festgehalt in Höhe von EUR 305.0000,00 brutto. Das Gehalt wird in 12 gleichen Teilbeträgen jeweils zum Monatsende gezahlt. Bei unterjährigem Ein- oder Austritt wird die Vergütung zeitanteilig gezahlt.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1.1The Employee will receive an annually fixed salary in the amount of EUR 305.000,00 gross. The fixed salary will be paid in 12 equal instalments at the end of each calendar month. If the employee joins or leaves the company during calendar year, the renumeration will be paid on a pro rata basis.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1.2Soweit sich nichts Abweichendes aus einer Betriebsvereinbarung ergibt, entscheidet die Gesellschaft nach Ablauf eines Geschäftsjahres im freien Ermessen darüber, ob und in welcher Höhe der Arbeitnehmer einen Bonus erhält. Aktuell ist der AIP Bonus für diese Position auf 35% im Bezug auf Zielerreichung angesetzt. Der Arbeitnehmer hat keinen Anspruch auf einen Bonus, auch nicht bei wiederholter Gewährung.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1.2In absence of a different rule in a works agreement, the Company will decide after the expiry of a fiscal year in its absolute discretion if the Employee will receive a bonus and, if so, in what amount. Currently, the AIP bonus for this position is set at 35% in relation to target achievement. The Employee will have no legal claim in respect of bonus, even in the event of repeated payments.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1.3Die Gesellschaft gewährt dem Arbeitnehmer nach Ablauf von 6 Monaten einen Zuschuss zur betrieblichen Altersvorsorge durch Entgeltumwandlung in Höhe von monatlich EUR 57,78.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1.3After a period of 6 months, the Company shall grant the Employee a subsidy for the company pension plan through deferred compensation in the amount of EUR 57.78 per month. </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74015"/>
                <wp:effectExtent l="0" t="0" r="0" b="0"/>
                <wp:wrapNone/>
                <wp:docPr id="44" name="Frame43"/>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94"/>
        <w:gridCol w:w="2017"/>
        <w:gridCol w:w="2018"/>
        <w:gridCol w:w="109"/>
        <w:gridCol w:w="109"/>
        <w:gridCol w:w="109"/>
        <w:gridCol w:w="596"/>
        <w:gridCol w:w="349"/>
        <w:gridCol w:w="349"/>
        <w:gridCol w:w="349"/>
        <w:gridCol w:w="349"/>
        <w:gridCol w:w="349"/>
        <w:gridCol w:w="349"/>
        <w:gridCol w:w="349"/>
        <w:gridCol w:w="510"/>
      </w:tblGrid>
      <w:tr>
        <w:trPr/>
        <w:tc>
          <w:tcPr>
            <w:tcW w:w="2294"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1.4Die etwaige Gewährung von sonstigen Gratifikationen, Prämien, Boni oder zusätzlicher Vergütung, auf die kein vertraglicher oder kollektivrechtlicher Anspruch besteht, erfolgt jeweils freiwillig. Auch durch mehrmalige Gewährung wird ein Rechtsanspruch für die Zukunft weder dem Grunde nach noch der Höhe nach begründet. § 305b BGB sowie Vergütungsansprüche bleiben hiervon unberührt.</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1.5</w:t>
            </w:r>
          </w:p>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1.FIRMENWAGEN</w:t>
            </w:r>
          </w:p>
          <w:p>
            <w:pPr>
              <w:pStyle w:val="TableContents"/>
              <w:bidi w:val="0"/>
              <w:spacing w:lineRule="auto" w:line="288" w:before="0" w:after="240"/>
              <w:jc w:val="both"/>
              <w:rPr/>
            </w:pPr>
            <w:r>
              <w:rPr>
                <w:rFonts w:ascii="Times New Roman;serif" w:hAnsi="Times New Roman;serif"/>
                <w:b/>
                <w:color w:val="000000"/>
                <w:sz w:val="22"/>
              </w:rPr>
              <w:t>2.</w:t>
            </w:r>
            <w:r>
              <w:rPr>
                <w:rFonts w:ascii="sans-serif" w:hAnsi="sans-serif"/>
                <w:b w:val="false"/>
                <w:color w:val="000000"/>
                <w:sz w:val="22"/>
              </w:rPr>
              <w:t>Der     Arbeitgeber    stellt    dem Arbeitnehmer einen Dienstwagen zur</w:t>
            </w:r>
            <w:r>
              <w:rPr>
                <w:color w:val="000000"/>
              </w:rPr>
              <w:t xml:space="preserve"> </w:t>
            </w:r>
            <w:r>
              <w:rPr>
                <w:rFonts w:ascii="sans-serif" w:hAnsi="sans-serif"/>
                <w:b w:val="false"/>
                <w:color w:val="000000"/>
                <w:sz w:val="22"/>
              </w:rPr>
              <w:t>Verfügung. Für die vertraglich vereinbarte Position gilt ein Dienstwagen der Stufe A als vereinbart. Dem Arbeitnehmer ist es gestattet, diesen Dienstwagen kostenlos auch zu privaten Zwecken zu nutzen. Die ordnungsgemäße Versteuerung des</w:t>
            </w:r>
            <w:r>
              <w:rPr>
                <w:color w:val="000000"/>
              </w:rPr>
              <w:t xml:space="preserve"> </w:t>
            </w:r>
            <w:r>
              <w:rPr>
                <w:rFonts w:ascii="sans-serif" w:hAnsi="sans-serif"/>
                <w:b w:val="false"/>
                <w:color w:val="000000"/>
                <w:sz w:val="22"/>
              </w:rPr>
              <w:t>geldwerten Vorteils der Privatnutzung obliegt dem Arbeitnehmer.</w:t>
            </w:r>
          </w:p>
          <w:p>
            <w:pPr>
              <w:pStyle w:val="TableContents"/>
              <w:bidi w:val="0"/>
              <w:spacing w:lineRule="auto" w:line="288" w:before="0" w:after="240"/>
              <w:jc w:val="both"/>
              <w:rPr/>
            </w:pPr>
            <w:r>
              <w:rPr>
                <w:rFonts w:ascii="Times New Roman;serif" w:hAnsi="Times New Roman;serif"/>
                <w:b/>
                <w:color w:val="000000"/>
                <w:sz w:val="22"/>
              </w:rPr>
              <w:t>3.</w:t>
            </w:r>
            <w:r>
              <w:rPr>
                <w:rFonts w:ascii="sans-serif" w:hAnsi="sans-serif"/>
                <w:b w:val="false"/>
                <w:color w:val="000000"/>
                <w:sz w:val="22"/>
              </w:rPr>
              <w:t>Der Arbeitnehmer ist verpflichtet, das ihm     anvertraute     Dienstfahrzeug</w:t>
            </w:r>
            <w:r>
              <w:rPr>
                <w:color w:val="000000"/>
              </w:rPr>
              <w:t xml:space="preserve"> </w:t>
            </w:r>
            <w:r>
              <w:rPr>
                <w:rFonts w:ascii="sans-serif" w:hAnsi="sans-serif"/>
                <w:b w:val="false"/>
                <w:color w:val="000000"/>
                <w:sz w:val="22"/>
              </w:rPr>
              <w:t>sorgfältig zu behandeln und es stets in einem    betriebsbereiten    und verkehrssicheren Zustand zu halten notwendige Reparaturen sowie fällige</w:t>
            </w:r>
            <w:r>
              <w:rPr>
                <w:color w:val="000000"/>
              </w:rPr>
              <w:t xml:space="preserve"> </w:t>
            </w:r>
            <w:r>
              <w:rPr>
                <w:rFonts w:ascii="sans-serif" w:hAnsi="sans-serif"/>
                <w:b w:val="false"/>
                <w:color w:val="000000"/>
                <w:sz w:val="22"/>
              </w:rPr>
              <w:t>Inspektionen sind in Abstimmung mit dem Arbeitgeber vorzunehmen. Eine Nutzung des Dienstwagens ist nur dann und so lange gestattet, wie der Arbeitnehmer über eine gültige Fahrerlaubnis verfügt.</w:t>
            </w:r>
          </w:p>
          <w:p>
            <w:pPr>
              <w:pStyle w:val="TableContents"/>
              <w:bidi w:val="0"/>
              <w:spacing w:lineRule="auto" w:line="288" w:before="0" w:after="240"/>
              <w:jc w:val="both"/>
              <w:rPr/>
            </w:pPr>
            <w:r>
              <w:rPr>
                <w:rFonts w:ascii="Times New Roman;serif" w:hAnsi="Times New Roman;serif"/>
                <w:b/>
                <w:color w:val="000000"/>
                <w:sz w:val="22"/>
              </w:rPr>
              <w:t>4.</w:t>
            </w:r>
            <w:r>
              <w:rPr>
                <w:rFonts w:ascii="sans-serif" w:hAnsi="sans-serif"/>
                <w:b w:val="false"/>
                <w:color w:val="000000"/>
                <w:sz w:val="22"/>
              </w:rPr>
              <w:t>Der Arbeitgeber behält sich vor, die Zurverfügungstellung des Dienstwagens einschließlich der Privatnutzung des Dienstwagens zu widerrufen, wenn sich die Aufgabe oder die Position des Arbeitnehmers so ändert, dass für die neue Aufgabe/für die neue Position ein Dienstwagen nicht mehr erforderlich ist und auch vergleichbaren Mitarbeitenden mit solchen Aufgaben/in einer solchen Position kein Dienstwagen zur Verfügung gestellt wird. Weiterhin behält sich der Arbeitgeber einen solchen Widerruf für den Fall einer Freistellung von der Arbeitsleistung nach Kündigung des Arbeitsverhältnisses vor.</w:t>
            </w:r>
          </w:p>
          <w:p>
            <w:pPr>
              <w:pStyle w:val="TableContents"/>
              <w:bidi w:val="0"/>
              <w:spacing w:lineRule="auto" w:line="288" w:before="0" w:after="240"/>
              <w:jc w:val="both"/>
              <w:rPr/>
            </w:pPr>
            <w:r>
              <w:rPr>
                <w:rFonts w:ascii="Times New Roman;serif" w:hAnsi="Times New Roman;serif"/>
                <w:b/>
                <w:color w:val="000000"/>
                <w:sz w:val="22"/>
              </w:rPr>
              <w:t>5.</w:t>
            </w:r>
            <w:r>
              <w:rPr>
                <w:rFonts w:ascii="sans-serif" w:hAnsi="sans-serif"/>
                <w:b w:val="false"/>
                <w:color w:val="000000"/>
                <w:sz w:val="22"/>
              </w:rPr>
              <w:t xml:space="preserve">Nähere Einzelheiten regelt die Unternehmensdienstwagenrichtlinie. </w:t>
            </w:r>
          </w:p>
          <w:p>
            <w:pPr>
              <w:pStyle w:val="TableContents"/>
              <w:bidi w:val="0"/>
              <w:spacing w:lineRule="auto" w:line="288" w:before="0" w:after="240"/>
              <w:jc w:val="both"/>
              <w:rPr/>
            </w:pPr>
            <w:r>
              <w:rPr>
                <w:rFonts w:ascii="Times New Roman;serif" w:hAnsi="Times New Roman;serif"/>
                <w:b/>
                <w:color w:val="000000"/>
                <w:sz w:val="22"/>
              </w:rPr>
              <w:t>6.</w:t>
            </w:r>
            <w:r>
              <w:rPr>
                <w:rFonts w:ascii="sans-serif" w:hAnsi="sans-serif"/>
                <w:b w:val="false"/>
                <w:color w:val="000000"/>
                <w:sz w:val="22"/>
              </w:rPr>
              <w:t>Für die Dauer die Probezeit wird dem Arbeitnehmer ein Poolfahrzeug zur Verfügung gestellt.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1.4The payment of any additional bonus or other benefits that the Employee is not entitled to according to an individual contractual or collective agreement is voluntary and non-binding. Therefore, repeated payment does not give rise to a legal claim for payment in the future, either with regard to the reason or with regard to the amount. Section 305b German Civil Code as well as remuneration claims shall not be affected.</w:t>
            </w:r>
          </w:p>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1.COMPANY CAR</w:t>
            </w:r>
          </w:p>
          <w:p>
            <w:pPr>
              <w:pStyle w:val="TableContents"/>
              <w:bidi w:val="0"/>
              <w:spacing w:lineRule="auto" w:line="288" w:before="0" w:after="240"/>
              <w:jc w:val="both"/>
              <w:rPr/>
            </w:pPr>
            <w:r>
              <w:rPr>
                <w:rFonts w:ascii="Times New Roman;serif" w:hAnsi="Times New Roman;serif"/>
                <w:b/>
                <w:color w:val="000000"/>
                <w:sz w:val="22"/>
              </w:rPr>
              <w:t>2.</w:t>
            </w:r>
            <w:r>
              <w:rPr>
                <w:rFonts w:ascii="sans-serif" w:hAnsi="sans-serif"/>
                <w:b w:val="false"/>
                <w:color w:val="000000"/>
                <w:sz w:val="22"/>
              </w:rPr>
              <w:t>The employer shall provide the employee with a company car. A level A company car is deemed to have been agreed for the contractually agreed position. The employee is permitted to use this company car free of charge also for private purposes. The employee is responsible for the proper taxation of the pecuniary advantage of the private use.</w:t>
            </w:r>
          </w:p>
          <w:p>
            <w:pPr>
              <w:pStyle w:val="TableContents"/>
              <w:bidi w:val="0"/>
              <w:spacing w:lineRule="auto" w:line="288" w:before="0" w:after="240"/>
              <w:jc w:val="both"/>
              <w:rPr/>
            </w:pPr>
            <w:r>
              <w:rPr>
                <w:rFonts w:ascii="Times New Roman;serif" w:hAnsi="Times New Roman;serif"/>
                <w:b/>
                <w:color w:val="000000"/>
                <w:sz w:val="22"/>
              </w:rPr>
              <w:t>3.</w:t>
            </w:r>
            <w:r>
              <w:rPr>
                <w:rFonts w:ascii="sans-serif" w:hAnsi="sans-serif"/>
                <w:b w:val="false"/>
                <w:color w:val="000000"/>
                <w:sz w:val="22"/>
              </w:rPr>
              <w:t>The employee is obliged to treat the company car entrusted to him with care and to keep it in an operational and roadworthy condition at all times. Use of the company car is only permitted if and as long as the employee has a valid driving licence.</w:t>
            </w:r>
          </w:p>
          <w:p>
            <w:pPr>
              <w:pStyle w:val="TableContents"/>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4.</w:t>
            </w:r>
          </w:p>
          <w:p>
            <w:pPr>
              <w:pStyle w:val="TableContents"/>
              <w:bidi w:val="0"/>
              <w:spacing w:lineRule="auto" w:line="288" w:before="0" w:after="240"/>
              <w:jc w:val="both"/>
              <w:rPr/>
            </w:pPr>
            <w:r>
              <w:rPr>
                <w:rFonts w:ascii="Times New Roman;serif" w:hAnsi="Times New Roman;serif"/>
                <w:b/>
                <w:color w:val="000000"/>
                <w:sz w:val="22"/>
              </w:rPr>
              <w:t>5.</w:t>
            </w:r>
            <w:r>
              <w:rPr>
                <w:rFonts w:ascii="sans-serif" w:hAnsi="sans-serif"/>
                <w:b w:val="false"/>
                <w:color w:val="000000"/>
                <w:sz w:val="22"/>
              </w:rPr>
              <w:t>The employer reserves the right to revoke the provision of the company car including the private use of the company car if the employee's task or position changes in such a way that a company car is no longer required for the new task/position and no company car is provided to comparable employees with such tasks/position. Furthermore, the employer reserves the right to such revocation in the event of release from work after termination of the employment relationship.</w:t>
            </w:r>
          </w:p>
          <w:p>
            <w:pPr>
              <w:pStyle w:val="TableContents"/>
              <w:bidi w:val="0"/>
              <w:spacing w:lineRule="auto" w:line="288" w:before="0" w:after="240"/>
              <w:jc w:val="both"/>
              <w:rPr/>
            </w:pPr>
            <w:r>
              <w:rPr>
                <w:rFonts w:ascii="Times New Roman;serif" w:hAnsi="Times New Roman;serif"/>
                <w:b/>
                <w:color w:val="000000"/>
                <w:sz w:val="22"/>
              </w:rPr>
              <w:t>6.</w:t>
            </w:r>
            <w:r>
              <w:rPr>
                <w:rFonts w:ascii="sans-serif" w:hAnsi="sans-serif"/>
                <w:b w:val="false"/>
                <w:color w:val="000000"/>
                <w:sz w:val="22"/>
              </w:rPr>
              <w:t xml:space="preserve">Further details are set out in the company car policy. </w:t>
            </w:r>
          </w:p>
          <w:p>
            <w:pPr>
              <w:pStyle w:val="TableContents"/>
              <w:bidi w:val="0"/>
              <w:spacing w:lineRule="auto" w:line="288" w:before="0" w:after="240"/>
              <w:jc w:val="both"/>
              <w:rPr/>
            </w:pPr>
            <w:r>
              <w:rPr>
                <w:rFonts w:ascii="Times New Roman;serif" w:hAnsi="Times New Roman;serif"/>
                <w:b/>
                <w:color w:val="000000"/>
                <w:sz w:val="22"/>
              </w:rPr>
              <w:t>7.</w:t>
            </w:r>
            <w:r>
              <w:rPr>
                <w:rFonts w:ascii="sans-serif" w:hAnsi="sans-serif"/>
                <w:b w:val="false"/>
                <w:color w:val="000000"/>
                <w:sz w:val="22"/>
              </w:rPr>
              <w:t>The employee will be provided with a pool car for the duration of the probationary period.</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5.AUSLAGEN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5.EXPENSES</w:t>
            </w:r>
          </w:p>
        </w:tc>
      </w:tr>
      <w:tr>
        <w:trPr/>
        <w:tc>
          <w:tcPr>
            <w:tcW w:w="632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Die Erstattung von notwendigen dienstlich veranlassten Auslagen bestimmt sich nach der jeweils gültigen Richtlinie der Gesellschaft. Soweit eine solche Richtlinie nicht vorhanden ist, erhält der Arbeitnehmer nach vorheriger Absprache und gegen Vorlage der entsprechenden Belege Erstattung von notwendigen dienstlich veranlassten Auslagen nach den jeweils steuerlich abzugsfähigen Sätzen.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The reimbursement of necessary and officially incurred expenses is determined by the valid policy of the Company effective from time to time. If there is no such policy the Employee will be reimbursed after prior written approval and representation of the supporting documents for such necessary and officially incurred expenses based on the respective tax-deductible rates.</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6.URLAUB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88" w:before="0" w:after="240"/>
              <w:ind w:left="0" w:right="0" w:hanging="360"/>
              <w:jc w:val="both"/>
              <w:rPr/>
            </w:pPr>
            <w:r>
              <w:rPr>
                <w:rFonts w:ascii="sans-serif" w:hAnsi="sans-serif"/>
                <w:b/>
                <w:color w:val="000000"/>
                <w:sz w:val="22"/>
              </w:rPr>
              <w:t>6</w:t>
            </w:r>
            <w:r>
              <w:rPr>
                <w:color w:val="000000"/>
              </w:rPr>
              <w:t> </w:t>
            </w:r>
            <w:r>
              <w:rPr>
                <w:rFonts w:ascii="sans-serif" w:hAnsi="sans-serif"/>
                <w:b/>
                <w:color w:val="000000"/>
                <w:sz w:val="22"/>
              </w:rPr>
              <w:t>HOLIDAY</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1.1Der Arbeitnehmer hat Anspruch auf einen Urlaub von 30 Arbeitstagen pro Kalenderjahr (</w:t>
            </w:r>
            <w:r>
              <w:rPr>
                <w:rFonts w:ascii="sans-serif" w:hAnsi="sans-serif"/>
                <w:b/>
                <w:color w:val="000000"/>
                <w:sz w:val="22"/>
              </w:rPr>
              <w:t>"Urlaub"</w:t>
            </w:r>
            <w:r>
              <w:rPr>
                <w:rFonts w:ascii="sans-serif" w:hAnsi="sans-serif"/>
                <w:b w:val="false"/>
                <w:color w:val="000000"/>
                <w:sz w:val="22"/>
              </w:rPr>
              <w:t>). Dieser setzt sich aus dem gesetzlichen Urlaubsanspruch von 20 Arbeitstagen (</w:t>
            </w:r>
            <w:r>
              <w:rPr>
                <w:rFonts w:ascii="sans-serif" w:hAnsi="sans-serif"/>
                <w:b/>
                <w:color w:val="000000"/>
                <w:sz w:val="22"/>
              </w:rPr>
              <w:t>"Gesetzlicher Urlaub"</w:t>
            </w:r>
            <w:r>
              <w:rPr>
                <w:rFonts w:ascii="sans-serif" w:hAnsi="sans-serif"/>
                <w:b w:val="false"/>
                <w:color w:val="000000"/>
                <w:sz w:val="22"/>
              </w:rPr>
              <w:t>) sowie einem darüberhinausgehenden vertraglichen Urlaubsanspruch von 10 Arbeitstagen (</w:t>
            </w:r>
            <w:r>
              <w:rPr>
                <w:rFonts w:ascii="sans-serif" w:hAnsi="sans-serif"/>
                <w:b/>
                <w:color w:val="000000"/>
                <w:sz w:val="22"/>
              </w:rPr>
              <w:t>"Vertraglicher Urlaub"</w:t>
            </w:r>
            <w:r>
              <w:rPr>
                <w:rFonts w:ascii="sans-serif" w:hAnsi="sans-serif"/>
                <w:b w:val="false"/>
                <w:color w:val="000000"/>
                <w:sz w:val="22"/>
              </w:rPr>
              <w:t>) zusammen. Der Vertragliche Urlaub wird im Jahr des Ein- und Austritts anteilig gewährt.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1.2The Employee is entitled to holiday leave of 30 working days per calendar year (</w:t>
            </w:r>
            <w:r>
              <w:rPr>
                <w:rFonts w:ascii="sans-serif" w:hAnsi="sans-serif"/>
                <w:b/>
                <w:color w:val="000000"/>
                <w:sz w:val="22"/>
              </w:rPr>
              <w:t>"Holiday"</w:t>
            </w:r>
            <w:r>
              <w:rPr>
                <w:rFonts w:ascii="sans-serif" w:hAnsi="sans-serif"/>
                <w:b w:val="false"/>
                <w:color w:val="000000"/>
                <w:sz w:val="22"/>
              </w:rPr>
              <w:t>). This entitlement consists of 20 working days' statutory holiday entitlement (</w:t>
            </w:r>
            <w:r>
              <w:rPr>
                <w:rFonts w:ascii="sans-serif" w:hAnsi="sans-serif"/>
                <w:b/>
                <w:color w:val="000000"/>
                <w:sz w:val="22"/>
              </w:rPr>
              <w:t>"Statutory Holiday"</w:t>
            </w:r>
            <w:r>
              <w:rPr>
                <w:rFonts w:ascii="sans-serif" w:hAnsi="sans-serif"/>
                <w:b w:val="false"/>
                <w:color w:val="000000"/>
                <w:sz w:val="22"/>
              </w:rPr>
              <w:t>) and 10 working days' contractual holiday entitlement (</w:t>
            </w:r>
            <w:r>
              <w:rPr>
                <w:rFonts w:ascii="sans-serif" w:hAnsi="sans-serif"/>
                <w:b/>
                <w:color w:val="000000"/>
                <w:sz w:val="22"/>
              </w:rPr>
              <w:t>"Contractual Holiday"</w:t>
            </w:r>
            <w:r>
              <w:rPr>
                <w:rFonts w:ascii="sans-serif" w:hAnsi="sans-serif"/>
                <w:b w:val="false"/>
                <w:color w:val="000000"/>
                <w:sz w:val="22"/>
              </w:rPr>
              <w:t>). In the year in which the employment relationship commences or terminates, the contractual holiday will be granted on a pro-rata basis.</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74015"/>
                <wp:effectExtent l="0" t="0" r="0" b="0"/>
                <wp:wrapNone/>
                <wp:docPr id="45" name="Frame44"/>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15"/>
        <w:gridCol w:w="1331"/>
        <w:gridCol w:w="1336"/>
        <w:gridCol w:w="109"/>
        <w:gridCol w:w="109"/>
        <w:gridCol w:w="109"/>
        <w:gridCol w:w="818"/>
        <w:gridCol w:w="437"/>
        <w:gridCol w:w="437"/>
        <w:gridCol w:w="437"/>
        <w:gridCol w:w="437"/>
        <w:gridCol w:w="437"/>
        <w:gridCol w:w="437"/>
        <w:gridCol w:w="437"/>
        <w:gridCol w:w="619"/>
      </w:tblGrid>
      <w:tr>
        <w:trPr/>
        <w:tc>
          <w:tcPr>
            <w:tcW w:w="27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538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1.3Der Urlaub ist grundsätzlich im laufenden Kalenderjahr zu nehmen. Durch den Arbeitnehmer genommener Urlaub wird zunächst auf den Gesetzlichen Urlaub angerechnet.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1.4The Holiday must generally be taken during the current calendar year. Any Holiday taken by the Employee will be set off against the Statutory Holiday first.</w:t>
            </w:r>
          </w:p>
        </w:tc>
      </w:tr>
      <w:tr>
        <w:trPr/>
        <w:tc>
          <w:tcPr>
            <w:tcW w:w="538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1.5Eine Übertragung des Urlaubs auf das nächste Kalenderjahr erfolgt nur, wenn dringende betriebliche oder in der Person des Arbeitnehmers liegende Gründe dies rechtfertigen. Der so übertragene Urlaub verfällt, wenn er nicht bis zum 31. März des Folgejahres genommen wird. Der Verfall des Vertraglichen Urlaubs findet unabhängig davon statt, ob die Gesellschaft dazu aufgefordert hatte, den Vertraglichen Urlaub zu nehmen, oder ob die Gesellschaft über die Möglichkeit des Verfalls gesondert aufgeklärt hatte.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1.6Holiday may only be carried over to the next calendar year if justified by urgent business reasons or reasons relating to the Employee personally. Any Holiday carried forward from the past calendar year will be forfeited if not taken by 31 March in the following year. The forfeiture of the Contractual Holiday takes place irrespective of whether the Company had requested to take the Contractual Holiday or whether the Company had separately informed of the possibility of forfeiture.</w:t>
            </w:r>
          </w:p>
        </w:tc>
      </w:tr>
      <w:tr>
        <w:trPr/>
        <w:tc>
          <w:tcPr>
            <w:tcW w:w="538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1.7Ist der Arbeitnehmer infolge einer ärztlich nachgewiesenen, krankheitsbedingten Arbeitsunfähigkeit daran gehindert, den übertragenen Urlaub bis zum 31. März des Folgejahres zu nehmen, besteht nur der Gesetzliche Urlaub auch über diesen Zeitpunkt hinaus fort. Für diesen fortbestehenden Gesetzlichen Urlaub gelten die Regelungen der Ziffern 6.3 und 6.5 entsprechend, d. h. dieser fortbestehende Gesetzliche Urlaub verfällt spätestens 15 Monate nach Ende des Kalenderjahres, in dem der Gesetzliche Urlaub entstanden ist. Der Vertragliche Urlaub verfällt in einem solchen Fall nach Ziffer 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1.8In cases where the Employee, as a direct consequence of a medically certified incapacity to work due to illness, is prevented from taking carried over Holiday by 31 March in the following year, only the remaining Statutory Holiday will persist beyond that date. With regard to this remaining Statutory Holiday clauses 6.4 and 6.6 shall apply accordingly, ie this remaining Statutory Holiday will be forfeited at the latest 15 months after the end of the calendar year in which the Statutory Holiday arose. In such case, the Contractual Holiday will be forfeited according to clause 6.6.</w:t>
            </w:r>
          </w:p>
        </w:tc>
      </w:tr>
      <w:tr>
        <w:trPr/>
        <w:tc>
          <w:tcPr>
            <w:tcW w:w="538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1.9Bei Beendigung des Arbeitsvertrages ist eine Abgeltung Vertraglichen Urlaubs ausgeschlossen. Eine Abgeltung des verbleibenden Gesetzlichen Urlaubs bestimmt sich nach den gesetzlichen Regelungen. Dies gilt auch, sofern Urlaubsabgeltung zu leisten ist, weil der Arbeitnehmer den Gesetzlichen Urlaub wegen des in Ziffer 6.7 geregelten Sachverhalts nicht nehmen konnte.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1.10There will be no payment in lieu of untaken Contractual Holiday on termination of this Contract of Employment. Payment in lieu for the remaining Statutory Holiday entitlement is determined by the statutory provisions. This will also apply if payment in lieu of untaken holiday is payable due to the Employee not having been able to take his Statutory Holiday due to the circumstances set out in clause 6.8.</w:t>
            </w:r>
          </w:p>
        </w:tc>
      </w:tr>
      <w:tr>
        <w:trPr/>
        <w:tc>
          <w:tcPr>
            <w:tcW w:w="5382"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7.ARBEITSUNFÄHIGKEIT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7 SICKNESS ABSENCE</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74015"/>
                <wp:effectExtent l="0" t="0" r="0" b="0"/>
                <wp:wrapNone/>
                <wp:docPr id="46" name="Frame45"/>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58"/>
        <w:gridCol w:w="1456"/>
        <w:gridCol w:w="1462"/>
        <w:gridCol w:w="109"/>
        <w:gridCol w:w="109"/>
        <w:gridCol w:w="109"/>
        <w:gridCol w:w="402"/>
        <w:gridCol w:w="402"/>
        <w:gridCol w:w="402"/>
        <w:gridCol w:w="402"/>
        <w:gridCol w:w="402"/>
        <w:gridCol w:w="402"/>
        <w:gridCol w:w="402"/>
        <w:gridCol w:w="402"/>
        <w:gridCol w:w="586"/>
      </w:tblGrid>
      <w:tr>
        <w:trPr/>
        <w:tc>
          <w:tcPr>
            <w:tcW w:w="31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1.1Der Arbeitnehmer ist verpflichtet, jede Arbeitsverhinderung und deren voraussichtliche Dauer der Gesellschaft unverzüglich, d. h. spätestens zu Arbeitsbeginn des ersten Tages der Arbeitsverhinderung, anzuzeigen. Bei anstehenden Terminsachen hat der Arbeitnehmer auf vordringlich zu erledigende Arbeiten und Fristen hinzuweisen.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Employee shall notify the Company without undue delay (ie by commencement of the hours of work on the first day of incapacity to work at the latest) of any incapacity to work and its anticipated duration. The Employee must inform the Company about any urgent work and pending deadlines.</w:t>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1.3Ist die Arbeitsverhinderung durch Krankheit verursacht, so ist die Arbeitsunfähigkeit spätestens am dritten Kalendertag durch Vorlage einer ärztlichen Bescheinigung nachzuweisen. Die Gesellschaft ist berechtigt, die Vorlage eines ärztlichen Attests auch früher zu verlangen. Dauert die Arbeitsunfähigkeit länger als in der Bescheinigung angegeben, so ist dies der Gesellschaft unverzüglich mitzuteilen. In diesem Fall ist der Arbeitnehmer verpflichtet, unverzüglich, spätestens aber am ersten Tag nach Ablauf der vorangegangenen Bescheinigung eine Folgebescheinigung vorzulegen. Dies gilt auch nach Ablauf des Entgeltfortzahlungszeitraumes. Die Gesellschaft ist berechtigt, die Entgeltfortzahlung zu verweigern, solange der Arbeitnehmer der Verpflichtung zur Vorlage der ärztlichen Bescheinigung nicht nachgekommen 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1.4In case of sickness, the Employee shall be obliged to present a doctor's certificate of inability to work giving the probable duration before the end of the third calendar day from the beginning of the inability to work. The Company is entitled to require a doctor's certificate also at an earlier stage. Should the inability to work last longer than stated in the doctor's certificate, the Employee shall be obliged, without delay, at the latest on the first day after expiry of the previous certificate, to present a new certificate. This provision also must be observed after expiry of the period of salary continuation. The Company shall have the right to refuse continued payment of salary if the Employee does not adhere to his obligation to present a doctor's certificate.</w:t>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1.5Der Arbeitnehmer ist verpflichtet, der Gesellschaft unverzüglich eine Bescheinigung über die Bewilligung einer Kur oder eines Heilverfahrens (</w:t>
            </w:r>
            <w:r>
              <w:rPr>
                <w:rFonts w:ascii="sans-serif" w:hAnsi="sans-serif"/>
                <w:b/>
                <w:color w:val="000000"/>
                <w:sz w:val="22"/>
              </w:rPr>
              <w:t>"Kur"</w:t>
            </w:r>
            <w:r>
              <w:rPr>
                <w:rFonts w:ascii="sans-serif" w:hAnsi="sans-serif"/>
                <w:b w:val="false"/>
                <w:color w:val="000000"/>
                <w:sz w:val="22"/>
              </w:rPr>
              <w:t>) vorzulegen und den Zeitpunkt des Kurantritts mitzuteilen. Die Bescheinigung über die Bewilligung muss Angaben über die voraussichtliche Dauer der Kur enthalten. Dauert die Kur länger als in der Bescheinigung angegeben, so ist der Arbeitnehmer verpflichtet, unverzüglich eine Folgebescheinigung vorzulegen.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1.6In case of treatment at a health resort or medical treatment (</w:t>
            </w:r>
            <w:r>
              <w:rPr>
                <w:rFonts w:ascii="sans-serif" w:hAnsi="sans-serif"/>
                <w:b/>
                <w:color w:val="000000"/>
                <w:sz w:val="22"/>
              </w:rPr>
              <w:t>"Health Resort"</w:t>
            </w:r>
            <w:r>
              <w:rPr>
                <w:rFonts w:ascii="sans-serif" w:hAnsi="sans-serif"/>
                <w:b w:val="false"/>
                <w:color w:val="000000"/>
                <w:sz w:val="22"/>
              </w:rPr>
              <w:t xml:space="preserve">), the Employee shall present a certificate of approval and shall specify the starting date. The certificate shall provide information about the expected duration. If treatment at a Health Resort takes longer than certificated the Employee shall be obliged to hand in a new certificate immediately. </w:t>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1.7Der Arbeitnehmer tritt hiermit mögliche Schadensersatzansprüche gegen Dritte, die im Zusammenhang mit der Arbeitsunfähigkeit stehen, an die Gesellschaft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1.8The Employee hereby assigns possible compensation against third parties, in respect of incapacity to work to the Company.</w:t>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1.9Der Arbeitnehmer erklärt sich damit einverstanden, sich bei einem berechtigten Interesse der Gesellschaft (insbesondere bei begründeten ernsthaften Zweifeln an der vorgelegten Arbeitsunfähigkeitsbescheinigung, bei einer besonderen Gefährdung für Dritte durch Ansteckungsgefahr oder bei Privatversicherten) im Falle der Arbeitsunfähigkeit durch einen Vertrauensarzt der Gesellschaft untersuchen zu lassen, um festzustellen, ob er zum gegenwärtigen Zeitpunkt arbeitsfähig 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1.10In the event of incapacity to work, the Employee consents to examination by an independent Company medical examiner in the case of a legitimate interest of the Company (in particular in the case of justified serious doubts concerning the submitted doctor's certificate of incapacity for work, in the case of a special risk to third parties due to the danger of infection or privately insured persons) in order to determine, whether the Employee is able to work. </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74015"/>
                <wp:effectExtent l="0" t="0" r="0" b="0"/>
                <wp:wrapNone/>
                <wp:docPr id="47" name="Frame46"/>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27"/>
        <w:gridCol w:w="1209"/>
        <w:gridCol w:w="1212"/>
        <w:gridCol w:w="109"/>
        <w:gridCol w:w="109"/>
        <w:gridCol w:w="109"/>
        <w:gridCol w:w="543"/>
        <w:gridCol w:w="543"/>
        <w:gridCol w:w="543"/>
        <w:gridCol w:w="543"/>
        <w:gridCol w:w="543"/>
        <w:gridCol w:w="543"/>
        <w:gridCol w:w="543"/>
        <w:gridCol w:w="543"/>
        <w:gridCol w:w="786"/>
      </w:tblGrid>
      <w:tr>
        <w:trPr/>
        <w:tc>
          <w:tcPr>
            <w:tcW w:w="232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8.PROBEZEIT, BEENDIGUNG, VERTRAGSSTRAFE BEI NICHTANTRITT, FREISTELLUNG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8 PROBATIONARY PERIOD, TERMINATION, PENALTY IN CASE OF NON-PERFORMANCE, RELEASE FROM WORK</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1.1Die ersten 6 Monate des Arbeitsverhältnisses gelten als Probezeit. Während der Probezeit kann das Arbeitsverhältnis von beiden Parteien mit einer Frist von 2 Wochen gekündigt werden.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first 6 months of the employment relationship shall be a probationary period. During the probationary period either party can terminate the employment relationship by giving two weeks' notice.</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1.3Nach Ablauf der Probezeit kann das Arbeitsverhältnis von beiden Parteien jeweils mit einer Frist von 6 Monaten zum Monatsende gekündigt werden. Wenn sich die Kündigungsfrist für die Gesellschaft aufgrund gesetzlicher oder sonstiger Regelungen verlängert, gilt diese verlängerte Frist für eine Kündigung durch den Arbeitnehmer entsprechend.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1.4After the completion of the probationary period the employment may be terminated by either party with a notice period of six months to the end of a calendar month. If the notice period for a termination by the Company increases due to statutory law or other rules, the same extended notice period shall apply to termination by the Employee.</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1.5Eine ordentliche Kündigung des Arbeitsverhältnisses ist vor Beginn des Arbeitsverhältnisses ausgeschlossen. Für den Fall, dass der Arbeitnehmer das Arbeitsverhältnis rechtswidrig und schuldhaft nicht oder nicht rechtzeitig aufnimmt oder das Arbeitsverhältnis vertragswidrig beendet, hat der Arbeitnehmer eine Vertragsstrafe in Höhe der Hälfte eines festen monatlichen Bruttogehalts nach Ziffer 3.1 zu bezahlen. Weist der Arbeitnehmer einen geringeren Schaden nach, ist er verpflichtet, nur den geringeren Schaden an die Gesellschaft zu zahlen. Hiervon bleibt das Recht der Gesellschaft, einen weiteren Schaden oder andere Rechte geltend zu machen, unberührt.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1.6Notice of termination of the employment relationship before the commencement of the employment is excluded. If the Employee illegitimately and culpably does not begin the employment or not in time or in case of premature termination the Employee shall pay a contractual penalty in the amount of half of one fixed month's gross salary according to clause 3.1. The Employee is entitled to prove lower damages, in which case the Employee will only be obliged to pay the lower damages. The Company is also authorized to assert further damages or other rights.</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1.7Die Kündigung bedarf der Schriftform.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1.8Any notice of termination must be in writing.</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1.9Das Anstellungsverhältnis endet in jedem Fall, ohne dass es des Ausspruchs einer Kündigung bedarf, mit Ablauf des Monats, in dem der Arbeitnehmer (i) die Regelaltersgrenze der gesetzlichen Rentenversicherung erreicht hat und eine ungekürzte Rente wegen Alters beanspruchen kann oder (ii) ihm ein Bescheid über die Gewährung einer Rente wegen voller Erwerbsminderung zugestellt wird und der Arbeitnehmer nicht vor Ablauf der Widerspruchfrist seinen Antrag zurücknimmt oder auf eine Rente auf Zeit einschränkt; bei späterem Beginn der Rente endet das Anstellungsverhältnis mit Ablauf des Tages vor Beginn der Rentenzahlungen; der Arbeitnehmer ist verpflichtet, den Bescheid unverzüglich der Gesellschaft zu übermitteln. Gewährt der Sozialversicherungsträger eine Rente auf Zeit, so ruht der Arbeitsvertrag für den Bewilligungszeitraum dieser Rente, längstens jedoch bis zum Beendigungszeitpunkt nach Satz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1.10In any event the employment relationship shall end automatically, without the requirement for notice, on the expiry of the month in which the Employee (i) reaches the usual statutory pension insurance age and is entitled to an old-age pension (without reductions) or (ii) is served an official notification to be entitled to a pension due to permanent disability and the Employee does not withdraw his application within the objection period or limits his application to a temporary pension; if pension payment starts later, the employment ends at the end of the day prior to the beginning of the pension payment; the Employee shall inform the Company of such notification without undue delay. If the social security authority grants a temporary pension the employment will be suspended during the appropriation period, however no longer than the termination date according to sentence 1.</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74015"/>
                <wp:effectExtent l="0" t="0" r="0" b="0"/>
                <wp:wrapNone/>
                <wp:docPr id="48" name="Frame47"/>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04"/>
        <w:gridCol w:w="1847"/>
        <w:gridCol w:w="1852"/>
        <w:gridCol w:w="109"/>
        <w:gridCol w:w="109"/>
        <w:gridCol w:w="109"/>
        <w:gridCol w:w="430"/>
        <w:gridCol w:w="430"/>
        <w:gridCol w:w="430"/>
        <w:gridCol w:w="430"/>
        <w:gridCol w:w="430"/>
        <w:gridCol w:w="430"/>
        <w:gridCol w:w="430"/>
        <w:gridCol w:w="430"/>
        <w:gridCol w:w="635"/>
      </w:tblGrid>
      <w:tr>
        <w:trPr/>
        <w:tc>
          <w:tcPr>
            <w:tcW w:w="210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1.11Die Gesellschaft ist berechtigt, den Arbeitnehmer nach Ausspruch einer Kündigung nur unter Fortzahlung der festen, monatlichen Bruttovergütung gemäß Ziffer 3.1 vorübergehend oder dauerhaft von der Erbringung der Arbeitsleistung freizustellen, sofern ein sachlicher Grund für die Freistellung besteht (z. B. Gefahr der Konkurrenztätigkeit, Schutz von Betriebs- und Geschäftsgeheimnissen, sonstige Beeinträchtigung der Vertrauensgrundlage, Wegfall des Beschäftigungsbedarfs). Für Zeiten der Freistellung erhält der Arbeitnehmer in keinem Fall eine etwaige variable Vergütung. Auf eine unwiderrufliche Freistellung werden Urlaubs- und Freizeitausgleichsansprüche angerechnet. Während der Freistellung gilt § 615 S. 2 BGB. Der Arbeitnehmer ist verpflichtet, die Gesellschaft über die Aufnahme einer anderweitigen Tätigkeit und den diesbezüglichen ertragspartner/Arbeitgeber zu unterrichten. Dem Arbeitnehmer ist auch während der Freistellung jegliche Wettbewerbstätigkeit untersagt.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1.12After notice has been served the Company is entitled to temporarily or permanently release the Employee from his duty to work only by continuously paying his fixed monthly salary according to clause 3.1 to the extent that the release is objectively justified (eg risk of competitive activity, protection of company and business secrets, other impairment of the basis of trust, elimination of employment needs). During a release the Employee will, in any case, not receive any possible variable salary. In the case of permanent release any holiday or time off entitlement shall be set off. During the release section 615 sent. 2 German Civil Code applies. The Employee is obliged to inform the Company of the commencement of any other activity and the contractual partner/employer concerned. During the release the Employee shall refrain from any competing activities.</w:t>
            </w:r>
          </w:p>
        </w:tc>
      </w:tr>
      <w:tr>
        <w:trPr/>
        <w:tc>
          <w:tcPr>
            <w:tcW w:w="580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1.13Das Recht zur Beendigung des Arbeitsverhältnisses aus wichtigem Grund bleibt unberührt.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1.14The right to terminate the employment relationship for cause remains unaffected.</w:t>
            </w:r>
          </w:p>
        </w:tc>
      </w:tr>
      <w:tr>
        <w:trPr/>
        <w:tc>
          <w:tcPr>
            <w:tcW w:w="580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9.NUTZUNG UND RÜCKGABE VON BETRIEBSMITTELN, GEGENSTÄNDEN UND DATEN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88" w:before="0" w:after="240"/>
              <w:ind w:left="0" w:right="0" w:hanging="360"/>
              <w:jc w:val="both"/>
              <w:rPr>
                <w:rFonts w:ascii="sans-serif" w:hAnsi="sans-serif"/>
                <w:b/>
                <w:color w:val="000000"/>
                <w:sz w:val="22"/>
              </w:rPr>
            </w:pPr>
            <w:r>
              <w:rPr>
                <w:rFonts w:ascii="sans-serif" w:hAnsi="sans-serif"/>
                <w:b/>
                <w:color w:val="000000"/>
                <w:sz w:val="22"/>
              </w:rPr>
              <w:t>9USE AND RETURN OF COMPANY MEANS, ITEMS AND DATA</w:t>
            </w:r>
          </w:p>
        </w:tc>
      </w:tr>
      <w:tr>
        <w:trPr/>
        <w:tc>
          <w:tcPr>
            <w:tcW w:w="580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1.1Die von der Gesellschaft zur Verfügung gestellten Betriebsmittel dürfen nur zu dienstlichen Zwecken genutzt werden. Dies gilt insbesondere für den dienstlichen Zugang zum Internet und die Nutzung des dienstlichen Email-Accounts. Unternehmensfremde Daten dürfen ohne schriftliche Freigabe der Gesellschaft nicht heruntergeladen oder auf die Computersysteme der Gesellschaft übertragen werden. Die Nutzung von unternehmensfremden Speichermedien (z. B. USB-Sticks, DVDs, CD-ROMs, Clouds) ist ohne schriftliche Freigabe der Gesellschaft verboten.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1.2Working materials which have been provided by the Company shall be used only for business purposes. This applies in particular to the business access of internet and the business use of email accounts. Data that does not belong to the Company may not be downloaded or transferred into the computer systems of the Company without the written approval of the Company. The use of data carriers (eg USB sticks, DVDs, CD-ROMs, Clouds) not belonging to the Company is prohibited without the written approval of the Company.</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74015"/>
                <wp:effectExtent l="0" t="0" r="0" b="0"/>
                <wp:wrapNone/>
                <wp:docPr id="49" name="Frame48"/>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70"/>
        <w:gridCol w:w="1435"/>
        <w:gridCol w:w="1438"/>
        <w:gridCol w:w="109"/>
        <w:gridCol w:w="109"/>
        <w:gridCol w:w="109"/>
        <w:gridCol w:w="1741"/>
        <w:gridCol w:w="367"/>
        <w:gridCol w:w="367"/>
        <w:gridCol w:w="367"/>
        <w:gridCol w:w="367"/>
        <w:gridCol w:w="367"/>
        <w:gridCol w:w="367"/>
        <w:gridCol w:w="367"/>
        <w:gridCol w:w="525"/>
      </w:tblGrid>
      <w:tr>
        <w:trPr/>
        <w:tc>
          <w:tcPr>
            <w:tcW w:w="217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1.3Die Gesellschaft ist berechtigt, in unregelmäßigen oder regelmäßigen Abständen stichprobenartige Kontrollen der Einhaltung der jeweils für die Nutzung dieser Systeme geltenden Regelungen durchzuführen. Ferner kann die Gesellschaft derartige Kontrollen bei Vorliegen ausreichender tatsächlicher Verdachtsmomente für eine solchen Regelungen oder den diesbezüglichen Gesetzen widersprechende Nutzung durchführen.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1.4The Company may, in regular or irregular time periods, perform random controls of the Employee's compliance with the respective provisions applicable to the use of such systems. In addition, the Company may perform such controls in case of sufficient facts indicating a use contravening such provisions of the respective statutes.</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1.5Der Arbeitnehmer ist verpflichtet, alle im Eigentum der Gesellschaft oder Verbundener Unternehmen stehenden Gegenstände oder die dem Arbeitnehmer von der Gesellschaft oder von einem Verbundenen Unternehmen im Rahmen des Arbeitsverhältnisses überlassen wurden, insbesondere alle schriftlichen Arbeitsunterlagen, Pläne, Kundenlisten, Preiskalkulationen, Broschüren, Kopien, Notizen, Passwörter, Kredit- oder Zahlungskarten, Schlüssel, Datenträger, elektronische Daten sowie Hard- und Software, sorgfältig aufzubewahren und jederzeit auf Verlangen, spätestens bei Beendigung des Arbeitsverhältnisses, am Sitz der Gesellschaft an die Gesellschaft herauszugeben. Auf Verlangen der Gesellschaft bestätigt der Arbeitnehmer die vollständige Herausgabe schriftlich.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1.6The Employee shall keep carefully and shall return to the Company at its seat upon request at any time, at the latest at the termination of the employment, all items belonging to the Company or Affiliated Companies or which were provided to the Employee by the Company or Affiliated Companies in the course of the employment, in particular all written business documents, plans, lists of customers, price calculations, booklets, copies, notes, passwords, credit cards or other payment cards, keys, data carriers, electronic data as well as all software and hardware. At the request of the Company, the Employee will confirm the complete return in writing.</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1.7Der Arbeitnehmer ist verpflichtet, jederzeit auf Verlangen, spätestens bei Beendigung des Arbeitsverhältnisses, auf Datenträgern gespeicherte Daten (z. B. Emails, Software, Dateien) und Programme der Gesellschaft oder Verbundener Unternehmen oder die sonst dienstlicher Natur sind, die im unmittelbaren oder mittelbaren Besitz des Arbeitnehmers sind (einschließlich Clouds), auf die EDV-Anlage der Gesellschaft zu übertragen und auf allen seinen eigenen Datenträgern zu löschen. Auf Verlangen der Gesellschaft bestätigt der Arbeitnehmer die vollständige Übertragung und Löschung der Daten schriftlich.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1.8The Employee shall transfer all data (eg emails, software, files) and programs of the Company or Affiliated Companies or which is otherwise business related which is directly or indirectly owned by the Employee (including Clouds), to the Company's data processing facility and delete this data on all his own data carrier on request at any time, and at the latest on termination of the employment. At the request of the Company, the Employee will confirm the complete transfer and deletion of all data in writing.</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1.9Jegliche Geltendmachung eines Zurückbehaltungsrechts durch den Arbeitnehmer ist ausgeschlossen.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1.10The Employee shall have no right of retention.</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10.GEHEIMHALTUNG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10 CONFIDENTIALITY</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74015"/>
                <wp:effectExtent l="0" t="0" r="0" b="0"/>
                <wp:wrapNone/>
                <wp:docPr id="50" name="Frame49"/>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56"/>
        <w:gridCol w:w="1573"/>
        <w:gridCol w:w="1578"/>
        <w:gridCol w:w="109"/>
        <w:gridCol w:w="109"/>
        <w:gridCol w:w="109"/>
        <w:gridCol w:w="1254"/>
        <w:gridCol w:w="382"/>
        <w:gridCol w:w="382"/>
        <w:gridCol w:w="382"/>
        <w:gridCol w:w="382"/>
        <w:gridCol w:w="382"/>
        <w:gridCol w:w="382"/>
        <w:gridCol w:w="382"/>
        <w:gridCol w:w="543"/>
      </w:tblGrid>
      <w:tr>
        <w:trPr/>
        <w:tc>
          <w:tcPr>
            <w:tcW w:w="225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1.1Der Arbeitnehmer ist verpflichtet, während der Dauer des Arbeitsverhältnisses über alle dem Arbeitnehmer anvertrauten, zugänglich gemachten oder sonst bekannt gewordenen Betriebs- und Geschäftsgeheimnisse (einschließlich aller anderen, nicht öffentlich bekannten Angelegenheiten) der Gesellschaft oder Verbundener Unternehmen strenges Stillschweigen gegenüber Dritten zu bewahren und solche Betriebs- und Geschäftsgeheimnisse (einschließlich aller anderen, nicht öffentlich bekannten Angelegenheiten) auch nicht selbst zu verwerten. Dies gilt nicht, soweit der Arbeitnehmer aufgrund gesetzlicher Verpflichtung, z. B. gegenüber einer Behörde (z. B. Finanzamt) zur Offenlegung solcher Geheimnisse verpflichtet ist oder die Offenlegung zur Wahrung von Rechtsansprüchen gegenüber Gerichten erforderlich ist. Sobald dem Arbeitnehmer bekannt wird, dass er im Sinne dieser Ziffer zur Offenlegung verpflichtet bzw. die Offenlegung erforderlich ist, wird er die Gesellschaft unverzüglich informieren.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Employee shall not, during the term of the employment, disclose to any third party any of the Company's or any Affiliated Companies` business or operational secrets (including any other information not known to the public) that have been entrusted or otherwise become known to the Employee, and the Employee will not utilise such business or operational secrets (including any other matters that are not known to the public) for the Employee. This shall not apply to the extent that the Employee is obliged to disclose such secrets due to statutory law, eg to the authorities (eg the revenue service) or the disclosure is required in order to pursue legal claims before a court. As soon as the Employee becomes aware that he is obliged to disclose or a disclosure is required in the meaning of this clause the Employee shall notify the Company without undue delay.</w:t>
            </w:r>
          </w:p>
        </w:tc>
      </w:tr>
      <w:tr>
        <w:trPr/>
        <w:tc>
          <w:tcPr>
            <w:tcW w:w="5407"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1.3Diese Verpflichtung gilt auch für einen Zeitraum von 2 Jahren nach Beendigung des Arbeitsverhältnisses fort. Sollte die nachvertragliche Geheimhaltungspflicht den Arbeitnehmer in seinem beruflichen Fortkommen unangemessen behindern, hat der Arbeitnehmer gegen die Gesellschaft einen Anspruch auf Freistellung von dieser Pflicht.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1.4This obligation shall also continue to apply after the end of the employment relationship for a period of two year If the post-contractual confidentiality obligation constitutes an unreasonable obstacle for the Employee's professional advancement, the Employee shall be entitled to be released from this obligation by the Company.</w:t>
            </w:r>
          </w:p>
        </w:tc>
      </w:tr>
      <w:tr>
        <w:trPr/>
        <w:tc>
          <w:tcPr>
            <w:tcW w:w="5407"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11.WETTBEWERBSVERBOT, NACHVERTRAGLICHES ABWERBEVERBOT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9"/>
            <w:tcBorders/>
            <w:tcMar>
              <w:top w:w="0" w:type="dxa"/>
              <w:left w:w="0" w:type="dxa"/>
              <w:bottom w:w="0" w:type="dxa"/>
              <w:right w:w="0" w:type="dxa"/>
            </w:tcMar>
            <w:vAlign w:val="center"/>
          </w:tcPr>
          <w:p>
            <w:pPr>
              <w:pStyle w:val="TableContents"/>
              <w:bidi w:val="0"/>
              <w:spacing w:lineRule="auto" w:line="288" w:before="0" w:after="240"/>
              <w:ind w:left="0" w:right="0" w:hanging="720"/>
              <w:jc w:val="both"/>
              <w:rPr/>
            </w:pPr>
            <w:r>
              <w:rPr>
                <w:rFonts w:ascii="Times New Roman;serif" w:hAnsi="Times New Roman;serif"/>
                <w:b/>
                <w:color w:val="000000"/>
                <w:sz w:val="22"/>
              </w:rPr>
              <w:t>1.</w:t>
            </w:r>
            <w:r>
              <w:rPr>
                <w:rFonts w:ascii="sans-serif" w:hAnsi="sans-serif"/>
                <w:b/>
                <w:color w:val="000000"/>
                <w:sz w:val="22"/>
              </w:rPr>
              <w:t>11 NON-COMPETE, POST-CONTRACTUAL NON-SOLICITATION</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74015"/>
                <wp:effectExtent l="0" t="0" r="0" b="0"/>
                <wp:wrapNone/>
                <wp:docPr id="51" name="Frame50"/>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44"/>
        <w:gridCol w:w="1582"/>
        <w:gridCol w:w="1585"/>
        <w:gridCol w:w="109"/>
        <w:gridCol w:w="109"/>
        <w:gridCol w:w="109"/>
        <w:gridCol w:w="1004"/>
        <w:gridCol w:w="445"/>
        <w:gridCol w:w="445"/>
        <w:gridCol w:w="445"/>
        <w:gridCol w:w="445"/>
        <w:gridCol w:w="445"/>
        <w:gridCol w:w="445"/>
        <w:gridCol w:w="445"/>
        <w:gridCol w:w="648"/>
      </w:tblGrid>
      <w:tr>
        <w:trPr/>
        <w:tc>
          <w:tcPr>
            <w:tcW w:w="194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1.1Dem Arbeitnehmer ist es untersagt, während der Dauer des Arbeitsverhältnisses in selbständiger, unselbständiger oder sonstiger Weise für ein Unternehmen tätig zu werden, das mit der Gesellschaft im direkten oder indirekten Wettbewerb steht. In gleicher Weise ist es dem Arbeitnehmer untersagt, während der Dauer des Arbeitsverhältnisses, ein solches Unternehmen zu errichten, zu erwerben oder sich an einem solchen unmittelbar oder mittelbar zu beteiligen. Hiervon ausgenommen sind geringfügige Beteiligungen von höchstens 3% des Stammkapitals an Gesellschaften, deren Anteile an einer regulierten Börse gehandelt werden.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1.2During the term of the employment relationship the Employee shall refrain from any activity on a self-employed, employed or in any other basis for a company competing directly or indirectly with the Company. In the same way the Employee shall, during the term the employment relationship, refrain from establishing, acquiring or participating directly or indirectly in such a company. This shall not apply to small investments of up to 3% of the share capital of companies whose shares are listed at a due stock exchange.</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1.3Während der Laufzeit des Arbeitsverhältnisses sowie für die Dauer von 12 Monaten nach Beendigung des Arbeitsverhältnisses ist es dem Arbeitnehmer untersagt, andere Arbeitnehmer der Gesellschaft abzuwerben oder dazu zu veranlassen, ihr Arbeitsverhältnis mit der Gesellschaft zu kündigen oder ein neues oder zusätzliches Arbeitsverhältnis oder ähnliches Verhältnis mit einem anderen Arbeitgeber oder Auftraggeber einzugehen. Der Arbeitnehmer erhält für das Abwerbeverbot keine finanzielle Entschädigung.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1.4During the term of the employment relationship and for a term of 12 months following the end of the employment relationship the Employee shall not induce or solicit any employee of the Company to terminate their employment with the Company or enter into new or additional employment or any similar relationship with another employer or a customer. The Employee shall not receive a financial compensation for the non-solicitation obligation.</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12.NEBENTÄTIGKEITEN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9"/>
            <w:tcBorders/>
            <w:tcMar>
              <w:top w:w="0" w:type="dxa"/>
              <w:left w:w="0" w:type="dxa"/>
              <w:bottom w:w="0" w:type="dxa"/>
              <w:right w:w="0" w:type="dxa"/>
            </w:tcMar>
            <w:vAlign w:val="center"/>
          </w:tcPr>
          <w:p>
            <w:pPr>
              <w:pStyle w:val="TableContents"/>
              <w:bidi w:val="0"/>
              <w:spacing w:lineRule="auto" w:line="288" w:before="0" w:after="240"/>
              <w:ind w:left="0" w:right="0" w:hanging="360"/>
              <w:jc w:val="both"/>
              <w:rPr>
                <w:rFonts w:ascii="sans-serif" w:hAnsi="sans-serif"/>
                <w:b/>
                <w:color w:val="000000"/>
                <w:sz w:val="22"/>
              </w:rPr>
            </w:pPr>
            <w:r>
              <w:rPr>
                <w:rFonts w:ascii="sans-serif" w:hAnsi="sans-serif"/>
                <w:b/>
                <w:color w:val="000000"/>
                <w:sz w:val="22"/>
              </w:rPr>
              <w:t>12ADDITIONAL OCCUPATION</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1.1Die Aufnahme einer sonstigen Nebentätigkeit, bezahlt oder unbezahlt, die die Arbeitsfähigkeit des Arbeitnehmers oder die Interessen der Gesellschaft beeinträchtigen könnte, bedarf der vorherigen schriftlichen Zustimmung der Gesellschaft. Gleiches gilt für die Fortsetzung entsprechender Nebentätigkeiten, die der Arbeitnehmer bereits vor dem Beginn des Arbeitsverhältnisses ausgeübt hat. Die Gesellschaft wird die Erteilung der Zustimmung im Rahmen billigen Ermessens prüfen. Die Gesellschaft kann im Rahmen billigen Ermessens jederzeit, ggf. unter Wahrung einer angemessenen Ankündigungsfrist, die Zustimmung widerrufen.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express written prior consent of the Company is required for any additional occupation, paid or unpaid, taken on by the Employee that could adversely affect the Employee's capacity to work or that might affect the Company's interests. This also applies to the continuation of such additional occupation which the Employee has already performed at the commencement of this employment relationship. The Company will act reasonable in exercising its discretion to give consent. The Company may revoke the consent at its reasonable discretion at any time, where appropriate within a reasonable period of notice.</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1.3Auch Veröffentlichungen und Vorträge des Arbeitnehmers bedürfen der vorherigen schriftlichen Zustimmung der Gesellschaft, wenn sie berechtigte Interessen der Gesellschaft betreffen können.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1.4Also any article for publication or any public speech or statement by the Employee requires the prior written consent of the Company if these may affect a legitimate interest of the Company.</w:t>
            </w:r>
          </w:p>
        </w:tc>
      </w:tr>
      <w:tr>
        <w:trPr/>
        <w:tc>
          <w:tcPr>
            <w:tcW w:w="5111"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13.VERTRAGSSTRAFE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13 PENALTY</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74015"/>
                <wp:effectExtent l="0" t="0" r="0" b="0"/>
                <wp:wrapNone/>
                <wp:docPr id="52" name="Frame51"/>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28"/>
        <w:gridCol w:w="1784"/>
        <w:gridCol w:w="1788"/>
        <w:gridCol w:w="109"/>
        <w:gridCol w:w="109"/>
        <w:gridCol w:w="109"/>
        <w:gridCol w:w="850"/>
        <w:gridCol w:w="404"/>
        <w:gridCol w:w="404"/>
        <w:gridCol w:w="404"/>
        <w:gridCol w:w="404"/>
        <w:gridCol w:w="404"/>
        <w:gridCol w:w="404"/>
        <w:gridCol w:w="404"/>
        <w:gridCol w:w="600"/>
      </w:tblGrid>
      <w:tr>
        <w:trPr/>
        <w:tc>
          <w:tcPr>
            <w:tcW w:w="202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1.1Im Falle einer Zuwiderhandlung gegen das Wettbewerbsverbot aus Ziffer 11.1, das Abwerbeverbot gemäß Ziffer 11.3 oder die Geheimhaltungspflicht aus Ziffer 10 ist der Arbeitnehmer jeweils verpflichtet, an die Gesellschaft eine Vertragsstrafe in Höhe des letzten Bruttomonatsgehalts zu zahlen.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1.2In the event of a breach of the non-compete according to clause 11.2, the non-solicitation obligation according to clause 11.4, or the confidentiality obligation according to clause 0 the Employee shall pay a penalty to the Company in the amount of the last gross monthly salary in each individual case.</w:t>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1.3Besteht die Zuwiderhandlung in der kapitalmäßigen Beteiligung an einem Wettbewerbsunternehmen oder der Eingehung eines Dauerschuldverhältnisses (z. B. Arbeits-, Dienst-, Handelsvertreter oder Beraterverhältnis), wird die Vertragsstrafe für jeden angefangenen Monat, in dem die kapitalmäßige Beteiligung oder das Dauerschuldverhältnis besteht, neu verwirkt (</w:t>
            </w:r>
            <w:r>
              <w:rPr>
                <w:rFonts w:ascii="sans-serif" w:hAnsi="sans-serif"/>
                <w:b/>
                <w:color w:val="000000"/>
                <w:sz w:val="22"/>
              </w:rPr>
              <w:t>"Dauerverletzung"</w:t>
            </w:r>
            <w:r>
              <w:rPr>
                <w:rFonts w:ascii="sans-serif" w:hAnsi="sans-serif"/>
                <w:b w:val="false"/>
                <w:color w:val="000000"/>
                <w:sz w:val="22"/>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pPr>
            <w:r>
              <w:rPr>
                <w:rFonts w:ascii="sans-serif" w:hAnsi="sans-serif"/>
                <w:b w:val="false"/>
                <w:color w:val="000000"/>
                <w:sz w:val="22"/>
              </w:rPr>
              <w:t>1.4If the breach consists of a capital participation in a competitor company or of entering into a continuing obligation (eg employment, service, commercial agent or consultancy relationship), the contractual penalty is forfeited anew for each new month in which the capital participation or the continuing obligation exists (</w:t>
            </w:r>
            <w:r>
              <w:rPr>
                <w:rFonts w:ascii="sans-serif" w:hAnsi="sans-serif"/>
                <w:b/>
                <w:color w:val="000000"/>
                <w:sz w:val="22"/>
              </w:rPr>
              <w:t>"Permanent Breach"</w:t>
            </w:r>
            <w:r>
              <w:rPr>
                <w:rFonts w:ascii="sans-serif" w:hAnsi="sans-serif"/>
                <w:b w:val="false"/>
                <w:color w:val="000000"/>
                <w:sz w:val="22"/>
              </w:rPr>
              <w:t xml:space="preserve">). </w:t>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1.5Mehrere Verletzungshandlungen lösen jeweils gesonderte Vertragsstrafen aus, gegebenenfalls auch mehrfach innerhalb eines Monats. Erfolgen dagegen einzelne Verletzungshandlungen im Rahmen einer Dauerverletzung, sind sie von der für die Dauerverletzung verwirkten Strafe mit umfasst.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1.6Several acts of breaches trigger in each case separate contractual penalties, if applicable several times within one month. If, on the other hand, individual breaches occur within the framework of a Permanent Breach, they are also covered by the penalty forfeited for the Permanent Breach.</w:t>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1.7Hierbei ist das zum Zeitpunkt des Verstoßes jeweils geltende Bruttomonatsfestgehalt oder im Falle einer Zuwiderhandlung nach Vertragsende das letzte Bruttomonatsfestgehalt vor Beendigung des Arbeitsverhältnisses, inklusive einer etwaigen durchschnittlichen variablen Bruttovergütung der letzten 12 Monate, maßgeblich.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 xml:space="preserve">1.8The last gross monthly base salary at the time of the breach or in the case of a breach after the end of the employment, the last gross monthly base salary prior to the end of the employment, including the average gross variable remuneration of the last 12 months, if any, shall apply in this regard. </w:t>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1.9Weist der Arbeitnehmer einen geringeren Schaden im Zusammenhang mit einer Zuwiderhandlung nach, ist er verpflichtet, nur den geringeren Schaden an die Gesellschaft zu zahlen. Die Gesellschaft kann auch einen höheren Schaden sowie sonstige Rechte (z. B. Unterlassungsansprüche) geltend machen.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1.10The Employee is entitled to prove lower damages arising from the breach, in which case the Employee will only be obliged to pay the lower damages. The Company can also claim higher damages and exercise other rights (eg injunctive reliefs).</w:t>
            </w:r>
          </w:p>
        </w:tc>
      </w:tr>
      <w:tr>
        <w:trPr/>
        <w:tc>
          <w:tcPr>
            <w:tcW w:w="560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14.VORAUSZAHLUNGEN, ÜBERZAHLUNGEN UND DARLEHEN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14 ADVANCE PAYMENTS, OVERPAYMENTS AND LOANS</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74015"/>
                <wp:effectExtent l="0" t="0" r="0" b="0"/>
                <wp:wrapNone/>
                <wp:docPr id="53" name="Frame52"/>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82"/>
        <w:gridCol w:w="1341"/>
        <w:gridCol w:w="1346"/>
        <w:gridCol w:w="109"/>
        <w:gridCol w:w="109"/>
        <w:gridCol w:w="109"/>
        <w:gridCol w:w="1214"/>
        <w:gridCol w:w="354"/>
        <w:gridCol w:w="354"/>
        <w:gridCol w:w="354"/>
        <w:gridCol w:w="354"/>
        <w:gridCol w:w="354"/>
        <w:gridCol w:w="354"/>
        <w:gridCol w:w="354"/>
        <w:gridCol w:w="517"/>
      </w:tblGrid>
      <w:tr>
        <w:trPr/>
        <w:tc>
          <w:tcPr>
            <w:tcW w:w="298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1.1Vorschüsse und Überzahlungen für Reisekosten, Provisionen, Vergütung oder Ähnliches, und Darlehen, die die Gesellschaft an den Arbeitnehmer gezahlt hat, werden mit der Beendigung des Arbeitsverhältnisses hinsichtlich des noch offenen Restbetrages ohne Rücksicht auf die bei der Hingabe der Leistungen getroffenen Vereinbarungen fällig, es sei denn, dass die Gesellschaft das Arbeitsverhältnis aus betriebsbedingten Gründen gekündigt oder der Arbeitnehmer aus einem von der Gesellschaft zu vertretenden Grund außerordentlich gekündigt hat.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1.2Advances and overpayments for travel expenses, commissions, remuneration or similar, and loan of money awarded to the Employee by the Company mature immediately according to the remaining amount not repaid on the termination of the employment relationship regardless of the agreements made by the time of granting. This shall not apply if the employment relationship is terminated for operational reasons or if the Employee resigned for cause, caused by the Company.</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1.3Der Arbeitnehmer ist verpflichtet, etwaige Zahlungen nach Ziffer 14.1 auch dann an die Gesellschaft zurückzuzahlen, wenn der Arbeitnehmer diese Zahlungen bereits verbraucht hat. Der Einwand des Wegfalls der Bereicherung gemäß § 818 Abs. 3 BGB ist ausgeschlossen.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1.4The Employee shall pay back to the Company any payments according to clause 14.2, even if the Employee has already spent these amounts. The defence to claim the omission of enrichment provided under section 818 para. 3 German Civil Code is excluded.</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15.ERFINDUNGEN, TECHNISCHE VERBESSERUNGEN, URHEBER- DESIGN- UND MARKENRECHTE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88" w:before="0" w:after="240"/>
              <w:ind w:left="0" w:right="0" w:hanging="360"/>
              <w:jc w:val="both"/>
              <w:rPr>
                <w:rFonts w:ascii="sans-serif" w:hAnsi="sans-serif"/>
                <w:b/>
                <w:color w:val="000000"/>
                <w:sz w:val="22"/>
              </w:rPr>
            </w:pPr>
            <w:r>
              <w:rPr>
                <w:rFonts w:ascii="sans-serif" w:hAnsi="sans-serif"/>
                <w:b/>
                <w:color w:val="000000"/>
                <w:sz w:val="22"/>
              </w:rPr>
              <w:t>15INVENTIONS, TECHNICAL IMPROVEMENTS, COPYRIGHT, DESIGN AND TRADE MARK RIGHTS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1.1Die zwingenden Vorschriften des Arbeitnehmererfindungsgesetzes (ArbnErfG) bleiben unberührt.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obligatory provisions of the German Employee's Inventions Act shall remain unaffected.</w:t>
            </w:r>
          </w:p>
        </w:tc>
      </w:tr>
      <w:tr>
        <w:trPr/>
        <w:tc>
          <w:tcPr>
            <w:tcW w:w="566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Hinsichtlich der von dem Arbeitnehmer getätigten Erfindungen und technischen Verbesserungsvorschlägen ergeben sich für beide Parteien bestimmte Rechte und Pflichten aus dem ArbnErfG. Insbesondere hat der Arbeitnehmer von ihm getätigte Erfindungen oder technische Verbesserungsvorschläge unverzüglich der Gesellschaft in Textform zu melden. Nimmt die Gesellschaft die Erfindung in Anspruch bzw. verwertet sie den technischen Verbesserungsvorschlag, gehen die Rechte an der Erfindung oder an dem technischen Verbesserungsvorschlag auf die Gesellschaft über. In diesem Fall hat der Arbeitnehmer gemäß ArbnErfG einen Anspruch auf eine angemessene Vergütung gegen die Gesellschaft zusätzlich zu der unter Ziffer 3 dieses Arbeitsvertrages geregelten Vergütung.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With regard to inventions and technical improvements made by the Employee, certain rights and obligations arise from the German Employee's Inventions Act for both parties. In particular, the Employee shall notify the Company immediately in textual form about any invention or technical improvement the Employee made. The rights to the invention or technical improvement are transferred to the Company if the Company claims the invention or exploits the improvement. In this case, the Employee can claim a reasonable remuneration from the Company according to the provisions of the German Employee's Inventions Act in addition to the salary according to clause 3 of this Contract of Employment.</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74015"/>
                <wp:effectExtent l="0" t="0" r="0" b="0"/>
                <wp:wrapNone/>
                <wp:docPr id="54" name="Frame53"/>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22"/>
        <w:gridCol w:w="1725"/>
        <w:gridCol w:w="1727"/>
        <w:gridCol w:w="109"/>
        <w:gridCol w:w="109"/>
        <w:gridCol w:w="109"/>
        <w:gridCol w:w="613"/>
        <w:gridCol w:w="424"/>
        <w:gridCol w:w="424"/>
        <w:gridCol w:w="424"/>
        <w:gridCol w:w="424"/>
        <w:gridCol w:w="424"/>
        <w:gridCol w:w="424"/>
        <w:gridCol w:w="424"/>
        <w:gridCol w:w="623"/>
      </w:tblGrid>
      <w:tr>
        <w:trPr/>
        <w:tc>
          <w:tcPr>
            <w:tcW w:w="222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567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Der Arbeitnehmer verpflichtet sich, auch betriebsbezogene freie Erfindungen unverzüglich der Gesellschaft in Textform zu melden und dieser zumindest eine nicht-ausschließliche Lizenz zur Nutzung zu angemessenen Bedingungen anzubieten.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The Employee undertakes to notify the Company immediately about free inventions related to his employment with the Company in textual form and to offer the Company at least a non-exclusive license to use the free inventions under reasonable conditions.</w:t>
            </w:r>
          </w:p>
        </w:tc>
      </w:tr>
      <w:tr>
        <w:trPr/>
        <w:tc>
          <w:tcPr>
            <w:tcW w:w="567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1.3Der Arbeitnehmer erteilt hiermit an die Gesellschaft eine weltweite unbeschränkte unterlizenzierbare kostenlose und ausschließliche Lizenz an den Urheberrechten an seinen Arbeitsergebnissen. Diese Lizenz umfasst die Nutzungs- und Verwertungsrechte an den Arbeitsergebnissen, d. h. unter anderem das Recht, die Arbeitsergebnisse zu bearbeiten und umzugestalten, diese in Original-, bearbeiteter und umgestalteter Fassung zu vervielfältigen, zu verbreiten, auszustellen, zu senden und wiederzugeben. Der Arbeitnehmer verzichtet ausdrücklich auf die Geltendmachung seiner Urheberpersönlichkeitsrechte an seinen Arbeitsergebnissen in Original-, bearbeiteter und umgestalteter Form, einschließlich aber nicht beschränkt auf das Recht zur Namensnennung und das Recht der öffentlichen Zugänglichmachung.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1.4The Employee hereby grants to the Company the worldwide, unrestricted, sublicensable, free, and exclusive license to the copyrights on his work results. This license comprises the right of the Company to utilize and exploit the work results, ie inter alia the right to edit, to amend, to copy, to distribute, to exhibit, to broadcast and to reproduce work results in original, edited and amended form. The Employee explicitly waives to enforce his moral rights as author of the work results in original, edited and amended form, including but not limited to the right to be named as author and the right to make the work results publicly available.</w:t>
            </w:r>
          </w:p>
        </w:tc>
      </w:tr>
      <w:tr>
        <w:trPr/>
        <w:tc>
          <w:tcPr>
            <w:tcW w:w="567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Die lizenzierten Rechte dürfen von der Gesellschaft ganz oder teilweise, ausschließlich oder nicht-ausschließlich an Dritte unterlizenziert werden ohne Mitteilung oder zusätzlichem Einverständnis des Arbeitnehmers.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The licensed rights can be sublicensed by the Company completely or partly, exclusively or non-exclusively to any third party without notification or further consent of the Employee.</w:t>
            </w:r>
          </w:p>
        </w:tc>
      </w:tr>
      <w:tr>
        <w:trPr/>
        <w:tc>
          <w:tcPr>
            <w:tcW w:w="567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 69b Urheberrechtsgesetz (Urheber in Arbeits- und Dienstverhältnissen) bleibt von diesem Arbeitsvertrag unberührt.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 xml:space="preserve">Section 69b German Copyright Act (originator in employment and service relationships) shall remain unaffected by this Contract of Employment. </w:t>
            </w:r>
          </w:p>
        </w:tc>
      </w:tr>
      <w:tr>
        <w:trPr/>
        <w:tc>
          <w:tcPr>
            <w:tcW w:w="567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1.5Der Arbeitnehmer überträgt hiermit der Gesellschaft alle an seinen Arbeitsergebnissen bestehenden Marken-, Design- und Geschmacksmusterrechte.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1.6The Employee hereby transfers to the Company all trademark and design rights to his work results.</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74015"/>
                <wp:effectExtent l="0" t="0" r="0" b="0"/>
                <wp:wrapNone/>
                <wp:docPr id="55" name="Frame54"/>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66"/>
        <w:gridCol w:w="1614"/>
        <w:gridCol w:w="1616"/>
        <w:gridCol w:w="109"/>
        <w:gridCol w:w="109"/>
        <w:gridCol w:w="109"/>
        <w:gridCol w:w="1506"/>
        <w:gridCol w:w="377"/>
        <w:gridCol w:w="377"/>
        <w:gridCol w:w="377"/>
        <w:gridCol w:w="377"/>
        <w:gridCol w:w="377"/>
        <w:gridCol w:w="377"/>
        <w:gridCol w:w="377"/>
        <w:gridCol w:w="537"/>
      </w:tblGrid>
      <w:tr>
        <w:trPr/>
        <w:tc>
          <w:tcPr>
            <w:tcW w:w="196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1.7Bezüglich der Übertragung und/oder Lizenzierung von Urheber-, Marken-, Design- und Geschmacksmusterrechten sowie für die Erfüllung von Mitwirkungspflichten und für jegliche sonstige Tätigkeit im Zusammenhang mit dieser Übertragung und/oder Lizenzierung von Rechten gemäß Ziffern 15.1 bis 15.5 erhält der Arbeitnehmer während der Dauer des Arbeitsverhältnisses keine weitere Vergütung neben der unter Ziffer 3 geregelten Vergütung.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1.8With regard to the transfer and/or license of copyrights, trademarks, and designs as well as for the fulfilment of the obligations to cooperate and for any other activity connected to the transfer and/or license of rights according to clauses 15.2 to 15.6, the Employee shall not be entitled to any payment during the term of employment other than his salary according to clause 3.</w:t>
            </w:r>
          </w:p>
        </w:tc>
      </w:tr>
      <w:tr>
        <w:trPr/>
        <w:tc>
          <w:tcPr>
            <w:tcW w:w="5196"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Die Nutzung und Verwertung dieser Arbeitsergebnisse ist mit der unter Ziffer 3 geregelten Vergütung ebenfalls abgegolten.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2"/>
              </w:rPr>
              <w:t>1.1</w:t>
            </w:r>
            <w:r>
              <w:rPr>
                <w:rFonts w:ascii="sans-serif" w:hAnsi="sans-serif"/>
                <w:b w:val="false"/>
                <w:color w:val="000000"/>
                <w:sz w:val="22"/>
              </w:rPr>
              <w:t>Any utilization and exploitation of these work results shall also be compensated by the Employee's salary according to clause 3.</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1.9Die Gesellschaft nimmt die Rechteübertragungen und Rechteeinräumungen gemäß Ziffern 15.1 bis 15.5 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1.10The Company accepts the transfers and assignments of rights according to clauses 15.2 to 15.6.</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16.GEHALTSABTRETUNG UND (VER)PFÄNDUNG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16 PLEDGING OF SALARY AND ASSIGNMENT</w:t>
            </w:r>
          </w:p>
        </w:tc>
      </w:tr>
      <w:tr>
        <w:trPr/>
        <w:tc>
          <w:tcPr>
            <w:tcW w:w="51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Die Verpfändung, Pfändung oder Abtretung der Vergütungsansprüche des Arbeitnehmers ist nur nach vorheriger schriftlicher Zustimmung der Gesellschaft zulässig. Die Gesellschaft wird die Erteilung der Zustimmung im Rahmen billigen Ermessens prüfen. Soweit die Gesellschaft zugestimmt hat, hat der Arbeitnehmer die durch die Pfändung, Verpfändung oder Abtretung erwachsenen Kosten zu tragen. Die zu ersetzenden Kosten sind pauschaliert und betragen je zu berechnender Pfändung, Verpfändung oder Abtretung EUR 25,00.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Pledging or assignment of salary claims is permissible only with the Company's prior written consent. The Company will act reasonable in exercising its discretion to give consent. If the Company gives the consent the Employee shall be obliged to bear the costs arising through garnishment, pledging, assignment or any attachment of earnings. The costs to be reimbursed shall be paid in a flat-rate fee and shall amount to EUR 25.00 for every garnishment, pledging, assignment or any attachment of earnings charged</w:t>
            </w:r>
          </w:p>
        </w:tc>
      </w:tr>
      <w:tr>
        <w:trPr/>
        <w:tc>
          <w:tcPr>
            <w:tcW w:w="5196"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Die Pauschale wird nicht erhoben, wenn der Arbeitnehmer nachweist, dass ein Schaden überhaupt nicht oder nur wesentlich niedriger als die Pauschale entstanden ist. Die Gesellschaft ist berechtigt, bei Nachweis höherer tatsächlicher Kosten, diese in Ansatz zu bringen.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The flat-rate fee shall not be levied if the Employee provides evidence that no loss at all has been suffered, or one which is significantly lower than the flat-rate amount. The Company shall be entitled to claim for reimbursement of higher actual costs upon providing evidence of the same.</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17.RICHTLINIEN DER GESELLSCHAFT, GELTUNG VON KOLLEKTIVEN UND BETRIEBLICHEN REGELUNGEN SOWIE ABWEICHUNG VOM GÜNSTIGKEITSPRINZIP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17 COMPANY RULES AND PROCEDURES, APPLICATION OF WORKS AND OTHER OPERATIONAL AGREEMENTS AND DEVIATION FROM THE FAVOURABILITY PRINCIPLE</w:t>
            </w:r>
          </w:p>
        </w:tc>
      </w:tr>
      <w:tr>
        <w:trPr/>
        <w:tc>
          <w:tcPr>
            <w:tcW w:w="5196"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1.1Auf das Arbeitsverhältnis finden die jeweils gültigen Richtlinien der Gesellschaft Anwendung, soweit der Arbeitnehmer in deren Geltungsbereich fällt.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1.2The Company's policies effective from time to time shall apply to the employment to the extent that the Employee falls within its scope.</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74015"/>
                <wp:effectExtent l="0" t="0" r="0" b="0"/>
                <wp:wrapNone/>
                <wp:docPr id="56" name="Frame55"/>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39"/>
        <w:gridCol w:w="1704"/>
        <w:gridCol w:w="1707"/>
        <w:gridCol w:w="109"/>
        <w:gridCol w:w="109"/>
        <w:gridCol w:w="109"/>
        <w:gridCol w:w="478"/>
        <w:gridCol w:w="478"/>
        <w:gridCol w:w="478"/>
        <w:gridCol w:w="478"/>
        <w:gridCol w:w="478"/>
        <w:gridCol w:w="478"/>
        <w:gridCol w:w="478"/>
        <w:gridCol w:w="478"/>
        <w:gridCol w:w="704"/>
      </w:tblGrid>
      <w:tr>
        <w:trPr/>
        <w:tc>
          <w:tcPr>
            <w:tcW w:w="193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18.AUSSCHLUSSFRISTEN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88" w:before="0" w:after="240"/>
              <w:ind w:left="0" w:right="0" w:hanging="720"/>
              <w:jc w:val="both"/>
              <w:rPr>
                <w:rFonts w:ascii="sans-serif" w:hAnsi="sans-serif"/>
                <w:b/>
                <w:color w:val="000000"/>
                <w:sz w:val="22"/>
              </w:rPr>
            </w:pPr>
            <w:r>
              <w:rPr>
                <w:rFonts w:ascii="sans-serif" w:hAnsi="sans-serif"/>
                <w:b/>
                <w:color w:val="000000"/>
                <w:sz w:val="22"/>
              </w:rPr>
              <w:t>18FORFEITURE PERIODS</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1.1Alle Ansprüche aus diesem Arbeitsvertrag sind innerhalb von 3 Monaten nach Fälligkeit in Textform geltend zu machen. Ansprüche, die nicht innerhalb dieser Frist geltend gemacht werden, verfallen.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1.2All claims arising out of this Contract of Employment must be pursued in textual form within three months of their due date. Claims that are not pursued within this period will be forfeited.</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1.3Lehnt die Gegenpartei den Anspruch in Textform ab oder erklärt sie sich nicht innerhalb von 2 Wochen nach der Geltendmachung des Anspruchs, so verfällt dieser, wenn er nicht innerhalb von 3 Monaten nach der Ablehnung oder dem Fristablauf gerichtlich geltend gemacht wird.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1.4If one party denies the claim of the right in textual form or if the party does not answer within two weeks after the claim has been brought to the attention of the other party, the claim shall be brought to court within three months after denial or deadline expiry, otherwise the claim will be forfeited.</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1.5Ziffern 18.1 und 18.3 gelten nicht für Ansprüche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1.6Clauses 18.2 and 18.4 shall not apply to claims</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(a)auf das gesetzliche Mindestentgelt,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(b)for statutory minimum wage,</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(c)aufgrund einer Haftung einer Partei wegen Vorsatzes,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(d)of a party based on liability for intentional actions,</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(e)auf die die Parteien nicht oder nicht ohne Beteiligung Dritter verzichten können,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(f)which cannot be waived by the parties or not without the participation of third parties,</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(g)aufgrund einer Haftung einer Partei für Schäden aus der Verletzung des Lebens, des Körpers oder Gesundheit, die auf einer fahrlässigen Pflichtverletzung einer Partei oder einer vorsätzlichen oder fahrlässigen Pflichtverletzung eines gesetzlichen Vertreters oder Erfüllungsgehilfen einer Partei beruhen,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(h)of a party based on liabilities for damages in case of death, physical injury or damages to health resulting from a negligent breach of duty of a party or an intentional or negligent breach of duty of a legal representative or an agent of a party,</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(i)aufgrund einer Haftung einer Partei für sonstige Schäden, die auf einer vorsätzlichen oder grob fahrlässigen Pflichtverletzung einer Partei oder einer vorsätzlichen oder grob fahrlässigen Pflichtverletzung eines gesetzlichen Vertreters oder Erfüllungsgehilfen einer Partei beruhen 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(j)of a party based on liabilities for other damages resulting from an intentional or grossly negligent breach of duty of legal representative or agent of a party and</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(k)im Zusammenhang mit Straftaten und Ordnungswidrigkeiten.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(l)in connection with criminal and administrative offenses.</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74015"/>
                <wp:effectExtent l="0" t="0" r="0" b="0"/>
                <wp:wrapNone/>
                <wp:docPr id="57" name="Frame56"/>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72"/>
        <w:gridCol w:w="1340"/>
        <w:gridCol w:w="1342"/>
        <w:gridCol w:w="109"/>
        <w:gridCol w:w="109"/>
        <w:gridCol w:w="109"/>
        <w:gridCol w:w="479"/>
        <w:gridCol w:w="479"/>
        <w:gridCol w:w="479"/>
        <w:gridCol w:w="479"/>
        <w:gridCol w:w="479"/>
        <w:gridCol w:w="479"/>
        <w:gridCol w:w="479"/>
        <w:gridCol w:w="479"/>
        <w:gridCol w:w="692"/>
      </w:tblGrid>
      <w:tr>
        <w:trPr/>
        <w:tc>
          <w:tcPr>
            <w:tcW w:w="267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19.KEINE NEBENABREDEN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19 NO SIDE AGREEMENTS</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Dieser Arbeitsvertrag ersetzt sämtliche bisherigen Vereinbarungen zwischen den Parteien zum Arbeitsverhältnis oder die mit der Beschäftigung des Arbeitnehmers im Zusammenhang stehen. Dies gilt entsprechend für Vereinbarungen mit Verbundenen Unternehmen.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This Contract of Employment shall replace all previous agreements between the parties regarding the employment or that are related to the employment of the Employee. This shall apply accordingly to agreements with any Affiliated Companies.</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20.SCHLUSSBESTIMMUNGEN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1.</w:t>
            </w:r>
            <w:r>
              <w:rPr>
                <w:rFonts w:ascii="sans-serif" w:hAnsi="sans-serif"/>
                <w:b/>
                <w:color w:val="000000"/>
                <w:sz w:val="22"/>
              </w:rPr>
              <w:t>20 FINAL PROVISIONS</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1.1Soweit in diesem Arbeitsvertrag Ansprüche oder Pflichten des Arbeitnehmers gegenüber Verbundenen Unternehmen oder Ansprüche oder Pflichten von Verbundenen Unternehmen gegenüber dem Arbeitnehmer geregelt werden, handelt die Gesellschaft im Einverständnis dieser Verbundenen Unternehmen.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1.2To the extent that any claims or obligations of the Employee towards Affiliated Companies or claims or obligations of the Affiliated Companies towards the Employee are subject to this Contract of Employment the Company acts with the consent of these Affiliated Companies.</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1.3Änderungen und/oder Ergänzungen dieses Arbeitsvertrages, die nicht durch eine individuelle Vereinbarung der Vertragsparteien erfolgen, bedürfen zu ihrer Rechtswirksamkeit der schriftlichen Bestätigung (Textform genügt). Dies gilt auch für den Verzicht auf dieses Textformerfordernis. Das bedeutet, dass keine Ansprüche aus betrieblicher Übung entstehen können.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1.4Variations of and/or amendments to this Contract of Employment, which were not agreed upon individually among the parties, must be confirmed in writing in order to become effective. This applies also to any waiver of this text form requirement. This means that no claims may arise under the terms of an operational practice.</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1.5Sollte eine Bestimmung dieses Arbeitsvertrages unwirksam sein oder werden oder sollte sich eine Lücke in diesem Arbeitsvertrag herausstellen, so wird die Wirksamkeit der übrigen Bestimmungen dadurch nicht berührt. Die Arbeitsvertragsparteien sind im Falle einer unwirksamen Bestimmung verpflichtet, über eine wirksame und zumutbare Ersatzregelung zu verhandeln, die dem von den Arbeitsvertragsparteien mit der unwirksamen Bestimmung verfolgten wirtschaftlichen Zweck möglichst nahe kommt. Dies gilt entsprechend, wenn sich eine Lücke in diesem Arbeitsvertrag herausstellt.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val="false"/>
                <w:color w:val="000000"/>
                <w:sz w:val="22"/>
              </w:rPr>
            </w:pPr>
            <w:r>
              <w:rPr>
                <w:rFonts w:ascii="sans-serif" w:hAnsi="sans-serif"/>
                <w:b w:val="false"/>
                <w:color w:val="000000"/>
                <w:sz w:val="22"/>
              </w:rPr>
              <w:t>1.6Should any provision of this Contract of Employment be or become void or should a gap in this Contract of Employment become apparent, the validity of the other provisions will not be affected. In the event of an invalid provision, the parties to this Contract of Employment shall be obliged to negotiate a valid and reasonable substitute provision which comes as close as possible to the economic purpose the parties of this Contract of Employment had pursued with the invalid provision. This shall apply accordingly if a gap in this Contract of Employment becomes apparent.</w:t>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40"/>
              <w:ind w:left="0" w:right="0" w:hanging="720"/>
              <w:jc w:val="both"/>
              <w:rPr>
                <w:rFonts w:ascii="sans-serif" w:hAnsi="sans-serif"/>
                <w:b/>
                <w:color w:val="000000"/>
                <w:sz w:val="22"/>
              </w:rPr>
            </w:pPr>
            <w:r>
              <w:rPr>
                <w:rFonts w:ascii="sans-serif" w:hAnsi="sans-serif"/>
                <w:b/>
                <w:color w:val="000000"/>
                <w:sz w:val="22"/>
              </w:rPr>
              <w:t>21.ANWENDBARES RECHT, MASSGEBLICHE FASSUNG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tcMar>
              <w:top w:w="0" w:type="dxa"/>
              <w:left w:w="0" w:type="dxa"/>
              <w:bottom w:w="0" w:type="dxa"/>
              <w:right w:w="0" w:type="dxa"/>
            </w:tcMar>
            <w:vAlign w:val="center"/>
          </w:tcPr>
          <w:p>
            <w:pPr>
              <w:pStyle w:val="TableContents"/>
              <w:bidi w:val="0"/>
              <w:spacing w:lineRule="auto" w:line="288" w:before="0" w:after="240"/>
              <w:ind w:left="0" w:right="0" w:hanging="720"/>
              <w:jc w:val="both"/>
              <w:rPr>
                <w:rFonts w:ascii="sans-serif" w:hAnsi="sans-serif"/>
                <w:b/>
                <w:color w:val="000000"/>
                <w:sz w:val="22"/>
              </w:rPr>
            </w:pPr>
            <w:r>
              <w:rPr>
                <w:rFonts w:ascii="sans-serif" w:hAnsi="sans-serif"/>
                <w:b/>
                <w:color w:val="000000"/>
                <w:sz w:val="22"/>
              </w:rPr>
              <w:t>21GOVERNING LAW, AUTHORITATIVE VERSION</w:t>
            </w:r>
          </w:p>
        </w:tc>
      </w:tr>
    </w:tbl>
    <w:p>
      <w:pPr>
        <w:pStyle w:val="TextBody"/>
        <w:bidi w:val="0"/>
        <w:spacing w:lineRule="auto" w:line="288" w:before="0" w:after="0"/>
        <w:jc w:val="right"/>
        <w:rPr>
          <w:color w:val="000000"/>
          <w:shd w:fill="FFFFFF" w:val="clear"/>
        </w:rPr>
      </w:pPr>
      <w:r>
        <w:rPr>
          <w:color w:val="000000"/>
          <w:shd w:fill="FFFFFF" w:val="clear"/>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74015"/>
                <wp:effectExtent l="0" t="0" r="0" b="0"/>
                <wp:wrapNone/>
                <wp:docPr id="58" name="Frame57"/>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82"/>
        <w:gridCol w:w="1568"/>
        <w:gridCol w:w="1570"/>
        <w:gridCol w:w="109"/>
        <w:gridCol w:w="109"/>
        <w:gridCol w:w="109"/>
        <w:gridCol w:w="523"/>
        <w:gridCol w:w="523"/>
        <w:gridCol w:w="523"/>
        <w:gridCol w:w="523"/>
        <w:gridCol w:w="523"/>
        <w:gridCol w:w="523"/>
        <w:gridCol w:w="523"/>
        <w:gridCol w:w="523"/>
        <w:gridCol w:w="774"/>
      </w:tblGrid>
      <w:tr>
        <w:trPr/>
        <w:tc>
          <w:tcPr>
            <w:tcW w:w="178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22"/>
              </w:rPr>
            </w:pPr>
            <w:r>
              <w:rPr>
                <w:rFonts w:ascii="sans-serif" w:hAnsi="sans-serif"/>
                <w:b w:val="false"/>
                <w:color w:val="000000"/>
                <w:sz w:val="22"/>
              </w:rPr>
              <w:t>Dieser Arbeitsvertrag unterliegt deutschem Recht. Die deutsche Fassung dieses Arbeitsvertrages ist maßgeblich.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22"/>
              </w:rPr>
            </w:pPr>
            <w:r>
              <w:rPr>
                <w:rFonts w:ascii="sans-serif" w:hAnsi="sans-serif"/>
                <w:b w:val="false"/>
                <w:color w:val="000000"/>
                <w:sz w:val="22"/>
              </w:rPr>
              <w:t>German law shall apply to this Contract of Employment. The German version of this Contract of Employment shall be the authoritative version.</w:t>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val="false"/>
                <w:color w:val="000000"/>
                <w:sz w:val="22"/>
                <w:u w:val="single"/>
              </w:rPr>
              <w:t>Dortmund, 18 November 2025</w:t>
            </w:r>
            <w:r>
              <w:rPr>
                <w:rFonts w:ascii="sans-serif" w:hAnsi="sans-serif"/>
                <w:b w:val="false"/>
                <w:color w:val="000000"/>
                <w:sz w:val="22"/>
              </w:rPr>
              <w:br/>
              <w:t>Ort/Place, Datum/Date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9"/>
            <w:tcBorders/>
            <w:tcMar>
              <w:top w:w="0" w:type="dxa"/>
              <w:left w:w="0" w:type="dxa"/>
              <w:bottom w:w="0" w:type="dxa"/>
              <w:right w:w="0" w:type="dxa"/>
            </w:tcMar>
            <w:vAlign w:val="center"/>
          </w:tcPr>
          <w:p>
            <w:pPr>
              <w:pStyle w:val="TableContents"/>
              <w:bidi w:val="0"/>
              <w:spacing w:lineRule="auto" w:line="240" w:before="0" w:after="240"/>
              <w:jc w:val="both"/>
              <w:rPr/>
            </w:pPr>
            <w:r>
              <w:rPr>
                <w:rFonts w:ascii="sans-serif" w:hAnsi="sans-serif"/>
                <w:b w:val="false"/>
                <w:color w:val="000000"/>
                <w:sz w:val="22"/>
                <w:u w:val="single"/>
              </w:rPr>
              <w:t>Dortmund, 20 November 2025</w:t>
            </w:r>
            <w:r>
              <w:rPr>
                <w:rFonts w:ascii="sans-serif" w:hAnsi="sans-serif"/>
                <w:b w:val="false"/>
                <w:color w:val="000000"/>
                <w:sz w:val="22"/>
              </w:rPr>
              <w:br/>
              <w:t>Ort/Place, Datum/Date</w:t>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sans-serif" w:hAnsi="sans-serif"/>
                <w:b w:val="false"/>
                <w:color w:val="000000"/>
                <w:sz w:val="22"/>
                <w:u w:val="single"/>
              </w:rPr>
              <w:t>/s/ BEATE STEWART</w:t>
            </w:r>
            <w:r>
              <w:rPr>
                <w:rFonts w:ascii="sans-serif" w:hAnsi="sans-serif"/>
                <w:b w:val="false"/>
                <w:color w:val="000000"/>
                <w:sz w:val="22"/>
              </w:rPr>
              <w:br/>
              <w:t>ppa. Beate Stewart</w:t>
              <w:br/>
              <w:t>Sr HR Manager EMEA</w:t>
            </w:r>
          </w:p>
          <w:p>
            <w:pPr>
              <w:pStyle w:val="TableContents"/>
              <w:bidi w:val="0"/>
              <w:spacing w:lineRule="auto" w:line="288" w:before="0" w:after="240"/>
              <w:jc w:val="left"/>
              <w:rPr>
                <w:rFonts w:ascii="sans-serif" w:hAnsi="sans-serif"/>
                <w:b/>
                <w:color w:val="000000"/>
                <w:sz w:val="22"/>
              </w:rPr>
            </w:pPr>
            <w:r>
              <w:rPr>
                <w:rFonts w:ascii="sans-serif" w:hAnsi="sans-serif"/>
                <w:b/>
                <w:color w:val="000000"/>
                <w:sz w:val="22"/>
              </w:rPr>
              <w:t>Quaker Houghton Sales BV ZNL Deutschland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2"/>
                <w:u w:val="single"/>
              </w:rPr>
              <w:t>/s/ KEVIN MEAGHER</w:t>
            </w:r>
            <w:r>
              <w:rPr>
                <w:rFonts w:ascii="sans-serif" w:hAnsi="sans-serif"/>
                <w:b w:val="false"/>
                <w:color w:val="000000"/>
                <w:sz w:val="22"/>
              </w:rPr>
              <w:br/>
              <w:t>Kevin Meagher</w:t>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Der Arbeitnehmer bestätigt mit der Unterschrift, eine vollständige Ausführung dieses Arbeitsvertrages erhalten zu haben, die von beiden Parteien im Original unterschrieben wurde.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9"/>
            <w:tcBorders/>
            <w:tcMar>
              <w:top w:w="0" w:type="dxa"/>
              <w:left w:w="0" w:type="dxa"/>
              <w:bottom w:w="0" w:type="dxa"/>
              <w:right w:w="0" w:type="dxa"/>
            </w:tcMar>
            <w:vAlign w:val="center"/>
          </w:tcPr>
          <w:p>
            <w:pPr>
              <w:pStyle w:val="TableContents"/>
              <w:bidi w:val="0"/>
              <w:spacing w:lineRule="auto" w:line="288" w:before="0" w:after="240"/>
              <w:jc w:val="both"/>
              <w:rPr>
                <w:rFonts w:ascii="sans-serif" w:hAnsi="sans-serif"/>
                <w:b w:val="false"/>
                <w:color w:val="000000"/>
                <w:sz w:val="22"/>
              </w:rPr>
            </w:pPr>
            <w:r>
              <w:rPr>
                <w:rFonts w:ascii="sans-serif" w:hAnsi="sans-serif"/>
                <w:b w:val="false"/>
                <w:color w:val="000000"/>
                <w:sz w:val="22"/>
              </w:rPr>
              <w:t>The Employee hereby confirms with the signature that the Employee has received a complete execution of this Contract of Employment that has been signed by both parties with original signatures.</w:t>
            </w:r>
          </w:p>
        </w:tc>
      </w:tr>
      <w:tr>
        <w:trPr/>
        <w:tc>
          <w:tcPr>
            <w:tcW w:w="6816" w:type="dxa"/>
            <w:gridSpan w:val="9"/>
            <w:tcBorders/>
            <w:tcMar>
              <w:top w:w="0" w:type="dxa"/>
              <w:left w:w="0" w:type="dxa"/>
              <w:bottom w:w="0" w:type="dxa"/>
              <w:right w:w="0" w:type="dxa"/>
            </w:tcMar>
            <w:vAlign w:val="center"/>
          </w:tcPr>
          <w:p>
            <w:pPr>
              <w:pStyle w:val="TableContents"/>
              <w:bidi w:val="0"/>
              <w:spacing w:lineRule="auto" w:line="288" w:before="0" w:after="0"/>
              <w:jc w:val="both"/>
              <w:rPr/>
            </w:pPr>
            <w:r>
              <w:rPr>
                <w:rFonts w:ascii="sans-serif" w:hAnsi="sans-serif"/>
                <w:b w:val="false"/>
                <w:color w:val="000000"/>
                <w:sz w:val="22"/>
                <w:u w:val="single"/>
              </w:rPr>
              <w:t>Dortmund, 20 November 2025</w:t>
            </w:r>
            <w:r>
              <w:rPr>
                <w:color w:val="000000"/>
              </w:rPr>
              <w:t xml:space="preserve"> </w:t>
            </w:r>
            <w:r>
              <w:rPr>
                <w:rFonts w:ascii="sans-serif" w:hAnsi="sans-serif"/>
                <w:b w:val="false"/>
                <w:color w:val="000000"/>
                <w:sz w:val="22"/>
                <w:u w:val="single"/>
              </w:rPr>
              <w:t>/s/ KEVIN MEAGHER</w:t>
            </w:r>
            <w:r>
              <w:rPr>
                <w:rFonts w:ascii="sans-serif" w:hAnsi="sans-serif"/>
                <w:b w:val="false"/>
                <w:color w:val="000000"/>
                <w:sz w:val="22"/>
              </w:rPr>
              <w:br/>
              <w:t>Ort/Place, Datum/Date Kevin Meagher</w:t>
            </w:r>
          </w:p>
        </w:tc>
        <w:tc>
          <w:tcPr>
            <w:tcW w:w="15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74015"/>
                <wp:effectExtent l="0" t="0" r="0" b="0"/>
                <wp:wrapNone/>
                <wp:docPr id="59" name="Frame58"/>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ADDENDUM TO THE EMPLOYMENT CONTRACT</w:t>
      </w:r>
    </w:p>
    <w:p>
      <w:pPr>
        <w:pStyle w:val="TextBody"/>
        <w:bidi w:val="0"/>
        <w:spacing w:before="0" w:after="0"/>
        <w:jc w:val="left"/>
        <w:rPr/>
      </w:pPr>
      <w:r>
        <w:rPr/>
      </w:r>
    </w:p>
    <w:p>
      <w:pPr>
        <w:pStyle w:val="TextBody"/>
        <w:bidi w:val="0"/>
        <w:spacing w:lineRule="auto" w:line="268" w:before="0" w:after="0"/>
        <w:ind w:left="0" w:right="0" w:hanging="360"/>
        <w:jc w:val="center"/>
        <w:rPr/>
      </w:pPr>
      <w:r>
        <w:rPr>
          <w:rFonts w:ascii="Times New Roman;serif" w:hAnsi="Times New Roman;serif"/>
          <w:b w:val="false"/>
          <w:color w:val="000000"/>
          <w:sz w:val="22"/>
        </w:rPr>
        <w:t>A.</w:t>
      </w:r>
      <w:r>
        <w:rPr>
          <w:rFonts w:ascii="sans-serif" w:hAnsi="sans-serif"/>
          <w:b/>
          <w:color w:val="000000"/>
          <w:sz w:val="28"/>
        </w:rPr>
        <w:t xml:space="preserve">SIGN-ON BONUS ACKNOWLEDEGMENT </w:t>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Kevin Meagher</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 xml:space="preserve">You are being offered a sign-on bonus in the amount of </w:t>
      </w:r>
      <w:r>
        <w:rPr>
          <w:rFonts w:ascii="sans-serif" w:hAnsi="sans-serif"/>
          <w:b/>
          <w:color w:val="000000"/>
          <w:sz w:val="24"/>
        </w:rPr>
        <w:t>100.000€ EUR gross</w:t>
      </w:r>
      <w:r>
        <w:rPr>
          <w:rFonts w:ascii="sans-serif" w:hAnsi="sans-serif"/>
          <w:b w:val="false"/>
          <w:color w:val="000000"/>
          <w:sz w:val="24"/>
        </w:rPr>
        <w:t xml:space="preserve">, less applicable taxes. This bonus will be paid as follows: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sans-serif" w:hAnsi="sans-serif"/>
          <w:b w:val="false"/>
          <w:color w:val="000000"/>
          <w:sz w:val="24"/>
        </w:rPr>
        <w:t xml:space="preserve">100.000€ gross as soon as administratively possible after your effective date of hire. In the event that you either voluntarily leave your employment or are dismissed for cause within the first twelve (12) months following your effective date of hire, you acknowledge and agree that you have an obligation to repay the sign on bonus monies you have received. </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 xml:space="preserve">The repayment of this sign-on bonus shall be made to the Company within ten (10) business days of the termination of your employment. By accepting the sign-on bonus and executing this Acknowledgment, you agree that the Company may deduct any amounts owed to you upon the termination of your employment in satisfaction of the sign-on bonus. </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The Company will not process any sign-on bonus payment until you sign and return this Acknowledgment.</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Dortmund, 18. November 2025</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Quaker Houghton Sales BV Deutsche Zweigniederlassung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ppa. Beate Stewart</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Sr Human Resources Manager EMEA</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I have read and understand the terms and conditions set forth in this document. My signature below indicates my awareness and agreement to all the terms herein, including any obligation to repay the sign-on bonus as set forth above.</w:t>
      </w:r>
    </w:p>
    <w:p>
      <w:pPr>
        <w:pStyle w:val="TextBody"/>
        <w:bidi w:val="0"/>
        <w:spacing w:before="0" w:after="0"/>
        <w:jc w:val="both"/>
        <w:rPr/>
      </w:pPr>
      <w:r>
        <w:rPr/>
      </w:r>
    </w:p>
    <w:p>
      <w:pPr>
        <w:pStyle w:val="TextBody"/>
        <w:bidi w:val="0"/>
        <w:spacing w:lineRule="auto" w:line="276" w:before="0" w:after="0"/>
        <w:jc w:val="left"/>
        <w:rPr/>
      </w:pPr>
      <w:r>
        <w:rPr>
          <w:rFonts w:ascii="sans-serif" w:hAnsi="sans-serif"/>
          <w:b w:val="false"/>
          <w:color w:val="000000"/>
          <w:sz w:val="24"/>
          <w:u w:val="single"/>
        </w:rPr>
        <w:t>Dortmund, 20 NOV 2025</w:t>
      </w:r>
      <w:r>
        <w:rPr>
          <w:color w:val="000000"/>
        </w:rPr>
        <w:t>        </w:t>
      </w:r>
      <w:r>
        <w:rPr>
          <w:rFonts w:ascii="sans-serif" w:hAnsi="sans-serif"/>
          <w:b w:val="false"/>
          <w:color w:val="000000"/>
          <w:sz w:val="24"/>
          <w:u w:val="single"/>
        </w:rPr>
        <w:t>/s/ KEVIN MEAGHER</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Ort/Datum                Kevin Meagher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74015"/>
                <wp:effectExtent l="0" t="0" r="0" b="0"/>
                <wp:wrapNone/>
                <wp:docPr id="60" name="Frame59"/>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p>
      <w:pPr>
        <w:pStyle w:val="TextBody"/>
        <w:bidi w:val="0"/>
        <w:spacing w:before="0" w:after="0"/>
        <w:jc w:val="left"/>
        <w:rPr/>
      </w:pPr>
      <w:r>
        <w:rPr/>
      </w:r>
    </w:p>
    <w:p>
      <w:pPr>
        <w:pStyle w:val="TextBody"/>
        <w:bidi w:val="0"/>
        <w:spacing w:before="49" w:after="283"/>
        <w:jc w:val="left"/>
        <w:rPr/>
      </w:pPr>
      <w:r>
        <w:rPr/>
      </w:r>
    </w:p>
    <w:p>
      <w:pPr>
        <w:pStyle w:val="TextBody"/>
        <w:bidi w:val="0"/>
        <w:spacing w:lineRule="auto" w:line="283" w:before="0" w:after="0"/>
        <w:ind w:left="0" w:right="0" w:hanging="4"/>
        <w:jc w:val="left"/>
        <w:rPr/>
      </w:pPr>
      <w:r>
        <w:rPr>
          <w:rFonts w:ascii="Arial;sans-serif" w:hAnsi="Arial;sans-serif"/>
          <w:b w:val="false"/>
          <w:color w:val="232323"/>
          <w:sz w:val="16"/>
        </w:rPr>
        <w:t>PLEASE</w:t>
      </w:r>
      <w:r>
        <w:rPr>
          <w:color w:val="232323"/>
        </w:rPr>
        <w:t xml:space="preserve"> </w:t>
      </w:r>
      <w:r>
        <w:rPr>
          <w:rFonts w:ascii="Arial;sans-serif" w:hAnsi="Arial;sans-serif"/>
          <w:b w:val="false"/>
          <w:color w:val="232323"/>
          <w:sz w:val="16"/>
        </w:rPr>
        <w:t>EXECUTE</w:t>
      </w:r>
      <w:r>
        <w:rPr>
          <w:color w:val="232323"/>
        </w:rPr>
        <w:t xml:space="preserve"> </w:t>
      </w:r>
      <w:r>
        <w:rPr>
          <w:rFonts w:ascii="Arial;sans-serif" w:hAnsi="Arial;sans-serif"/>
          <w:b w:val="false"/>
          <w:color w:val="363636"/>
          <w:sz w:val="16"/>
        </w:rPr>
        <w:t xml:space="preserve">AND </w:t>
      </w:r>
      <w:r>
        <w:rPr>
          <w:rFonts w:ascii="Arial;sans-serif" w:hAnsi="Arial;sans-serif"/>
          <w:b w:val="false"/>
          <w:color w:val="232323"/>
          <w:sz w:val="16"/>
        </w:rPr>
        <w:t>RETURN</w:t>
      </w:r>
      <w:r>
        <w:rPr>
          <w:color w:val="232323"/>
        </w:rPr>
        <w:t xml:space="preserve"> </w:t>
      </w:r>
      <w:r>
        <w:rPr>
          <w:rFonts w:ascii="Arial;sans-serif" w:hAnsi="Arial;sans-serif"/>
          <w:b w:val="false"/>
          <w:color w:val="232323"/>
          <w:sz w:val="16"/>
        </w:rPr>
        <w:t xml:space="preserve">THIS </w:t>
      </w:r>
      <w:r>
        <w:rPr>
          <w:rFonts w:ascii="Arial;sans-serif" w:hAnsi="Arial;sans-serif"/>
          <w:b w:val="false"/>
          <w:color w:val="363636"/>
          <w:sz w:val="16"/>
        </w:rPr>
        <w:t>COPY</w:t>
      </w:r>
      <w:r>
        <w:rPr>
          <w:color w:val="363636"/>
        </w:rPr>
        <w:t xml:space="preserve"> </w:t>
      </w:r>
      <w:r>
        <w:rPr>
          <w:rFonts w:ascii="Arial;sans-serif" w:hAnsi="Arial;sans-serif"/>
          <w:b w:val="false"/>
          <w:color w:val="232323"/>
          <w:sz w:val="16"/>
        </w:rPr>
        <w:t>TO THE</w:t>
      </w:r>
      <w:r>
        <w:rPr>
          <w:color w:val="232323"/>
        </w:rPr>
        <w:t xml:space="preserve"> </w:t>
      </w:r>
      <w:r>
        <w:rPr>
          <w:rFonts w:ascii="Arial;sans-serif" w:hAnsi="Arial;sans-serif"/>
          <w:b w:val="false"/>
          <w:color w:val="111111"/>
          <w:sz w:val="16"/>
        </w:rPr>
        <w:t>LEGAL</w:t>
      </w:r>
      <w:r>
        <w:rPr>
          <w:color w:val="111111"/>
        </w:rPr>
        <w:t xml:space="preserve"> </w:t>
      </w:r>
      <w:r>
        <w:rPr>
          <w:rFonts w:ascii="Arial;sans-serif" w:hAnsi="Arial;sans-serif"/>
          <w:b w:val="false"/>
          <w:color w:val="232323"/>
          <w:sz w:val="16"/>
        </w:rPr>
        <w:t>DEPARTMENT</w:t>
      </w:r>
    </w:p>
    <w:p>
      <w:pPr>
        <w:pStyle w:val="TextBody"/>
        <w:bidi w:val="0"/>
        <w:spacing w:before="7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4" w:after="283"/>
        <w:jc w:val="left"/>
        <w:rPr/>
      </w:pPr>
      <w:r>
        <w:rPr/>
      </w:r>
    </w:p>
    <w:p>
      <w:pPr>
        <w:pStyle w:val="TextBody"/>
        <w:bidi w:val="0"/>
        <w:spacing w:lineRule="auto" w:line="288" w:before="0" w:after="0"/>
        <w:jc w:val="left"/>
        <w:rPr/>
      </w:pPr>
      <w:r>
        <w:rPr>
          <w:rFonts w:ascii="Arial;sans-serif" w:hAnsi="Arial;sans-serif"/>
          <w:b w:val="false"/>
          <w:color w:val="363636"/>
          <w:sz w:val="16"/>
        </w:rPr>
        <w:t>November</w:t>
      </w:r>
      <w:r>
        <w:rPr>
          <w:color w:val="363636"/>
        </w:rPr>
        <w:t xml:space="preserve"> </w:t>
      </w:r>
      <w:r>
        <w:rPr>
          <w:rFonts w:ascii="Arial;sans-serif" w:hAnsi="Arial;sans-serif"/>
          <w:b w:val="false"/>
          <w:color w:val="363636"/>
          <w:sz w:val="16"/>
        </w:rPr>
        <w:t>19,</w:t>
      </w:r>
      <w:r>
        <w:rPr>
          <w:color w:val="363636"/>
        </w:rPr>
        <w:t xml:space="preserve"> </w:t>
      </w:r>
      <w:r>
        <w:rPr>
          <w:rFonts w:ascii="Arial;sans-serif" w:hAnsi="Arial;sans-serif"/>
          <w:b w:val="false"/>
          <w:color w:val="363636"/>
          <w:sz w:val="16"/>
        </w:rPr>
        <w:t>2025</w:t>
      </w:r>
    </w:p>
    <w:p>
      <w:pPr>
        <w:pStyle w:val="TextBody"/>
        <w:bidi w:val="0"/>
        <w:spacing w:before="0" w:after="0"/>
        <w:jc w:val="left"/>
        <w:rPr/>
      </w:pPr>
      <w:r>
        <w:rPr/>
      </w:r>
    </w:p>
    <w:p>
      <w:pPr>
        <w:pStyle w:val="TextBody"/>
        <w:bidi w:val="0"/>
        <w:spacing w:before="20" w:after="283"/>
        <w:jc w:val="left"/>
        <w:rPr/>
      </w:pPr>
      <w:r>
        <w:rPr/>
      </w:r>
    </w:p>
    <w:p>
      <w:pPr>
        <w:pStyle w:val="TextBody"/>
        <w:bidi w:val="0"/>
        <w:spacing w:lineRule="auto" w:line="288" w:before="1" w:after="283"/>
        <w:jc w:val="left"/>
        <w:rPr/>
      </w:pPr>
      <w:r>
        <w:rPr>
          <w:rFonts w:ascii="Arial;sans-serif" w:hAnsi="Arial;sans-serif"/>
          <w:b/>
          <w:color w:val="363636"/>
          <w:sz w:val="16"/>
          <w:u w:val="single"/>
        </w:rPr>
        <w:t>BY</w:t>
      </w:r>
      <w:r>
        <w:rPr>
          <w:color w:val="363636"/>
          <w:u w:val="single"/>
        </w:rPr>
        <w:t xml:space="preserve"> </w:t>
      </w:r>
      <w:r>
        <w:rPr>
          <w:rFonts w:ascii="Arial;sans-serif" w:hAnsi="Arial;sans-serif"/>
          <w:b/>
          <w:color w:val="363636"/>
          <w:sz w:val="16"/>
          <w:u w:val="single"/>
        </w:rPr>
        <w:t>EMAIL</w:t>
      </w:r>
    </w:p>
    <w:p>
      <w:pPr>
        <w:pStyle w:val="TextBody"/>
        <w:bidi w:val="0"/>
        <w:spacing w:lineRule="auto" w:line="288" w:before="16" w:after="283"/>
        <w:jc w:val="left"/>
        <w:rPr/>
      </w:pPr>
      <w:r>
        <w:rPr>
          <w:rFonts w:ascii="Arial;sans-serif" w:hAnsi="Arial;sans-serif"/>
          <w:b w:val="false"/>
          <w:color w:val="232323"/>
          <w:sz w:val="16"/>
        </w:rPr>
        <w:t>Kevin</w:t>
      </w:r>
      <w:r>
        <w:rPr>
          <w:color w:val="232323"/>
        </w:rPr>
        <w:t xml:space="preserve"> </w:t>
      </w:r>
      <w:r>
        <w:rPr>
          <w:rFonts w:ascii="Arial;sans-serif" w:hAnsi="Arial;sans-serif"/>
          <w:b w:val="false"/>
          <w:color w:val="363636"/>
          <w:sz w:val="16"/>
        </w:rPr>
        <w:t>Meagher</w:t>
      </w:r>
    </w:p>
    <w:p>
      <w:pPr>
        <w:pStyle w:val="TextBody"/>
        <w:bidi w:val="0"/>
        <w:spacing w:before="27" w:after="283"/>
        <w:jc w:val="left"/>
        <w:rPr/>
      </w:pPr>
      <w:r>
        <w:rPr/>
      </w:r>
    </w:p>
    <w:p>
      <w:pPr>
        <w:pStyle w:val="TextBody"/>
        <w:bidi w:val="0"/>
        <w:spacing w:lineRule="auto" w:line="288" w:before="0" w:after="0"/>
        <w:jc w:val="left"/>
        <w:rPr/>
      </w:pPr>
      <w:r>
        <w:rPr>
          <w:rFonts w:ascii="Arial;sans-serif" w:hAnsi="Arial;sans-serif"/>
          <w:b/>
          <w:i/>
          <w:color w:val="363636"/>
          <w:sz w:val="16"/>
        </w:rPr>
        <w:t>RE:</w:t>
      </w:r>
      <w:r>
        <w:rPr>
          <w:color w:val="363636"/>
        </w:rPr>
        <w:t xml:space="preserve"> </w:t>
      </w:r>
      <w:r>
        <w:rPr>
          <w:rFonts w:ascii="Arial;sans-serif" w:hAnsi="Arial;sans-serif"/>
          <w:b/>
          <w:i/>
          <w:color w:val="363636"/>
          <w:sz w:val="16"/>
        </w:rPr>
        <w:t>Awards</w:t>
      </w:r>
      <w:r>
        <w:rPr>
          <w:color w:val="363636"/>
        </w:rPr>
        <w:t xml:space="preserve"> </w:t>
      </w:r>
      <w:r>
        <w:rPr>
          <w:rFonts w:ascii="Arial;sans-serif" w:hAnsi="Arial;sans-serif"/>
          <w:b/>
          <w:i/>
          <w:color w:val="232323"/>
          <w:sz w:val="16"/>
        </w:rPr>
        <w:t>Pursuant</w:t>
      </w:r>
      <w:r>
        <w:rPr>
          <w:color w:val="232323"/>
        </w:rPr>
        <w:t xml:space="preserve"> </w:t>
      </w:r>
      <w:r>
        <w:rPr>
          <w:rFonts w:ascii="Arial;sans-serif" w:hAnsi="Arial;sans-serif"/>
          <w:b/>
          <w:i/>
          <w:color w:val="363636"/>
          <w:sz w:val="16"/>
        </w:rPr>
        <w:t>to</w:t>
      </w:r>
      <w:r>
        <w:rPr>
          <w:color w:val="363636"/>
        </w:rPr>
        <w:t xml:space="preserve"> </w:t>
      </w:r>
      <w:r>
        <w:rPr>
          <w:rFonts w:ascii="Arial;sans-serif" w:hAnsi="Arial;sans-serif"/>
          <w:b/>
          <w:i/>
          <w:color w:val="363636"/>
          <w:sz w:val="16"/>
        </w:rPr>
        <w:t>the</w:t>
      </w:r>
      <w:r>
        <w:rPr>
          <w:color w:val="363636"/>
        </w:rPr>
        <w:t xml:space="preserve"> </w:t>
      </w:r>
      <w:r>
        <w:rPr>
          <w:rFonts w:ascii="Arial;sans-serif" w:hAnsi="Arial;sans-serif"/>
          <w:b/>
          <w:i/>
          <w:color w:val="363636"/>
          <w:sz w:val="16"/>
        </w:rPr>
        <w:t>2024</w:t>
      </w:r>
      <w:r>
        <w:rPr>
          <w:color w:val="363636"/>
        </w:rPr>
        <w:t xml:space="preserve"> </w:t>
      </w:r>
      <w:r>
        <w:rPr>
          <w:rFonts w:ascii="Arial;sans-serif" w:hAnsi="Arial;sans-serif"/>
          <w:b/>
          <w:i/>
          <w:color w:val="363636"/>
          <w:sz w:val="16"/>
        </w:rPr>
        <w:t>Long-Term</w:t>
      </w:r>
      <w:r>
        <w:rPr>
          <w:color w:val="363636"/>
        </w:rPr>
        <w:t xml:space="preserve"> </w:t>
      </w:r>
      <w:r>
        <w:rPr>
          <w:rFonts w:ascii="Arial;sans-serif" w:hAnsi="Arial;sans-serif"/>
          <w:b/>
          <w:i/>
          <w:color w:val="232323"/>
          <w:sz w:val="16"/>
        </w:rPr>
        <w:t>Performance</w:t>
      </w:r>
      <w:r>
        <w:rPr>
          <w:color w:val="232323"/>
        </w:rPr>
        <w:t xml:space="preserve"> </w:t>
      </w:r>
      <w:r>
        <w:rPr>
          <w:rFonts w:ascii="Arial;sans-serif" w:hAnsi="Arial;sans-serif"/>
          <w:b/>
          <w:i/>
          <w:color w:val="363636"/>
          <w:sz w:val="16"/>
        </w:rPr>
        <w:t>Incentive</w:t>
      </w:r>
      <w:r>
        <w:rPr>
          <w:color w:val="363636"/>
        </w:rPr>
        <w:t xml:space="preserve"> </w:t>
      </w:r>
      <w:r>
        <w:rPr>
          <w:rFonts w:ascii="Arial;sans-serif" w:hAnsi="Arial;sans-serif"/>
          <w:b/>
          <w:i/>
          <w:color w:val="363636"/>
          <w:sz w:val="16"/>
        </w:rPr>
        <w:t>Plan</w:t>
      </w:r>
    </w:p>
    <w:p>
      <w:pPr>
        <w:pStyle w:val="TextBody"/>
        <w:bidi w:val="0"/>
        <w:spacing w:before="0" w:after="0"/>
        <w:jc w:val="left"/>
        <w:rPr/>
      </w:pPr>
      <w:r>
        <w:rPr/>
      </w:r>
    </w:p>
    <w:p>
      <w:pPr>
        <w:pStyle w:val="TextBody"/>
        <w:bidi w:val="0"/>
        <w:spacing w:lineRule="auto" w:line="292" w:before="0" w:after="0"/>
        <w:jc w:val="left"/>
        <w:rPr/>
      </w:pPr>
      <w:r>
        <w:rPr>
          <w:rFonts w:ascii="Arial;sans-serif" w:hAnsi="Arial;sans-serif"/>
          <w:b w:val="false"/>
          <w:color w:val="363636"/>
          <w:sz w:val="16"/>
        </w:rPr>
        <w:t>We are pleased to inform you that we will recommend to the Compensation and Human Resources Committee of Quaker Houghton (the “Company”) that you be</w:t>
      </w:r>
      <w:r>
        <w:rPr>
          <w:color w:val="363636"/>
        </w:rPr>
        <w:t xml:space="preserve"> </w:t>
      </w:r>
      <w:r>
        <w:rPr>
          <w:rFonts w:ascii="Arial;sans-serif" w:hAnsi="Arial;sans-serif"/>
          <w:b w:val="false"/>
          <w:color w:val="363636"/>
          <w:sz w:val="16"/>
        </w:rPr>
        <w:t>granted</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following</w:t>
      </w:r>
      <w:r>
        <w:rPr>
          <w:color w:val="363636"/>
        </w:rPr>
        <w:t xml:space="preserve"> </w:t>
      </w:r>
      <w:r>
        <w:rPr>
          <w:rFonts w:ascii="Arial;sans-serif" w:hAnsi="Arial;sans-serif"/>
          <w:b w:val="false"/>
          <w:color w:val="363636"/>
          <w:sz w:val="16"/>
        </w:rPr>
        <w:t>awards</w:t>
      </w:r>
      <w:r>
        <w:rPr>
          <w:color w:val="363636"/>
        </w:rPr>
        <w:t xml:space="preserve"> </w:t>
      </w:r>
      <w:r>
        <w:rPr>
          <w:rFonts w:ascii="Arial;sans-serif" w:hAnsi="Arial;sans-serif"/>
          <w:b w:val="false"/>
          <w:color w:val="363636"/>
          <w:sz w:val="16"/>
        </w:rPr>
        <w:t>under</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Company's</w:t>
      </w:r>
      <w:r>
        <w:rPr>
          <w:color w:val="363636"/>
        </w:rPr>
        <w:t xml:space="preserve"> </w:t>
      </w:r>
      <w:r>
        <w:rPr>
          <w:rFonts w:ascii="Arial;sans-serif" w:hAnsi="Arial;sans-serif"/>
          <w:b w:val="false"/>
          <w:color w:val="363636"/>
          <w:sz w:val="16"/>
        </w:rPr>
        <w:t>2024</w:t>
      </w:r>
      <w:r>
        <w:rPr>
          <w:color w:val="363636"/>
        </w:rPr>
        <w:t xml:space="preserve"> </w:t>
      </w:r>
      <w:r>
        <w:rPr>
          <w:rFonts w:ascii="Arial;sans-serif" w:hAnsi="Arial;sans-serif"/>
          <w:b w:val="false"/>
          <w:color w:val="363636"/>
          <w:sz w:val="16"/>
        </w:rPr>
        <w:t>Long-Term</w:t>
      </w:r>
      <w:r>
        <w:rPr>
          <w:color w:val="363636"/>
        </w:rPr>
        <w:t xml:space="preserve"> </w:t>
      </w:r>
      <w:r>
        <w:rPr>
          <w:rFonts w:ascii="Arial;sans-serif" w:hAnsi="Arial;sans-serif"/>
          <w:b w:val="false"/>
          <w:color w:val="363636"/>
          <w:sz w:val="16"/>
        </w:rPr>
        <w:t>Performance</w:t>
      </w:r>
    </w:p>
    <w:p>
      <w:pPr>
        <w:pStyle w:val="TextBody"/>
        <w:bidi w:val="0"/>
        <w:spacing w:lineRule="auto" w:line="288" w:before="8" w:after="283"/>
        <w:jc w:val="left"/>
        <w:rPr/>
      </w:pPr>
      <w:r>
        <w:rPr>
          <w:rFonts w:ascii="Arial;sans-serif" w:hAnsi="Arial;sans-serif"/>
          <w:b w:val="false"/>
          <w:color w:val="363636"/>
          <w:sz w:val="16"/>
        </w:rPr>
        <w:t>Incent</w:t>
      </w:r>
      <w:r>
        <w:rPr>
          <w:rFonts w:ascii="Arial;sans-serif" w:hAnsi="Arial;sans-serif"/>
          <w:b w:val="false"/>
          <w:color w:val="525250"/>
          <w:sz w:val="16"/>
        </w:rPr>
        <w:t>i</w:t>
      </w:r>
      <w:r>
        <w:rPr>
          <w:rFonts w:ascii="Arial;sans-serif" w:hAnsi="Arial;sans-serif"/>
          <w:b w:val="false"/>
          <w:color w:val="363636"/>
          <w:sz w:val="16"/>
        </w:rPr>
        <w:t>ve</w:t>
      </w:r>
      <w:r>
        <w:rPr>
          <w:color w:val="363636"/>
        </w:rPr>
        <w:t xml:space="preserve"> </w:t>
      </w:r>
      <w:r>
        <w:rPr>
          <w:rFonts w:ascii="Arial;sans-serif" w:hAnsi="Arial;sans-serif"/>
          <w:b w:val="false"/>
          <w:color w:val="232323"/>
          <w:sz w:val="16"/>
        </w:rPr>
        <w:t>Plan</w:t>
      </w:r>
      <w:r>
        <w:rPr>
          <w:color w:val="232323"/>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"Plan")</w:t>
      </w:r>
      <w:r>
        <w:rPr>
          <w:rFonts w:ascii="Arial;sans-serif" w:hAnsi="Arial;sans-serif"/>
          <w:b w:val="false"/>
          <w:color w:val="525250"/>
          <w:sz w:val="16"/>
        </w:rPr>
        <w:t>:</w:t>
      </w:r>
    </w:p>
    <w:p>
      <w:pPr>
        <w:pStyle w:val="TextBody"/>
        <w:bidi w:val="0"/>
        <w:spacing w:before="56" w:after="283"/>
        <w:jc w:val="left"/>
        <w:rPr/>
      </w:pPr>
      <w:r>
        <w:rPr/>
      </w:r>
    </w:p>
    <w:p>
      <w:pPr>
        <w:pStyle w:val="TextBody"/>
        <w:bidi w:val="0"/>
        <w:spacing w:lineRule="auto" w:line="307" w:before="0" w:after="0"/>
        <w:ind w:left="0" w:right="0" w:hanging="334"/>
        <w:jc w:val="left"/>
        <w:rPr/>
      </w:pPr>
      <w:r>
        <w:rPr>
          <w:color w:val="363636"/>
        </w:rPr>
        <w:t>•</w:t>
      </w:r>
      <w:r>
        <w:rPr>
          <w:rFonts w:ascii="Arial;sans-serif" w:hAnsi="Arial;sans-serif"/>
          <w:b w:val="false"/>
          <w:color w:val="363636"/>
          <w:sz w:val="16"/>
        </w:rPr>
        <w:t>An</w:t>
      </w:r>
      <w:r>
        <w:rPr>
          <w:color w:val="363636"/>
        </w:rPr>
        <w:t xml:space="preserve"> </w:t>
      </w:r>
      <w:r>
        <w:rPr>
          <w:rFonts w:ascii="Arial;sans-serif" w:hAnsi="Arial;sans-serif"/>
          <w:b w:val="false"/>
          <w:color w:val="363636"/>
          <w:sz w:val="16"/>
        </w:rPr>
        <w:t>equity</w:t>
      </w:r>
      <w:r>
        <w:rPr>
          <w:color w:val="363636"/>
        </w:rPr>
        <w:t xml:space="preserve"> </w:t>
      </w:r>
      <w:r>
        <w:rPr>
          <w:rFonts w:ascii="Arial;sans-serif" w:hAnsi="Arial;sans-serif"/>
          <w:b w:val="false"/>
          <w:color w:val="363636"/>
          <w:sz w:val="16"/>
        </w:rPr>
        <w:t>sign-on award</w:t>
      </w:r>
      <w:r>
        <w:rPr>
          <w:color w:val="363636"/>
        </w:rPr>
        <w:t xml:space="preserve"> </w:t>
      </w:r>
      <w:r>
        <w:rPr>
          <w:rFonts w:ascii="Arial;sans-serif" w:hAnsi="Arial;sans-serif"/>
          <w:b w:val="false"/>
          <w:color w:val="363636"/>
          <w:sz w:val="16"/>
        </w:rPr>
        <w:t>of</w:t>
      </w:r>
      <w:r>
        <w:rPr>
          <w:color w:val="363636"/>
        </w:rPr>
        <w:t xml:space="preserve"> </w:t>
      </w:r>
      <w:r>
        <w:rPr>
          <w:rFonts w:ascii="Arial;sans-serif" w:hAnsi="Arial;sans-serif"/>
          <w:b w:val="false"/>
          <w:color w:val="363636"/>
          <w:sz w:val="16"/>
        </w:rPr>
        <w:t>restricted</w:t>
      </w:r>
      <w:r>
        <w:rPr>
          <w:color w:val="363636"/>
        </w:rPr>
        <w:t xml:space="preserve"> </w:t>
      </w:r>
      <w:r>
        <w:rPr>
          <w:rFonts w:ascii="Arial;sans-serif" w:hAnsi="Arial;sans-serif"/>
          <w:b w:val="false"/>
          <w:color w:val="363636"/>
          <w:sz w:val="16"/>
        </w:rPr>
        <w:t>stock units</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equal</w:t>
      </w:r>
      <w:r>
        <w:rPr>
          <w:color w:val="363636"/>
        </w:rPr>
        <w:t xml:space="preserve"> </w:t>
      </w:r>
      <w:r>
        <w:rPr>
          <w:rFonts w:ascii="Arial;sans-serif" w:hAnsi="Arial;sans-serif"/>
          <w:b w:val="false"/>
          <w:color w:val="232323"/>
          <w:sz w:val="16"/>
        </w:rPr>
        <w:t>in</w:t>
      </w:r>
      <w:r>
        <w:rPr>
          <w:color w:val="232323"/>
        </w:rPr>
        <w:t xml:space="preserve"> </w:t>
      </w:r>
      <w:r>
        <w:rPr>
          <w:rFonts w:ascii="Arial;sans-serif" w:hAnsi="Arial;sans-serif"/>
          <w:b w:val="false"/>
          <w:color w:val="363636"/>
          <w:sz w:val="16"/>
        </w:rPr>
        <w:t>value</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approximately $300,000</w:t>
      </w:r>
      <w:r>
        <w:rPr>
          <w:color w:val="363636"/>
        </w:rPr>
        <w:t xml:space="preserve"> </w:t>
      </w:r>
      <w:r>
        <w:rPr>
          <w:rFonts w:ascii="Arial;sans-serif" w:hAnsi="Arial;sans-serif"/>
          <w:b w:val="false"/>
          <w:color w:val="363636"/>
          <w:sz w:val="16"/>
        </w:rPr>
        <w:t>USD which</w:t>
      </w:r>
      <w:r>
        <w:rPr>
          <w:color w:val="363636"/>
        </w:rPr>
        <w:t xml:space="preserve"> </w:t>
      </w:r>
      <w:r>
        <w:rPr>
          <w:rFonts w:ascii="Arial;sans-serif" w:hAnsi="Arial;sans-serif"/>
          <w:b w:val="false"/>
          <w:color w:val="363636"/>
          <w:sz w:val="16"/>
        </w:rPr>
        <w:t>will vest</w:t>
      </w:r>
      <w:r>
        <w:rPr>
          <w:color w:val="363636"/>
        </w:rPr>
        <w:t xml:space="preserve"> </w:t>
      </w:r>
      <w:r>
        <w:rPr>
          <w:rFonts w:ascii="Arial;sans-serif" w:hAnsi="Arial;sans-serif"/>
          <w:b w:val="false"/>
          <w:color w:val="363636"/>
          <w:sz w:val="16"/>
        </w:rPr>
        <w:t>ratably</w:t>
      </w:r>
      <w:r>
        <w:rPr>
          <w:color w:val="363636"/>
        </w:rPr>
        <w:t xml:space="preserve"> </w:t>
      </w:r>
      <w:r>
        <w:rPr>
          <w:rFonts w:ascii="Arial;sans-serif" w:hAnsi="Arial;sans-serif"/>
          <w:b w:val="false"/>
          <w:color w:val="232323"/>
          <w:sz w:val="16"/>
        </w:rPr>
        <w:t>over</w:t>
      </w:r>
      <w:r>
        <w:rPr>
          <w:color w:val="232323"/>
        </w:rPr>
        <w:t xml:space="preserve"> </w:t>
      </w:r>
      <w:r>
        <w:rPr>
          <w:rFonts w:ascii="Arial;sans-serif" w:hAnsi="Arial;sans-serif"/>
          <w:b w:val="false"/>
          <w:color w:val="363636"/>
          <w:sz w:val="16"/>
        </w:rPr>
        <w:t>a three-year period; and</w:t>
      </w:r>
    </w:p>
    <w:p>
      <w:pPr>
        <w:pStyle w:val="TextBody"/>
        <w:bidi w:val="0"/>
        <w:spacing w:lineRule="atLeast" w:line="145" w:before="10" w:after="283"/>
        <w:ind w:left="0" w:right="0" w:hanging="336"/>
        <w:jc w:val="left"/>
        <w:rPr/>
      </w:pPr>
      <w:r>
        <w:rPr>
          <w:color w:val="363636"/>
        </w:rPr>
        <w:t>•</w:t>
      </w:r>
      <w:r>
        <w:rPr>
          <w:rFonts w:ascii="Arial;sans-serif" w:hAnsi="Arial;sans-serif"/>
          <w:b w:val="false"/>
          <w:color w:val="363636"/>
          <w:sz w:val="15"/>
        </w:rPr>
        <w:t>An</w:t>
      </w:r>
      <w:r>
        <w:rPr>
          <w:color w:val="363636"/>
        </w:rPr>
        <w:t xml:space="preserve"> </w:t>
      </w:r>
      <w:r>
        <w:rPr>
          <w:rFonts w:ascii="Arial;sans-serif" w:hAnsi="Arial;sans-serif"/>
          <w:b w:val="false"/>
          <w:color w:val="363636"/>
          <w:sz w:val="15"/>
        </w:rPr>
        <w:t>annual</w:t>
      </w:r>
      <w:r>
        <w:rPr>
          <w:color w:val="363636"/>
        </w:rPr>
        <w:t xml:space="preserve"> </w:t>
      </w:r>
      <w:r>
        <w:rPr>
          <w:rFonts w:ascii="Arial;sans-serif" w:hAnsi="Arial;sans-serif"/>
          <w:b w:val="false"/>
          <w:color w:val="363636"/>
          <w:sz w:val="15"/>
        </w:rPr>
        <w:t>grant</w:t>
      </w:r>
      <w:r>
        <w:rPr>
          <w:color w:val="363636"/>
        </w:rPr>
        <w:t xml:space="preserve"> </w:t>
      </w:r>
      <w:r>
        <w:rPr>
          <w:rFonts w:ascii="Arial;sans-serif" w:hAnsi="Arial;sans-serif"/>
          <w:b w:val="false"/>
          <w:color w:val="363636"/>
          <w:sz w:val="15"/>
        </w:rPr>
        <w:t>under</w:t>
      </w:r>
      <w:r>
        <w:rPr>
          <w:color w:val="363636"/>
        </w:rPr>
        <w:t xml:space="preserve"> </w:t>
      </w:r>
      <w:r>
        <w:rPr>
          <w:rFonts w:ascii="Arial;sans-serif" w:hAnsi="Arial;sans-serif"/>
          <w:b w:val="false"/>
          <w:color w:val="363636"/>
          <w:sz w:val="15"/>
        </w:rPr>
        <w:t>the</w:t>
      </w:r>
      <w:r>
        <w:rPr>
          <w:color w:val="363636"/>
        </w:rPr>
        <w:t xml:space="preserve"> </w:t>
      </w:r>
      <w:r>
        <w:rPr>
          <w:rFonts w:ascii="Arial;sans-serif" w:hAnsi="Arial;sans-serif"/>
          <w:b w:val="false"/>
          <w:color w:val="232323"/>
          <w:sz w:val="15"/>
        </w:rPr>
        <w:t>Plan</w:t>
      </w:r>
      <w:r>
        <w:rPr>
          <w:color w:val="363636"/>
        </w:rPr>
        <w:t xml:space="preserve"> </w:t>
      </w:r>
      <w:r>
        <w:rPr>
          <w:rFonts w:ascii="Arial;sans-serif" w:hAnsi="Arial;sans-serif"/>
          <w:b w:val="false"/>
          <w:color w:val="363636"/>
          <w:sz w:val="15"/>
        </w:rPr>
        <w:t>equal</w:t>
      </w:r>
      <w:r>
        <w:rPr>
          <w:color w:val="363636"/>
        </w:rPr>
        <w:t xml:space="preserve"> </w:t>
      </w:r>
      <w:r>
        <w:rPr>
          <w:rFonts w:ascii="Arial;sans-serif" w:hAnsi="Arial;sans-serif"/>
          <w:b w:val="false"/>
          <w:color w:val="232323"/>
          <w:sz w:val="15"/>
        </w:rPr>
        <w:t>in</w:t>
      </w:r>
      <w:r>
        <w:rPr>
          <w:color w:val="232323"/>
        </w:rPr>
        <w:t xml:space="preserve"> </w:t>
      </w:r>
      <w:r>
        <w:rPr>
          <w:rFonts w:ascii="Arial;sans-serif" w:hAnsi="Arial;sans-serif"/>
          <w:b w:val="false"/>
          <w:color w:val="363636"/>
          <w:sz w:val="15"/>
        </w:rPr>
        <w:t>value</w:t>
      </w:r>
      <w:r>
        <w:rPr>
          <w:color w:val="363636"/>
        </w:rPr>
        <w:t xml:space="preserve"> </w:t>
      </w:r>
      <w:r>
        <w:rPr>
          <w:rFonts w:ascii="Arial;sans-serif" w:hAnsi="Arial;sans-serif"/>
          <w:b w:val="false"/>
          <w:color w:val="363636"/>
          <w:sz w:val="15"/>
        </w:rPr>
        <w:t>to</w:t>
      </w:r>
      <w:r>
        <w:rPr>
          <w:color w:val="363636"/>
        </w:rPr>
        <w:t xml:space="preserve"> </w:t>
      </w:r>
      <w:r>
        <w:rPr>
          <w:rFonts w:ascii="Arial;sans-serif" w:hAnsi="Arial;sans-serif"/>
          <w:b w:val="false"/>
          <w:color w:val="363636"/>
          <w:sz w:val="15"/>
        </w:rPr>
        <w:t>approximately</w:t>
      </w:r>
      <w:r>
        <w:rPr>
          <w:color w:val="363636"/>
        </w:rPr>
        <w:t xml:space="preserve"> </w:t>
      </w:r>
      <w:r>
        <w:rPr>
          <w:rFonts w:ascii="Arial;sans-serif" w:hAnsi="Arial;sans-serif"/>
          <w:b w:val="false"/>
          <w:color w:val="363636"/>
          <w:sz w:val="15"/>
        </w:rPr>
        <w:t>$88,000</w:t>
      </w:r>
      <w:r>
        <w:rPr>
          <w:color w:val="363636"/>
        </w:rPr>
        <w:t xml:space="preserve"> </w:t>
      </w:r>
      <w:r>
        <w:rPr>
          <w:rFonts w:ascii="Arial;sans-serif" w:hAnsi="Arial;sans-serif"/>
          <w:b w:val="false"/>
          <w:color w:val="363636"/>
          <w:sz w:val="15"/>
        </w:rPr>
        <w:t>USD</w:t>
      </w:r>
      <w:r>
        <w:rPr>
          <w:color w:val="363636"/>
        </w:rPr>
        <w:t xml:space="preserve"> </w:t>
      </w:r>
      <w:r>
        <w:rPr>
          <w:rFonts w:ascii="Arial;sans-serif" w:hAnsi="Arial;sans-serif"/>
          <w:b w:val="false"/>
          <w:color w:val="363636"/>
          <w:sz w:val="15"/>
        </w:rPr>
        <w:t>which</w:t>
      </w:r>
      <w:r>
        <w:rPr>
          <w:color w:val="363636"/>
        </w:rPr>
        <w:t xml:space="preserve"> </w:t>
      </w:r>
      <w:r>
        <w:rPr>
          <w:rFonts w:ascii="Arial;sans-serif" w:hAnsi="Arial;sans-serif"/>
          <w:b w:val="false"/>
          <w:color w:val="363636"/>
          <w:sz w:val="15"/>
        </w:rPr>
        <w:t>will</w:t>
      </w:r>
      <w:r>
        <w:rPr>
          <w:color w:val="363636"/>
        </w:rPr>
        <w:t xml:space="preserve"> </w:t>
      </w:r>
      <w:r>
        <w:rPr>
          <w:rFonts w:ascii="Arial;sans-serif" w:hAnsi="Arial;sans-serif"/>
          <w:b w:val="false"/>
          <w:color w:val="363636"/>
          <w:sz w:val="15"/>
        </w:rPr>
        <w:t>be</w:t>
      </w:r>
      <w:r>
        <w:rPr>
          <w:color w:val="363636"/>
        </w:rPr>
        <w:t xml:space="preserve"> </w:t>
      </w:r>
      <w:r>
        <w:rPr>
          <w:rFonts w:ascii="Arial;sans-serif" w:hAnsi="Arial;sans-serif"/>
          <w:b w:val="false"/>
          <w:color w:val="232323"/>
          <w:sz w:val="15"/>
        </w:rPr>
        <w:t>allocated</w:t>
      </w:r>
      <w:r>
        <w:rPr>
          <w:color w:val="232323"/>
        </w:rPr>
        <w:t xml:space="preserve"> </w:t>
      </w:r>
      <w:r>
        <w:rPr>
          <w:rFonts w:ascii="Arial;sans-serif" w:hAnsi="Arial;sans-serif"/>
          <w:b w:val="false"/>
          <w:color w:val="363636"/>
          <w:sz w:val="15"/>
        </w:rPr>
        <w:t>as</w:t>
      </w:r>
      <w:r>
        <w:rPr>
          <w:color w:val="363636"/>
        </w:rPr>
        <w:t xml:space="preserve"> </w:t>
      </w:r>
      <w:r>
        <w:rPr>
          <w:rFonts w:ascii="Arial;sans-serif" w:hAnsi="Arial;sans-serif"/>
          <w:b w:val="false"/>
          <w:color w:val="363636"/>
          <w:sz w:val="15"/>
        </w:rPr>
        <w:t>follows:</w:t>
      </w:r>
      <w:r>
        <w:rPr>
          <w:color w:val="363636"/>
        </w:rPr>
        <w:t xml:space="preserve"> </w:t>
      </w:r>
      <w:r>
        <w:rPr>
          <w:rFonts w:ascii="Arial;sans-serif" w:hAnsi="Arial;sans-serif"/>
          <w:b w:val="false"/>
          <w:color w:val="232323"/>
          <w:sz w:val="15"/>
        </w:rPr>
        <w:t>40%</w:t>
      </w:r>
    </w:p>
    <w:p>
      <w:pPr>
        <w:pStyle w:val="TextBody"/>
        <w:bidi w:val="0"/>
        <w:spacing w:lineRule="atLeast" w:line="242" w:before="0" w:after="0"/>
        <w:jc w:val="left"/>
        <w:rPr/>
      </w:pPr>
      <w:r>
        <w:rPr>
          <w:color w:val="676767"/>
        </w:rPr>
        <w:t>    </w:t>
      </w:r>
      <w:r>
        <w:rPr>
          <w:rFonts w:ascii="Arial;sans-serif" w:hAnsi="Arial;sans-serif"/>
          <w:b w:val="false"/>
          <w:color w:val="363636"/>
          <w:sz w:val="16"/>
        </w:rPr>
        <w:t>RSUs</w:t>
      </w:r>
      <w:r>
        <w:rPr>
          <w:rFonts w:ascii="Arial;sans-serif" w:hAnsi="Arial;sans-serif"/>
          <w:b w:val="false"/>
          <w:color w:val="525250"/>
          <w:sz w:val="16"/>
        </w:rPr>
        <w:t>,</w:t>
      </w:r>
      <w:r>
        <w:rPr>
          <w:color w:val="525250"/>
        </w:rPr>
        <w:t xml:space="preserve"> </w:t>
      </w:r>
      <w:r>
        <w:rPr>
          <w:rFonts w:ascii="Arial;sans-serif" w:hAnsi="Arial;sans-serif"/>
          <w:b w:val="false"/>
          <w:color w:val="363636"/>
          <w:sz w:val="16"/>
        </w:rPr>
        <w:t>vesting</w:t>
      </w:r>
      <w:r>
        <w:rPr>
          <w:color w:val="363636"/>
        </w:rPr>
        <w:t xml:space="preserve"> </w:t>
      </w:r>
      <w:r>
        <w:rPr>
          <w:rFonts w:ascii="Arial;sans-serif" w:hAnsi="Arial;sans-serif"/>
          <w:b w:val="false"/>
          <w:color w:val="363636"/>
          <w:sz w:val="16"/>
        </w:rPr>
        <w:t>on</w:t>
      </w:r>
      <w:r>
        <w:rPr>
          <w:color w:val="363636"/>
        </w:rPr>
        <w:t xml:space="preserve"> </w:t>
      </w:r>
      <w:r>
        <w:rPr>
          <w:rFonts w:ascii="Arial;sans-serif" w:hAnsi="Arial;sans-serif"/>
          <w:b w:val="false"/>
          <w:color w:val="363636"/>
          <w:sz w:val="16"/>
        </w:rPr>
        <w:t>a</w:t>
      </w:r>
      <w:r>
        <w:rPr>
          <w:color w:val="363636"/>
        </w:rPr>
        <w:t xml:space="preserve"> </w:t>
      </w:r>
      <w:r>
        <w:rPr>
          <w:rFonts w:ascii="Arial;sans-serif" w:hAnsi="Arial;sans-serif"/>
          <w:b w:val="false"/>
          <w:color w:val="232323"/>
          <w:sz w:val="16"/>
        </w:rPr>
        <w:t>ratable</w:t>
      </w:r>
      <w:r>
        <w:rPr>
          <w:color w:val="232323"/>
        </w:rPr>
        <w:t xml:space="preserve"> </w:t>
      </w:r>
      <w:r>
        <w:rPr>
          <w:rFonts w:ascii="Arial;sans-serif" w:hAnsi="Arial;sans-serif"/>
          <w:b w:val="false"/>
          <w:color w:val="363636"/>
          <w:sz w:val="16"/>
        </w:rPr>
        <w:t>basis</w:t>
      </w:r>
      <w:r>
        <w:rPr>
          <w:color w:val="363636"/>
        </w:rPr>
        <w:t xml:space="preserve"> </w:t>
      </w:r>
      <w:r>
        <w:rPr>
          <w:rFonts w:ascii="Arial;sans-serif" w:hAnsi="Arial;sans-serif"/>
          <w:b w:val="false"/>
          <w:color w:val="363636"/>
          <w:sz w:val="16"/>
        </w:rPr>
        <w:t>over</w:t>
      </w:r>
      <w:r>
        <w:rPr>
          <w:color w:val="363636"/>
        </w:rPr>
        <w:t xml:space="preserve"> </w:t>
      </w:r>
      <w:r>
        <w:rPr>
          <w:rFonts w:ascii="Arial;sans-serif" w:hAnsi="Arial;sans-serif"/>
          <w:b w:val="false"/>
          <w:color w:val="363636"/>
          <w:sz w:val="16"/>
        </w:rPr>
        <w:t>a</w:t>
      </w:r>
      <w:r>
        <w:rPr>
          <w:color w:val="363636"/>
        </w:rPr>
        <w:t xml:space="preserve"> </w:t>
      </w:r>
      <w:r>
        <w:rPr>
          <w:rFonts w:ascii="Arial;sans-serif" w:hAnsi="Arial;sans-serif"/>
          <w:b w:val="false"/>
          <w:color w:val="363636"/>
          <w:sz w:val="16"/>
        </w:rPr>
        <w:t>three-year</w:t>
      </w:r>
      <w:r>
        <w:rPr>
          <w:color w:val="363636"/>
        </w:rPr>
        <w:t xml:space="preserve"> </w:t>
      </w:r>
      <w:r>
        <w:rPr>
          <w:rFonts w:ascii="Arial;sans-serif" w:hAnsi="Arial;sans-serif"/>
          <w:b w:val="false"/>
          <w:color w:val="363636"/>
          <w:sz w:val="16"/>
        </w:rPr>
        <w:t>term,</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rPr>
        <w:t>60%</w:t>
      </w:r>
      <w:r>
        <w:rPr>
          <w:color w:val="363636"/>
        </w:rPr>
        <w:t xml:space="preserve"> </w:t>
      </w:r>
      <w:r>
        <w:rPr>
          <w:rFonts w:ascii="Arial;sans-serif" w:hAnsi="Arial;sans-serif"/>
          <w:b w:val="false"/>
          <w:color w:val="363636"/>
          <w:sz w:val="16"/>
        </w:rPr>
        <w:t>performance</w:t>
      </w:r>
      <w:r>
        <w:rPr>
          <w:color w:val="363636"/>
        </w:rPr>
        <w:t xml:space="preserve"> </w:t>
      </w:r>
      <w:r>
        <w:rPr>
          <w:rFonts w:ascii="Arial;sans-serif" w:hAnsi="Arial;sans-serif"/>
          <w:b w:val="false"/>
          <w:color w:val="363636"/>
          <w:sz w:val="16"/>
        </w:rPr>
        <w:t>stock</w:t>
      </w:r>
      <w:r>
        <w:rPr>
          <w:color w:val="363636"/>
        </w:rPr>
        <w:t xml:space="preserve"> </w:t>
      </w:r>
      <w:r>
        <w:rPr>
          <w:rFonts w:ascii="Arial;sans-serif" w:hAnsi="Arial;sans-serif"/>
          <w:b w:val="false"/>
          <w:color w:val="363636"/>
          <w:sz w:val="16"/>
        </w:rPr>
        <w:t>units</w:t>
      </w:r>
      <w:r>
        <w:rPr>
          <w:color w:val="363636"/>
        </w:rPr>
        <w:t xml:space="preserve"> </w:t>
      </w:r>
      <w:r>
        <w:rPr>
          <w:rFonts w:ascii="Arial;sans-serif" w:hAnsi="Arial;sans-serif"/>
          <w:b w:val="false"/>
          <w:color w:val="363636"/>
          <w:sz w:val="16"/>
        </w:rPr>
        <w:t>("PSUs</w:t>
      </w:r>
      <w:r>
        <w:rPr>
          <w:rFonts w:ascii="Arial;sans-serif" w:hAnsi="Arial;sans-serif"/>
          <w:b w:val="false"/>
          <w:color w:val="525250"/>
          <w:sz w:val="16"/>
        </w:rPr>
        <w:t>"</w:t>
      </w:r>
      <w:r>
        <w:rPr>
          <w:rFonts w:ascii="Arial;sans-serif" w:hAnsi="Arial;sans-serif"/>
          <w:b w:val="false"/>
          <w:color w:val="363636"/>
          <w:sz w:val="16"/>
        </w:rPr>
        <w:t>),</w:t>
      </w:r>
      <w:r>
        <w:rPr>
          <w:color w:val="363636"/>
        </w:rPr>
        <w:t xml:space="preserve"> </w:t>
      </w:r>
      <w:r>
        <w:rPr>
          <w:rFonts w:ascii="Arial;sans-serif" w:hAnsi="Arial;sans-serif"/>
          <w:b w:val="false"/>
          <w:color w:val="363636"/>
          <w:sz w:val="16"/>
        </w:rPr>
        <w:t>vesting</w:t>
      </w:r>
      <w:r>
        <w:rPr>
          <w:color w:val="363636"/>
        </w:rPr>
        <w:t xml:space="preserve"> </w:t>
      </w:r>
      <w:r>
        <w:rPr>
          <w:rFonts w:ascii="Arial;sans-serif" w:hAnsi="Arial;sans-serif"/>
          <w:b w:val="false"/>
          <w:color w:val="363636"/>
          <w:sz w:val="16"/>
        </w:rPr>
        <w:t>at</w:t>
      </w:r>
      <w:r>
        <w:rPr>
          <w:color w:val="363636"/>
        </w:rPr>
        <w:t xml:space="preserve"> </w:t>
      </w:r>
      <w:r>
        <w:rPr>
          <w:rFonts w:ascii="Arial;sans-serif" w:hAnsi="Arial;sans-serif"/>
          <w:b w:val="false"/>
          <w:color w:val="363636"/>
          <w:sz w:val="16"/>
        </w:rPr>
        <w:t>the</w:t>
      </w:r>
    </w:p>
    <w:p>
      <w:pPr>
        <w:pStyle w:val="TextBody"/>
        <w:bidi w:val="0"/>
        <w:spacing w:lineRule="auto" w:line="307" w:before="18" w:after="283"/>
        <w:jc w:val="left"/>
        <w:rPr/>
      </w:pPr>
      <w:r>
        <w:rPr>
          <w:rFonts w:ascii="Arial;sans-serif" w:hAnsi="Arial;sans-serif"/>
          <w:b w:val="false"/>
          <w:color w:val="363636"/>
          <w:sz w:val="16"/>
        </w:rPr>
        <w:t>end</w:t>
      </w:r>
      <w:r>
        <w:rPr>
          <w:color w:val="363636"/>
        </w:rPr>
        <w:t xml:space="preserve"> </w:t>
      </w:r>
      <w:r>
        <w:rPr>
          <w:rFonts w:ascii="Arial;sans-serif" w:hAnsi="Arial;sans-serif"/>
          <w:b w:val="false"/>
          <w:color w:val="363636"/>
          <w:sz w:val="16"/>
        </w:rPr>
        <w:t>of</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three-year</w:t>
      </w:r>
      <w:r>
        <w:rPr>
          <w:color w:val="363636"/>
        </w:rPr>
        <w:t xml:space="preserve"> </w:t>
      </w:r>
      <w:r>
        <w:rPr>
          <w:rFonts w:ascii="Arial;sans-serif" w:hAnsi="Arial;sans-serif"/>
          <w:b w:val="false"/>
          <w:color w:val="363636"/>
          <w:sz w:val="16"/>
        </w:rPr>
        <w:t>performance</w:t>
      </w:r>
      <w:r>
        <w:rPr>
          <w:color w:val="363636"/>
        </w:rPr>
        <w:t xml:space="preserve"> </w:t>
      </w:r>
      <w:r>
        <w:rPr>
          <w:rFonts w:ascii="Arial;sans-serif" w:hAnsi="Arial;sans-serif"/>
          <w:b w:val="false"/>
          <w:color w:val="363636"/>
          <w:sz w:val="16"/>
        </w:rPr>
        <w:t>cycle</w:t>
      </w:r>
      <w:r>
        <w:rPr>
          <w:color w:val="363636"/>
        </w:rPr>
        <w:t xml:space="preserve"> </w:t>
      </w:r>
      <w:r>
        <w:rPr>
          <w:rFonts w:ascii="Arial;sans-serif" w:hAnsi="Arial;sans-serif"/>
          <w:b w:val="false"/>
          <w:color w:val="363636"/>
          <w:sz w:val="16"/>
        </w:rPr>
        <w:t>based</w:t>
      </w:r>
      <w:r>
        <w:rPr>
          <w:color w:val="363636"/>
        </w:rPr>
        <w:t xml:space="preserve"> </w:t>
      </w:r>
      <w:r>
        <w:rPr>
          <w:rFonts w:ascii="Arial;sans-serif" w:hAnsi="Arial;sans-serif"/>
          <w:b w:val="false"/>
          <w:color w:val="363636"/>
          <w:sz w:val="16"/>
        </w:rPr>
        <w:t>on</w:t>
      </w:r>
      <w:r>
        <w:rPr>
          <w:color w:val="363636"/>
        </w:rPr>
        <w:t xml:space="preserve"> </w:t>
      </w:r>
      <w:r>
        <w:rPr>
          <w:rFonts w:ascii="Arial;sans-serif" w:hAnsi="Arial;sans-serif"/>
          <w:b w:val="false"/>
          <w:color w:val="363636"/>
          <w:sz w:val="16"/>
        </w:rPr>
        <w:t>company</w:t>
      </w:r>
      <w:r>
        <w:rPr>
          <w:color w:val="363636"/>
        </w:rPr>
        <w:t xml:space="preserve"> </w:t>
      </w:r>
      <w:r>
        <w:rPr>
          <w:rFonts w:ascii="Arial;sans-serif" w:hAnsi="Arial;sans-serif"/>
          <w:b w:val="false"/>
          <w:color w:val="363636"/>
          <w:sz w:val="16"/>
        </w:rPr>
        <w:t>performance,</w:t>
      </w:r>
      <w:r>
        <w:rPr>
          <w:color w:val="363636"/>
        </w:rPr>
        <w:t xml:space="preserve"> </w:t>
      </w:r>
      <w:r>
        <w:rPr>
          <w:rFonts w:ascii="Arial;sans-serif" w:hAnsi="Arial;sans-serif"/>
          <w:b w:val="false"/>
          <w:color w:val="363636"/>
          <w:sz w:val="16"/>
        </w:rPr>
        <w:t>Committee</w:t>
      </w:r>
      <w:r>
        <w:rPr>
          <w:color w:val="363636"/>
        </w:rPr>
        <w:t xml:space="preserve"> </w:t>
      </w:r>
      <w:r>
        <w:rPr>
          <w:rFonts w:ascii="Arial;sans-serif" w:hAnsi="Arial;sans-serif"/>
          <w:b w:val="false"/>
          <w:color w:val="363636"/>
          <w:sz w:val="16"/>
        </w:rPr>
        <w:t>approval,</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rPr>
        <w:t>your continued employment through the vest</w:t>
      </w:r>
      <w:r>
        <w:rPr>
          <w:color w:val="363636"/>
        </w:rPr>
        <w:t xml:space="preserve"> </w:t>
      </w:r>
      <w:r>
        <w:rPr>
          <w:rFonts w:ascii="Arial;sans-serif" w:hAnsi="Arial;sans-serif"/>
          <w:b w:val="false"/>
          <w:color w:val="363636"/>
          <w:sz w:val="16"/>
        </w:rPr>
        <w:t>date.</w:t>
      </w:r>
    </w:p>
    <w:p>
      <w:pPr>
        <w:pStyle w:val="TextBody"/>
        <w:bidi w:val="0"/>
        <w:spacing w:before="18" w:after="283"/>
        <w:jc w:val="left"/>
        <w:rPr/>
      </w:pPr>
      <w:r>
        <w:rPr/>
      </w:r>
    </w:p>
    <w:p>
      <w:pPr>
        <w:pStyle w:val="TextBody"/>
        <w:bidi w:val="0"/>
        <w:spacing w:lineRule="auto" w:line="314" w:before="0" w:after="0"/>
        <w:ind w:left="0" w:right="0" w:hanging="1"/>
        <w:jc w:val="both"/>
        <w:rPr/>
      </w:pPr>
      <w:r>
        <w:rPr>
          <w:rFonts w:ascii="Arial;sans-serif" w:hAnsi="Arial;sans-serif"/>
          <w:b w:val="false"/>
          <w:color w:val="363636"/>
          <w:sz w:val="16"/>
        </w:rPr>
        <w:t>If</w:t>
      </w:r>
      <w:r>
        <w:rPr>
          <w:color w:val="363636"/>
        </w:rPr>
        <w:t xml:space="preserve"> </w:t>
      </w:r>
      <w:r>
        <w:rPr>
          <w:rFonts w:ascii="Arial;sans-serif" w:hAnsi="Arial;sans-serif"/>
          <w:b w:val="false"/>
          <w:color w:val="363636"/>
          <w:sz w:val="16"/>
        </w:rPr>
        <w:t>approved,</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equity</w:t>
      </w:r>
      <w:r>
        <w:rPr>
          <w:color w:val="363636"/>
        </w:rPr>
        <w:t xml:space="preserve"> </w:t>
      </w:r>
      <w:r>
        <w:rPr>
          <w:rFonts w:ascii="Arial;sans-serif" w:hAnsi="Arial;sans-serif"/>
          <w:b w:val="false"/>
          <w:color w:val="363636"/>
          <w:sz w:val="16"/>
        </w:rPr>
        <w:t>awards</w:t>
      </w:r>
      <w:r>
        <w:rPr>
          <w:color w:val="363636"/>
        </w:rPr>
        <w:t xml:space="preserve"> </w:t>
      </w:r>
      <w:r>
        <w:rPr>
          <w:rFonts w:ascii="Arial;sans-serif" w:hAnsi="Arial;sans-serif"/>
          <w:b w:val="false"/>
          <w:color w:val="363636"/>
          <w:sz w:val="16"/>
        </w:rPr>
        <w:t>will</w:t>
      </w:r>
      <w:r>
        <w:rPr>
          <w:color w:val="363636"/>
        </w:rPr>
        <w:t xml:space="preserve"> </w:t>
      </w:r>
      <w:r>
        <w:rPr>
          <w:rFonts w:ascii="Arial;sans-serif" w:hAnsi="Arial;sans-serif"/>
          <w:b w:val="false"/>
          <w:color w:val="363636"/>
          <w:sz w:val="16"/>
        </w:rPr>
        <w:t>be</w:t>
      </w:r>
      <w:r>
        <w:rPr>
          <w:color w:val="363636"/>
        </w:rPr>
        <w:t xml:space="preserve"> </w:t>
      </w:r>
      <w:r>
        <w:rPr>
          <w:rFonts w:ascii="Arial;sans-serif" w:hAnsi="Arial;sans-serif"/>
          <w:b w:val="false"/>
          <w:color w:val="363636"/>
          <w:sz w:val="16"/>
        </w:rPr>
        <w:t>granted</w:t>
      </w:r>
      <w:r>
        <w:rPr>
          <w:color w:val="363636"/>
        </w:rPr>
        <w:t xml:space="preserve"> </w:t>
      </w:r>
      <w:r>
        <w:rPr>
          <w:rFonts w:ascii="Arial;sans-serif" w:hAnsi="Arial;sans-serif"/>
          <w:b w:val="false"/>
          <w:color w:val="363636"/>
          <w:sz w:val="16"/>
        </w:rPr>
        <w:t>under and</w:t>
      </w:r>
      <w:r>
        <w:rPr>
          <w:color w:val="363636"/>
        </w:rPr>
        <w:t xml:space="preserve"> </w:t>
      </w:r>
      <w:r>
        <w:rPr>
          <w:rFonts w:ascii="Arial;sans-serif" w:hAnsi="Arial;sans-serif"/>
          <w:b w:val="false"/>
          <w:color w:val="363636"/>
          <w:sz w:val="16"/>
        </w:rPr>
        <w:t>subject</w:t>
      </w:r>
      <w:r>
        <w:rPr>
          <w:color w:val="363636"/>
        </w:rPr>
        <w:t xml:space="preserve"> </w:t>
      </w:r>
      <w:r>
        <w:rPr>
          <w:rFonts w:ascii="Arial;sans-serif" w:hAnsi="Arial;sans-serif"/>
          <w:b w:val="false"/>
          <w:color w:val="232323"/>
          <w:sz w:val="16"/>
        </w:rPr>
        <w:t>to</w:t>
      </w:r>
      <w:r>
        <w:rPr>
          <w:color w:val="232323"/>
        </w:rPr>
        <w:t xml:space="preserve"> </w:t>
      </w:r>
      <w:r>
        <w:rPr>
          <w:rFonts w:ascii="Arial;sans-serif" w:hAnsi="Arial;sans-serif"/>
          <w:b w:val="false"/>
          <w:color w:val="232323"/>
          <w:sz w:val="16"/>
        </w:rPr>
        <w:t xml:space="preserve">the </w:t>
      </w:r>
      <w:r>
        <w:rPr>
          <w:rFonts w:ascii="Arial;sans-serif" w:hAnsi="Arial;sans-serif"/>
          <w:b w:val="false"/>
          <w:color w:val="363636"/>
          <w:sz w:val="16"/>
        </w:rPr>
        <w:t>terms and</w:t>
      </w:r>
      <w:r>
        <w:rPr>
          <w:color w:val="363636"/>
        </w:rPr>
        <w:t xml:space="preserve"> </w:t>
      </w:r>
      <w:r>
        <w:rPr>
          <w:rFonts w:ascii="Arial;sans-serif" w:hAnsi="Arial;sans-serif"/>
          <w:b w:val="false"/>
          <w:color w:val="363636"/>
          <w:sz w:val="16"/>
        </w:rPr>
        <w:t>conditions</w:t>
      </w:r>
      <w:r>
        <w:rPr>
          <w:color w:val="363636"/>
        </w:rPr>
        <w:t xml:space="preserve"> </w:t>
      </w:r>
      <w:r>
        <w:rPr>
          <w:rFonts w:ascii="Arial;sans-serif" w:hAnsi="Arial;sans-serif"/>
          <w:b w:val="false"/>
          <w:color w:val="363636"/>
          <w:sz w:val="16"/>
        </w:rPr>
        <w:t>o</w:t>
      </w:r>
      <w:r>
        <w:rPr>
          <w:rFonts w:ascii="Arial;sans-serif" w:hAnsi="Arial;sans-serif"/>
          <w:b w:val="false"/>
          <w:color w:val="111111"/>
          <w:sz w:val="16"/>
        </w:rPr>
        <w:t>f</w:t>
      </w:r>
      <w:r>
        <w:rPr>
          <w:rFonts w:ascii="Arial;sans-serif" w:hAnsi="Arial;sans-serif"/>
          <w:b w:val="false"/>
          <w:color w:val="525250"/>
          <w:sz w:val="1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Company's</w:t>
      </w:r>
      <w:r>
        <w:rPr>
          <w:color w:val="363636"/>
        </w:rPr>
        <w:t xml:space="preserve"> </w:t>
      </w:r>
      <w:r>
        <w:rPr>
          <w:rFonts w:ascii="Arial;sans-serif" w:hAnsi="Arial;sans-serif"/>
          <w:b w:val="false"/>
          <w:color w:val="363636"/>
          <w:sz w:val="16"/>
        </w:rPr>
        <w:t>Plan,</w:t>
      </w:r>
      <w:r>
        <w:rPr>
          <w:color w:val="363636"/>
        </w:rPr>
        <w:t xml:space="preserve"> </w:t>
      </w:r>
      <w:r>
        <w:rPr>
          <w:rFonts w:ascii="Arial;sans-serif" w:hAnsi="Arial;sans-serif"/>
          <w:b w:val="false"/>
          <w:color w:val="363636"/>
          <w:sz w:val="16"/>
        </w:rPr>
        <w:t>as</w:t>
      </w:r>
      <w:r>
        <w:rPr>
          <w:color w:val="363636"/>
        </w:rPr>
        <w:t xml:space="preserve"> </w:t>
      </w:r>
      <w:r>
        <w:rPr>
          <w:rFonts w:ascii="Arial;sans-serif" w:hAnsi="Arial;sans-serif"/>
          <w:b w:val="false"/>
          <w:color w:val="363636"/>
          <w:sz w:val="16"/>
        </w:rPr>
        <w:t>well as</w:t>
      </w:r>
      <w:r>
        <w:rPr>
          <w:color w:val="363636"/>
        </w:rPr>
        <w:t xml:space="preserve"> </w:t>
      </w:r>
      <w:r>
        <w:rPr>
          <w:rFonts w:ascii="Arial;sans-serif" w:hAnsi="Arial;sans-serif"/>
          <w:b w:val="false"/>
          <w:color w:val="232323"/>
          <w:sz w:val="16"/>
        </w:rPr>
        <w:t>the</w:t>
      </w:r>
      <w:r>
        <w:rPr>
          <w:color w:val="232323"/>
        </w:rPr>
        <w:t xml:space="preserve"> </w:t>
      </w:r>
      <w:r>
        <w:rPr>
          <w:rFonts w:ascii="Arial;sans-serif" w:hAnsi="Arial;sans-serif"/>
          <w:b w:val="false"/>
          <w:color w:val="363636"/>
          <w:sz w:val="16"/>
        </w:rPr>
        <w:t>terms and</w:t>
      </w:r>
      <w:r>
        <w:rPr>
          <w:color w:val="363636"/>
        </w:rPr>
        <w:t xml:space="preserve"> </w:t>
      </w:r>
      <w:r>
        <w:rPr>
          <w:rFonts w:ascii="Arial;sans-serif" w:hAnsi="Arial;sans-serif"/>
          <w:b w:val="false"/>
          <w:color w:val="363636"/>
          <w:sz w:val="16"/>
        </w:rPr>
        <w:t>conditions</w:t>
      </w:r>
      <w:r>
        <w:rPr>
          <w:color w:val="363636"/>
        </w:rPr>
        <w:t xml:space="preserve"> </w:t>
      </w:r>
      <w:r>
        <w:rPr>
          <w:rFonts w:ascii="Arial;sans-serif" w:hAnsi="Arial;sans-serif"/>
          <w:b w:val="false"/>
          <w:color w:val="363636"/>
          <w:sz w:val="16"/>
        </w:rPr>
        <w:t>of</w:t>
      </w:r>
      <w:r>
        <w:rPr>
          <w:color w:val="363636"/>
        </w:rPr>
        <w:t xml:space="preserve"> </w:t>
      </w:r>
      <w:r>
        <w:rPr>
          <w:rFonts w:ascii="Arial;sans-serif" w:hAnsi="Arial;sans-serif"/>
          <w:b w:val="false"/>
          <w:color w:val="232323"/>
          <w:sz w:val="16"/>
        </w:rPr>
        <w:t>the</w:t>
      </w:r>
      <w:r>
        <w:rPr>
          <w:color w:val="232323"/>
        </w:rPr>
        <w:t xml:space="preserve"> </w:t>
      </w:r>
      <w:r>
        <w:rPr>
          <w:rFonts w:ascii="Arial;sans-serif" w:hAnsi="Arial;sans-serif"/>
          <w:b w:val="false"/>
          <w:color w:val="363636"/>
          <w:sz w:val="16"/>
        </w:rPr>
        <w:t>applicable</w:t>
      </w:r>
      <w:r>
        <w:rPr>
          <w:color w:val="363636"/>
        </w:rPr>
        <w:t xml:space="preserve"> </w:t>
      </w:r>
      <w:r>
        <w:rPr>
          <w:rFonts w:ascii="Arial;sans-serif" w:hAnsi="Arial;sans-serif"/>
          <w:b w:val="false"/>
          <w:color w:val="363636"/>
          <w:sz w:val="16"/>
        </w:rPr>
        <w:t xml:space="preserve">award </w:t>
      </w:r>
      <w:r>
        <w:rPr>
          <w:rFonts w:ascii="Arial;sans-serif" w:hAnsi="Arial;sans-serif"/>
          <w:b w:val="false"/>
          <w:color w:val="111111"/>
          <w:sz w:val="16"/>
        </w:rPr>
        <w:t xml:space="preserve">agreement, </w:t>
      </w:r>
      <w:r>
        <w:rPr>
          <w:rFonts w:ascii="Arial;sans-serif" w:hAnsi="Arial;sans-serif"/>
          <w:b w:val="false"/>
          <w:color w:val="363636"/>
          <w:sz w:val="16"/>
        </w:rPr>
        <w:t>which will</w:t>
      </w:r>
      <w:r>
        <w:rPr>
          <w:color w:val="363636"/>
        </w:rPr>
        <w:t xml:space="preserve"> </w:t>
      </w:r>
      <w:r>
        <w:rPr>
          <w:rFonts w:ascii="Arial;sans-serif" w:hAnsi="Arial;sans-serif"/>
          <w:b w:val="false"/>
          <w:color w:val="363636"/>
          <w:sz w:val="16"/>
        </w:rPr>
        <w:t>be provided</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you as</w:t>
      </w:r>
      <w:r>
        <w:rPr>
          <w:color w:val="363636"/>
        </w:rPr>
        <w:t xml:space="preserve"> </w:t>
      </w:r>
      <w:r>
        <w:rPr>
          <w:rFonts w:ascii="Arial;sans-serif" w:hAnsi="Arial;sans-serif"/>
          <w:b w:val="false"/>
          <w:color w:val="363636"/>
          <w:sz w:val="16"/>
        </w:rPr>
        <w:t>soon as</w:t>
      </w:r>
      <w:r>
        <w:rPr>
          <w:color w:val="363636"/>
        </w:rPr>
        <w:t xml:space="preserve"> </w:t>
      </w:r>
      <w:r>
        <w:rPr>
          <w:rFonts w:ascii="Arial;sans-serif" w:hAnsi="Arial;sans-serif"/>
          <w:b w:val="false"/>
          <w:color w:val="363636"/>
          <w:sz w:val="16"/>
        </w:rPr>
        <w:t xml:space="preserve">practicable after the </w:t>
      </w:r>
      <w:r>
        <w:rPr>
          <w:rFonts w:ascii="Arial;sans-serif" w:hAnsi="Arial;sans-serif"/>
          <w:b w:val="false"/>
          <w:color w:val="232323"/>
          <w:sz w:val="16"/>
        </w:rPr>
        <w:t>grant</w:t>
      </w:r>
      <w:r>
        <w:rPr>
          <w:color w:val="232323"/>
        </w:rPr>
        <w:t xml:space="preserve"> </w:t>
      </w:r>
      <w:r>
        <w:rPr>
          <w:rFonts w:ascii="Arial;sans-serif" w:hAnsi="Arial;sans-serif"/>
          <w:b w:val="false"/>
          <w:color w:val="363636"/>
          <w:sz w:val="16"/>
        </w:rPr>
        <w:t>date</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rPr>
        <w:t>which</w:t>
      </w:r>
      <w:r>
        <w:rPr>
          <w:color w:val="363636"/>
        </w:rPr>
        <w:t xml:space="preserve"> </w:t>
      </w:r>
      <w:r>
        <w:rPr>
          <w:rFonts w:ascii="Arial;sans-serif" w:hAnsi="Arial;sans-serif"/>
          <w:b w:val="false"/>
          <w:color w:val="363636"/>
          <w:sz w:val="16"/>
        </w:rPr>
        <w:t>you</w:t>
      </w:r>
      <w:r>
        <w:rPr>
          <w:color w:val="363636"/>
        </w:rPr>
        <w:t xml:space="preserve"> </w:t>
      </w:r>
      <w:r>
        <w:rPr>
          <w:rFonts w:ascii="Arial;sans-serif" w:hAnsi="Arial;sans-serif"/>
          <w:b w:val="false"/>
          <w:color w:val="363636"/>
          <w:sz w:val="16"/>
        </w:rPr>
        <w:t>will</w:t>
      </w:r>
      <w:r>
        <w:rPr>
          <w:color w:val="363636"/>
        </w:rPr>
        <w:t xml:space="preserve"> </w:t>
      </w:r>
      <w:r>
        <w:rPr>
          <w:rFonts w:ascii="Arial;sans-serif" w:hAnsi="Arial;sans-serif"/>
          <w:b w:val="false"/>
          <w:color w:val="363636"/>
          <w:sz w:val="16"/>
        </w:rPr>
        <w:t>be</w:t>
      </w:r>
      <w:r>
        <w:rPr>
          <w:color w:val="363636"/>
        </w:rPr>
        <w:t xml:space="preserve"> </w:t>
      </w:r>
      <w:r>
        <w:rPr>
          <w:rFonts w:ascii="Arial;sans-serif" w:hAnsi="Arial;sans-serif"/>
          <w:b w:val="false"/>
          <w:color w:val="111111"/>
          <w:sz w:val="16"/>
        </w:rPr>
        <w:t>required</w:t>
      </w:r>
      <w:r>
        <w:rPr>
          <w:color w:val="111111"/>
        </w:rPr>
        <w:t xml:space="preserve"> </w:t>
      </w:r>
      <w:r>
        <w:rPr>
          <w:rFonts w:ascii="Arial;sans-serif" w:hAnsi="Arial;sans-serif"/>
          <w:b w:val="false"/>
          <w:color w:val="111111"/>
          <w:sz w:val="16"/>
        </w:rPr>
        <w:t>to</w:t>
      </w:r>
      <w:r>
        <w:rPr>
          <w:color w:val="111111"/>
        </w:rPr>
        <w:t xml:space="preserve"> </w:t>
      </w:r>
      <w:r>
        <w:rPr>
          <w:rFonts w:ascii="Arial;sans-serif" w:hAnsi="Arial;sans-serif"/>
          <w:b w:val="false"/>
          <w:color w:val="363636"/>
          <w:sz w:val="16"/>
        </w:rPr>
        <w:t>accept</w:t>
      </w:r>
      <w:r>
        <w:rPr>
          <w:color w:val="363636"/>
        </w:rPr>
        <w:t xml:space="preserve"> </w:t>
      </w:r>
      <w:r>
        <w:rPr>
          <w:rFonts w:ascii="Arial;sans-serif" w:hAnsi="Arial;sans-serif"/>
          <w:b w:val="false"/>
          <w:color w:val="363636"/>
          <w:sz w:val="16"/>
        </w:rPr>
        <w:t>in</w:t>
      </w:r>
      <w:r>
        <w:rPr>
          <w:color w:val="363636"/>
        </w:rPr>
        <w:t xml:space="preserve"> </w:t>
      </w:r>
      <w:r>
        <w:rPr>
          <w:rFonts w:ascii="Arial;sans-serif" w:hAnsi="Arial;sans-serif"/>
          <w:b w:val="false"/>
          <w:color w:val="363636"/>
          <w:sz w:val="16"/>
        </w:rPr>
        <w:t>accordance</w:t>
      </w:r>
      <w:r>
        <w:rPr>
          <w:color w:val="363636"/>
        </w:rPr>
        <w:t xml:space="preserve"> </w:t>
      </w:r>
      <w:r>
        <w:rPr>
          <w:rFonts w:ascii="Arial;sans-serif" w:hAnsi="Arial;sans-serif"/>
          <w:b w:val="false"/>
          <w:color w:val="232323"/>
          <w:sz w:val="16"/>
        </w:rPr>
        <w:t>with</w:t>
      </w:r>
      <w:r>
        <w:rPr>
          <w:color w:val="232323"/>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Company's</w:t>
      </w:r>
      <w:r>
        <w:rPr>
          <w:color w:val="363636"/>
        </w:rPr>
        <w:t xml:space="preserve"> </w:t>
      </w:r>
      <w:r>
        <w:rPr>
          <w:rFonts w:ascii="Arial;sans-serif" w:hAnsi="Arial;sans-serif"/>
          <w:b w:val="false"/>
          <w:color w:val="363636"/>
          <w:sz w:val="16"/>
        </w:rPr>
        <w:t>acceptance</w:t>
      </w:r>
      <w:r>
        <w:rPr>
          <w:color w:val="363636"/>
        </w:rPr>
        <w:t xml:space="preserve"> </w:t>
      </w:r>
      <w:r>
        <w:rPr>
          <w:rFonts w:ascii="Arial;sans-serif" w:hAnsi="Arial;sans-serif"/>
          <w:b w:val="false"/>
          <w:color w:val="363636"/>
          <w:sz w:val="16"/>
        </w:rPr>
        <w:t>procedures.</w:t>
      </w:r>
      <w:r>
        <w:rPr>
          <w:color w:val="363636"/>
        </w:rPr>
        <w:t xml:space="preserve"> </w:t>
      </w:r>
      <w:r>
        <w:rPr>
          <w:rFonts w:ascii="Arial;sans-serif" w:hAnsi="Arial;sans-serif"/>
          <w:b w:val="false"/>
          <w:color w:val="363636"/>
          <w:sz w:val="16"/>
        </w:rPr>
        <w:t>Each</w:t>
      </w:r>
      <w:r>
        <w:rPr>
          <w:color w:val="363636"/>
        </w:rPr>
        <w:t xml:space="preserve"> </w:t>
      </w:r>
      <w:r>
        <w:rPr>
          <w:rFonts w:ascii="Arial;sans-serif" w:hAnsi="Arial;sans-serif"/>
          <w:b w:val="false"/>
          <w:color w:val="363636"/>
          <w:sz w:val="16"/>
        </w:rPr>
        <w:t>equity award</w:t>
      </w:r>
      <w:r>
        <w:rPr>
          <w:color w:val="363636"/>
        </w:rPr>
        <w:t xml:space="preserve"> </w:t>
      </w:r>
      <w:r>
        <w:rPr>
          <w:rFonts w:ascii="Arial;sans-serif" w:hAnsi="Arial;sans-serif"/>
          <w:b w:val="false"/>
          <w:color w:val="363636"/>
          <w:sz w:val="16"/>
        </w:rPr>
        <w:t>shall</w:t>
      </w:r>
      <w:r>
        <w:rPr>
          <w:color w:val="363636"/>
        </w:rPr>
        <w:t xml:space="preserve"> </w:t>
      </w:r>
      <w:r>
        <w:rPr>
          <w:rFonts w:ascii="Arial;sans-serif" w:hAnsi="Arial;sans-serif"/>
          <w:b w:val="false"/>
          <w:color w:val="363636"/>
          <w:sz w:val="16"/>
        </w:rPr>
        <w:t>vest</w:t>
      </w:r>
      <w:r>
        <w:rPr>
          <w:color w:val="363636"/>
        </w:rPr>
        <w:t xml:space="preserve"> </w:t>
      </w:r>
      <w:r>
        <w:rPr>
          <w:rFonts w:ascii="Arial;sans-serif" w:hAnsi="Arial;sans-serif"/>
          <w:b w:val="false"/>
          <w:color w:val="363636"/>
          <w:sz w:val="16"/>
        </w:rPr>
        <w:t>in</w:t>
      </w:r>
      <w:r>
        <w:rPr>
          <w:color w:val="363636"/>
        </w:rPr>
        <w:t xml:space="preserve"> </w:t>
      </w:r>
      <w:r>
        <w:rPr>
          <w:rFonts w:ascii="Arial;sans-serif" w:hAnsi="Arial;sans-serif"/>
          <w:b w:val="false"/>
          <w:color w:val="363636"/>
          <w:sz w:val="16"/>
        </w:rPr>
        <w:t>accordance</w:t>
      </w:r>
      <w:r>
        <w:rPr>
          <w:color w:val="363636"/>
        </w:rPr>
        <w:t xml:space="preserve"> </w:t>
      </w:r>
      <w:r>
        <w:rPr>
          <w:rFonts w:ascii="Arial;sans-serif" w:hAnsi="Arial;sans-serif"/>
          <w:b w:val="false"/>
          <w:color w:val="363636"/>
          <w:sz w:val="16"/>
        </w:rPr>
        <w:t>with</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vesting</w:t>
      </w:r>
      <w:r>
        <w:rPr>
          <w:color w:val="363636"/>
        </w:rPr>
        <w:t xml:space="preserve"> </w:t>
      </w:r>
      <w:r>
        <w:rPr>
          <w:rFonts w:ascii="Arial;sans-serif" w:hAnsi="Arial;sans-serif"/>
          <w:b w:val="false"/>
          <w:color w:val="363636"/>
          <w:sz w:val="16"/>
        </w:rPr>
        <w:t>schedule</w:t>
      </w:r>
      <w:r>
        <w:rPr>
          <w:color w:val="363636"/>
        </w:rPr>
        <w:t xml:space="preserve"> </w:t>
      </w:r>
      <w:r>
        <w:rPr>
          <w:rFonts w:ascii="Arial;sans-serif" w:hAnsi="Arial;sans-serif"/>
          <w:b w:val="false"/>
          <w:color w:val="363636"/>
          <w:sz w:val="16"/>
        </w:rPr>
        <w:t>set</w:t>
      </w:r>
      <w:r>
        <w:rPr>
          <w:color w:val="363636"/>
        </w:rPr>
        <w:t xml:space="preserve"> </w:t>
      </w:r>
      <w:r>
        <w:rPr>
          <w:rFonts w:ascii="Arial;sans-serif" w:hAnsi="Arial;sans-serif"/>
          <w:b w:val="false"/>
          <w:color w:val="232323"/>
          <w:sz w:val="16"/>
        </w:rPr>
        <w:t>forth</w:t>
      </w:r>
      <w:r>
        <w:rPr>
          <w:color w:val="232323"/>
        </w:rPr>
        <w:t xml:space="preserve"> </w:t>
      </w:r>
      <w:r>
        <w:rPr>
          <w:rFonts w:ascii="Arial;sans-serif" w:hAnsi="Arial;sans-serif"/>
          <w:b w:val="false"/>
          <w:color w:val="525250"/>
          <w:sz w:val="16"/>
        </w:rPr>
        <w:t>i</w:t>
      </w:r>
      <w:r>
        <w:rPr>
          <w:rFonts w:ascii="Arial;sans-serif" w:hAnsi="Arial;sans-serif"/>
          <w:b w:val="false"/>
          <w:color w:val="363636"/>
          <w:sz w:val="16"/>
        </w:rPr>
        <w:t>n</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app</w:t>
      </w:r>
      <w:r>
        <w:rPr>
          <w:rFonts w:ascii="Arial;sans-serif" w:hAnsi="Arial;sans-serif"/>
          <w:b w:val="false"/>
          <w:color w:val="111111"/>
          <w:sz w:val="16"/>
        </w:rPr>
        <w:t>li</w:t>
      </w:r>
      <w:r>
        <w:rPr>
          <w:rFonts w:ascii="Arial;sans-serif" w:hAnsi="Arial;sans-serif"/>
          <w:b w:val="false"/>
          <w:color w:val="363636"/>
          <w:sz w:val="16"/>
        </w:rPr>
        <w:t>cab</w:t>
      </w:r>
      <w:r>
        <w:rPr>
          <w:rFonts w:ascii="Arial;sans-serif" w:hAnsi="Arial;sans-serif"/>
          <w:b w:val="false"/>
          <w:color w:val="525250"/>
          <w:sz w:val="16"/>
        </w:rPr>
        <w:t>l</w:t>
      </w:r>
      <w:r>
        <w:rPr>
          <w:rFonts w:ascii="Arial;sans-serif" w:hAnsi="Arial;sans-serif"/>
          <w:b w:val="false"/>
          <w:color w:val="363636"/>
          <w:sz w:val="16"/>
        </w:rPr>
        <w:t>e</w:t>
      </w:r>
      <w:r>
        <w:rPr>
          <w:color w:val="363636"/>
        </w:rPr>
        <w:t xml:space="preserve"> </w:t>
      </w:r>
      <w:r>
        <w:rPr>
          <w:rFonts w:ascii="Arial;sans-serif" w:hAnsi="Arial;sans-serif"/>
          <w:b w:val="false"/>
          <w:color w:val="363636"/>
          <w:sz w:val="16"/>
        </w:rPr>
        <w:t>award</w:t>
      </w:r>
      <w:r>
        <w:rPr>
          <w:color w:val="363636"/>
        </w:rPr>
        <w:t xml:space="preserve"> </w:t>
      </w:r>
      <w:r>
        <w:rPr>
          <w:rFonts w:ascii="Arial;sans-serif" w:hAnsi="Arial;sans-serif"/>
          <w:b w:val="false"/>
          <w:color w:val="363636"/>
          <w:sz w:val="16"/>
        </w:rPr>
        <w:t>agreement.</w:t>
      </w:r>
    </w:p>
    <w:p>
      <w:pPr>
        <w:pStyle w:val="TextBody"/>
        <w:bidi w:val="0"/>
        <w:spacing w:before="15" w:after="283"/>
        <w:jc w:val="left"/>
        <w:rPr/>
      </w:pPr>
      <w:r>
        <w:rPr/>
      </w:r>
    </w:p>
    <w:p>
      <w:pPr>
        <w:pStyle w:val="TextBody"/>
        <w:bidi w:val="0"/>
        <w:spacing w:lineRule="auto" w:line="300" w:before="0" w:after="0"/>
        <w:ind w:left="0" w:right="0" w:firstLine="3"/>
        <w:jc w:val="both"/>
        <w:rPr/>
      </w:pPr>
      <w:r>
        <w:rPr>
          <w:rFonts w:ascii="Arial;sans-serif" w:hAnsi="Arial;sans-serif"/>
          <w:b w:val="false"/>
          <w:color w:val="232323"/>
          <w:sz w:val="16"/>
        </w:rPr>
        <w:t>Please</w:t>
      </w:r>
      <w:r>
        <w:rPr>
          <w:color w:val="232323"/>
        </w:rPr>
        <w:t xml:space="preserve"> </w:t>
      </w:r>
      <w:r>
        <w:rPr>
          <w:rFonts w:ascii="Arial;sans-serif" w:hAnsi="Arial;sans-serif"/>
          <w:b w:val="false"/>
          <w:color w:val="363636"/>
          <w:sz w:val="16"/>
        </w:rPr>
        <w:t>note</w:t>
      </w:r>
      <w:r>
        <w:rPr>
          <w:color w:val="363636"/>
        </w:rPr>
        <w:t xml:space="preserve"> </w:t>
      </w:r>
      <w:r>
        <w:rPr>
          <w:rFonts w:ascii="Arial;sans-serif" w:hAnsi="Arial;sans-serif"/>
          <w:b w:val="false"/>
          <w:color w:val="363636"/>
          <w:sz w:val="16"/>
        </w:rPr>
        <w:t>that</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w:t>
      </w:r>
      <w:r>
        <w:rPr>
          <w:color w:val="363636"/>
        </w:rPr>
        <w:t xml:space="preserve"> </w:t>
      </w:r>
      <w:r>
        <w:rPr>
          <w:rFonts w:ascii="Arial;sans-serif" w:hAnsi="Arial;sans-serif"/>
          <w:b w:val="false"/>
          <w:color w:val="363636"/>
          <w:sz w:val="16"/>
        </w:rPr>
        <w:t>can</w:t>
      </w:r>
      <w:r>
        <w:rPr>
          <w:color w:val="363636"/>
        </w:rPr>
        <w:t xml:space="preserve"> </w:t>
      </w:r>
      <w:r>
        <w:rPr>
          <w:rFonts w:ascii="Arial;sans-serif" w:hAnsi="Arial;sans-serif"/>
          <w:b w:val="false"/>
          <w:color w:val="363636"/>
          <w:sz w:val="16"/>
        </w:rPr>
        <w:t>grant</w:t>
      </w:r>
      <w:r>
        <w:rPr>
          <w:color w:val="363636"/>
        </w:rPr>
        <w:t xml:space="preserve"> </w:t>
      </w:r>
      <w:r>
        <w:rPr>
          <w:rFonts w:ascii="Arial;sans-serif" w:hAnsi="Arial;sans-serif"/>
          <w:b w:val="false"/>
          <w:color w:val="232323"/>
          <w:sz w:val="16"/>
        </w:rPr>
        <w:t>RSUs</w:t>
      </w:r>
      <w:r>
        <w:rPr>
          <w:color w:val="232323"/>
        </w:rPr>
        <w:t xml:space="preserve"> </w:t>
      </w:r>
      <w:r>
        <w:rPr>
          <w:rFonts w:ascii="Arial;sans-serif" w:hAnsi="Arial;sans-serif"/>
          <w:b w:val="false"/>
          <w:color w:val="232323"/>
          <w:sz w:val="16"/>
        </w:rPr>
        <w:t>to</w:t>
      </w:r>
      <w:r>
        <w:rPr>
          <w:color w:val="232323"/>
        </w:rPr>
        <w:t xml:space="preserve"> </w:t>
      </w:r>
      <w:r>
        <w:rPr>
          <w:rFonts w:ascii="Arial;sans-serif" w:hAnsi="Arial;sans-serif"/>
          <w:b w:val="false"/>
          <w:color w:val="363636"/>
          <w:sz w:val="16"/>
        </w:rPr>
        <w:t>you</w:t>
      </w:r>
      <w:r>
        <w:rPr>
          <w:color w:val="363636"/>
        </w:rPr>
        <w:t xml:space="preserve"> </w:t>
      </w:r>
      <w:r>
        <w:rPr>
          <w:rFonts w:ascii="Arial;sans-serif" w:hAnsi="Arial;sans-serif"/>
          <w:b w:val="false"/>
          <w:color w:val="363636"/>
          <w:sz w:val="16"/>
        </w:rPr>
        <w:t>only</w:t>
      </w:r>
      <w:r>
        <w:rPr>
          <w:color w:val="363636"/>
        </w:rPr>
        <w:t xml:space="preserve"> </w:t>
      </w:r>
      <w:r>
        <w:rPr>
          <w:rFonts w:ascii="Arial;sans-serif" w:hAnsi="Arial;sans-serif"/>
          <w:b w:val="false"/>
          <w:color w:val="363636"/>
          <w:sz w:val="16"/>
        </w:rPr>
        <w:t>if</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rPr>
        <w:t>as</w:t>
      </w:r>
      <w:r>
        <w:rPr>
          <w:color w:val="363636"/>
        </w:rPr>
        <w:t xml:space="preserve"> </w:t>
      </w:r>
      <w:r>
        <w:rPr>
          <w:rFonts w:ascii="Arial;sans-serif" w:hAnsi="Arial;sans-serif"/>
          <w:b w:val="false"/>
          <w:color w:val="363636"/>
          <w:sz w:val="16"/>
        </w:rPr>
        <w:t>long</w:t>
      </w:r>
      <w:r>
        <w:rPr>
          <w:color w:val="363636"/>
        </w:rPr>
        <w:t xml:space="preserve"> </w:t>
      </w:r>
      <w:r>
        <w:rPr>
          <w:rFonts w:ascii="Arial;sans-serif" w:hAnsi="Arial;sans-serif"/>
          <w:b w:val="false"/>
          <w:color w:val="363636"/>
          <w:sz w:val="16"/>
        </w:rPr>
        <w:t>as</w:t>
      </w:r>
      <w:r>
        <w:rPr>
          <w:color w:val="363636"/>
        </w:rPr>
        <w:t xml:space="preserve"> </w:t>
      </w:r>
      <w:r>
        <w:rPr>
          <w:rFonts w:ascii="Arial;sans-serif" w:hAnsi="Arial;sans-serif"/>
          <w:b w:val="false"/>
          <w:color w:val="363636"/>
          <w:sz w:val="16"/>
        </w:rPr>
        <w:t>it</w:t>
      </w:r>
      <w:r>
        <w:rPr>
          <w:color w:val="363636"/>
        </w:rPr>
        <w:t xml:space="preserve"> </w:t>
      </w:r>
      <w:r>
        <w:rPr>
          <w:rFonts w:ascii="Arial;sans-serif" w:hAnsi="Arial;sans-serif"/>
          <w:b w:val="false"/>
          <w:color w:val="363636"/>
          <w:sz w:val="16"/>
        </w:rPr>
        <w:t>is</w:t>
      </w:r>
      <w:r>
        <w:rPr>
          <w:color w:val="363636"/>
        </w:rPr>
        <w:t xml:space="preserve"> </w:t>
      </w:r>
      <w:r>
        <w:rPr>
          <w:rFonts w:ascii="Arial;sans-serif" w:hAnsi="Arial;sans-serif"/>
          <w:b w:val="false"/>
          <w:color w:val="363636"/>
          <w:sz w:val="16"/>
        </w:rPr>
        <w:t>permitted</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111111"/>
          <w:sz w:val="16"/>
        </w:rPr>
        <w:t>feasible</w:t>
      </w:r>
      <w:r>
        <w:rPr>
          <w:color w:val="111111"/>
        </w:rPr>
        <w:t xml:space="preserve"> </w:t>
      </w:r>
      <w:r>
        <w:rPr>
          <w:rFonts w:ascii="Arial;sans-serif" w:hAnsi="Arial;sans-serif"/>
          <w:b w:val="false"/>
          <w:color w:val="363636"/>
          <w:sz w:val="16"/>
        </w:rPr>
        <w:t>under</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laws</w:t>
      </w:r>
      <w:r>
        <w:rPr>
          <w:color w:val="363636"/>
        </w:rPr>
        <w:t xml:space="preserve"> </w:t>
      </w:r>
      <w:r>
        <w:rPr>
          <w:rFonts w:ascii="Arial;sans-serif" w:hAnsi="Arial;sans-serif"/>
          <w:b w:val="false"/>
          <w:color w:val="363636"/>
          <w:sz w:val="16"/>
        </w:rPr>
        <w:t>of</w:t>
      </w:r>
      <w:r>
        <w:rPr>
          <w:color w:val="363636"/>
        </w:rPr>
        <w:t xml:space="preserve"> </w:t>
      </w:r>
      <w:r>
        <w:rPr>
          <w:rFonts w:ascii="Arial;sans-serif" w:hAnsi="Arial;sans-serif"/>
          <w:b w:val="false"/>
          <w:color w:val="111111"/>
          <w:sz w:val="16"/>
        </w:rPr>
        <w:t xml:space="preserve">the </w:t>
      </w:r>
      <w:r>
        <w:rPr>
          <w:rFonts w:ascii="Arial;sans-serif" w:hAnsi="Arial;sans-serif"/>
          <w:b w:val="false"/>
          <w:color w:val="363636"/>
          <w:sz w:val="16"/>
        </w:rPr>
        <w:t>country</w:t>
      </w:r>
      <w:r>
        <w:rPr>
          <w:color w:val="363636"/>
        </w:rPr>
        <w:t xml:space="preserve"> </w:t>
      </w:r>
      <w:r>
        <w:rPr>
          <w:rFonts w:ascii="Arial;sans-serif" w:hAnsi="Arial;sans-serif"/>
          <w:b w:val="false"/>
          <w:color w:val="363636"/>
          <w:sz w:val="16"/>
        </w:rPr>
        <w:t>in</w:t>
      </w:r>
      <w:r>
        <w:rPr>
          <w:color w:val="363636"/>
        </w:rPr>
        <w:t xml:space="preserve"> </w:t>
      </w:r>
      <w:r>
        <w:rPr>
          <w:rFonts w:ascii="Arial;sans-serif" w:hAnsi="Arial;sans-serif"/>
          <w:b w:val="false"/>
          <w:color w:val="363636"/>
          <w:sz w:val="16"/>
        </w:rPr>
        <w:t>which you</w:t>
      </w:r>
      <w:r>
        <w:rPr>
          <w:color w:val="363636"/>
        </w:rPr>
        <w:t xml:space="preserve"> </w:t>
      </w:r>
      <w:r>
        <w:rPr>
          <w:rFonts w:ascii="Arial;sans-serif" w:hAnsi="Arial;sans-serif"/>
          <w:b w:val="false"/>
          <w:color w:val="363636"/>
          <w:sz w:val="16"/>
        </w:rPr>
        <w:t>reside or</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which</w:t>
      </w:r>
      <w:r>
        <w:rPr>
          <w:color w:val="363636"/>
        </w:rPr>
        <w:t xml:space="preserve"> </w:t>
      </w:r>
      <w:r>
        <w:rPr>
          <w:rFonts w:ascii="Arial;sans-serif" w:hAnsi="Arial;sans-serif"/>
          <w:b w:val="false"/>
          <w:color w:val="111111"/>
          <w:sz w:val="16"/>
        </w:rPr>
        <w:t xml:space="preserve">laws </w:t>
      </w:r>
      <w:r>
        <w:rPr>
          <w:rFonts w:ascii="Arial;sans-serif" w:hAnsi="Arial;sans-serif"/>
          <w:b w:val="false"/>
          <w:color w:val="363636"/>
          <w:sz w:val="16"/>
        </w:rPr>
        <w:t xml:space="preserve">you </w:t>
      </w:r>
      <w:r>
        <w:rPr>
          <w:rFonts w:ascii="Arial;sans-serif" w:hAnsi="Arial;sans-serif"/>
          <w:b w:val="false"/>
          <w:color w:val="232323"/>
          <w:sz w:val="16"/>
        </w:rPr>
        <w:t>may</w:t>
      </w:r>
      <w:r>
        <w:rPr>
          <w:color w:val="232323"/>
        </w:rPr>
        <w:t xml:space="preserve"> </w:t>
      </w:r>
      <w:r>
        <w:rPr>
          <w:rFonts w:ascii="Arial;sans-serif" w:hAnsi="Arial;sans-serif"/>
          <w:b w:val="false"/>
          <w:color w:val="232323"/>
          <w:sz w:val="16"/>
        </w:rPr>
        <w:t>be</w:t>
      </w:r>
      <w:r>
        <w:rPr>
          <w:color w:val="232323"/>
        </w:rPr>
        <w:t xml:space="preserve"> </w:t>
      </w:r>
      <w:r>
        <w:rPr>
          <w:rFonts w:ascii="Arial;sans-serif" w:hAnsi="Arial;sans-serif"/>
          <w:b w:val="false"/>
          <w:color w:val="363636"/>
          <w:sz w:val="16"/>
        </w:rPr>
        <w:t>subject. If</w:t>
      </w:r>
      <w:r>
        <w:rPr>
          <w:color w:val="363636"/>
        </w:rPr>
        <w:t xml:space="preserve"> </w:t>
      </w:r>
      <w:r>
        <w:rPr>
          <w:rFonts w:ascii="Arial;sans-serif" w:hAnsi="Arial;sans-serif"/>
          <w:b w:val="false"/>
          <w:color w:val="363636"/>
          <w:sz w:val="16"/>
        </w:rPr>
        <w:t>local laws</w:t>
      </w:r>
      <w:r>
        <w:rPr>
          <w:color w:val="363636"/>
        </w:rPr>
        <w:t xml:space="preserve"> </w:t>
      </w:r>
      <w:r>
        <w:rPr>
          <w:rFonts w:ascii="Arial;sans-serif" w:hAnsi="Arial;sans-serif"/>
          <w:b w:val="false"/>
          <w:color w:val="232323"/>
          <w:sz w:val="16"/>
        </w:rPr>
        <w:t>make the</w:t>
      </w:r>
      <w:r>
        <w:rPr>
          <w:color w:val="363636"/>
        </w:rPr>
        <w:t xml:space="preserve"> </w:t>
      </w:r>
      <w:r>
        <w:rPr>
          <w:rFonts w:ascii="Arial;sans-serif" w:hAnsi="Arial;sans-serif"/>
          <w:b w:val="false"/>
          <w:color w:val="363636"/>
          <w:sz w:val="16"/>
        </w:rPr>
        <w:t>grant illegal or</w:t>
      </w:r>
      <w:r>
        <w:rPr>
          <w:color w:val="363636"/>
        </w:rPr>
        <w:t xml:space="preserve"> </w:t>
      </w:r>
      <w:r>
        <w:rPr>
          <w:rFonts w:ascii="Arial;sans-serif" w:hAnsi="Arial;sans-serif"/>
          <w:b w:val="false"/>
          <w:color w:val="363636"/>
          <w:sz w:val="16"/>
        </w:rPr>
        <w:t>impractica</w:t>
      </w:r>
      <w:r>
        <w:rPr>
          <w:rFonts w:ascii="Arial;sans-serif" w:hAnsi="Arial;sans-serif"/>
          <w:b w:val="false"/>
          <w:color w:val="111111"/>
          <w:sz w:val="16"/>
        </w:rPr>
        <w:t>l</w:t>
      </w:r>
      <w:r>
        <w:rPr>
          <w:rFonts w:ascii="Arial;sans-serif" w:hAnsi="Arial;sans-serif"/>
          <w:b w:val="false"/>
          <w:color w:val="525250"/>
          <w:sz w:val="1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 will let</w:t>
      </w:r>
      <w:r>
        <w:rPr>
          <w:color w:val="363636"/>
        </w:rPr>
        <w:t xml:space="preserve"> </w:t>
      </w:r>
      <w:r>
        <w:rPr>
          <w:rFonts w:ascii="Arial;sans-serif" w:hAnsi="Arial;sans-serif"/>
          <w:b w:val="false"/>
          <w:color w:val="363636"/>
          <w:sz w:val="16"/>
        </w:rPr>
        <w:t>you</w:t>
      </w:r>
      <w:r>
        <w:rPr>
          <w:color w:val="363636"/>
        </w:rPr>
        <w:t xml:space="preserve"> </w:t>
      </w:r>
      <w:r>
        <w:rPr>
          <w:rFonts w:ascii="Arial;sans-serif" w:hAnsi="Arial;sans-serif"/>
          <w:b w:val="false"/>
          <w:color w:val="363636"/>
          <w:sz w:val="16"/>
        </w:rPr>
        <w:t>know as</w:t>
      </w:r>
      <w:r>
        <w:rPr>
          <w:color w:val="363636"/>
        </w:rPr>
        <w:t xml:space="preserve"> </w:t>
      </w:r>
      <w:r>
        <w:rPr>
          <w:rFonts w:ascii="Arial;sans-serif" w:hAnsi="Arial;sans-serif"/>
          <w:b w:val="false"/>
          <w:color w:val="363636"/>
          <w:sz w:val="16"/>
        </w:rPr>
        <w:t>soon</w:t>
      </w:r>
      <w:r>
        <w:rPr>
          <w:color w:val="363636"/>
        </w:rPr>
        <w:t xml:space="preserve"> </w:t>
      </w:r>
      <w:r>
        <w:rPr>
          <w:rFonts w:ascii="Arial;sans-serif" w:hAnsi="Arial;sans-serif"/>
          <w:b w:val="false"/>
          <w:color w:val="363636"/>
          <w:sz w:val="16"/>
        </w:rPr>
        <w:t>as possible. Under</w:t>
      </w:r>
      <w:r>
        <w:rPr>
          <w:color w:val="363636"/>
        </w:rPr>
        <w:t xml:space="preserve"> </w:t>
      </w:r>
      <w:r>
        <w:rPr>
          <w:rFonts w:ascii="Arial;sans-serif" w:hAnsi="Arial;sans-serif"/>
          <w:b w:val="false"/>
          <w:color w:val="363636"/>
          <w:sz w:val="16"/>
        </w:rPr>
        <w:t>all</w:t>
      </w:r>
      <w:r>
        <w:rPr>
          <w:color w:val="363636"/>
        </w:rPr>
        <w:t xml:space="preserve"> </w:t>
      </w:r>
      <w:r>
        <w:rPr>
          <w:rFonts w:ascii="Arial;sans-serif" w:hAnsi="Arial;sans-serif"/>
          <w:b w:val="false"/>
          <w:color w:val="363636"/>
          <w:sz w:val="16"/>
        </w:rPr>
        <w:t>circumstances,</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will remain</w:t>
      </w:r>
      <w:r>
        <w:rPr>
          <w:color w:val="363636"/>
        </w:rPr>
        <w:t xml:space="preserve"> </w:t>
      </w:r>
      <w:r>
        <w:rPr>
          <w:rFonts w:ascii="Arial;sans-serif" w:hAnsi="Arial;sans-serif"/>
          <w:b w:val="false"/>
          <w:color w:val="363636"/>
          <w:sz w:val="16"/>
        </w:rPr>
        <w:t>subject</w:t>
      </w:r>
      <w:r>
        <w:rPr>
          <w:color w:val="363636"/>
        </w:rPr>
        <w:t xml:space="preserve"> </w:t>
      </w:r>
      <w:r>
        <w:rPr>
          <w:rFonts w:ascii="Arial;sans-serif" w:hAnsi="Arial;sans-serif"/>
          <w:b w:val="false"/>
          <w:color w:val="232323"/>
          <w:sz w:val="16"/>
        </w:rPr>
        <w:t>to</w:t>
      </w:r>
      <w:r>
        <w:rPr>
          <w:color w:val="232323"/>
        </w:rPr>
        <w:t xml:space="preserve"> </w:t>
      </w:r>
      <w:r>
        <w:rPr>
          <w:rFonts w:ascii="Arial;sans-serif" w:hAnsi="Arial;sans-serif"/>
          <w:b w:val="false"/>
          <w:color w:val="363636"/>
          <w:sz w:val="16"/>
        </w:rPr>
        <w:t>compliance</w:t>
      </w:r>
      <w:r>
        <w:rPr>
          <w:color w:val="363636"/>
        </w:rPr>
        <w:t xml:space="preserve"> </w:t>
      </w:r>
      <w:r>
        <w:rPr>
          <w:rFonts w:ascii="Arial;sans-serif" w:hAnsi="Arial;sans-serif"/>
          <w:b w:val="false"/>
          <w:color w:val="363636"/>
          <w:sz w:val="16"/>
        </w:rPr>
        <w:t>with</w:t>
      </w:r>
      <w:r>
        <w:rPr>
          <w:color w:val="363636"/>
        </w:rPr>
        <w:t xml:space="preserve"> </w:t>
      </w:r>
      <w:r>
        <w:rPr>
          <w:rFonts w:ascii="Arial;sans-serif" w:hAnsi="Arial;sans-serif"/>
          <w:b w:val="false"/>
          <w:color w:val="363636"/>
          <w:sz w:val="16"/>
        </w:rPr>
        <w:t>applicable</w:t>
      </w:r>
      <w:r>
        <w:rPr>
          <w:color w:val="363636"/>
        </w:rPr>
        <w:t xml:space="preserve"> </w:t>
      </w:r>
      <w:r>
        <w:rPr>
          <w:rFonts w:ascii="Arial;sans-serif" w:hAnsi="Arial;sans-serif"/>
          <w:b w:val="false"/>
          <w:color w:val="111111"/>
          <w:sz w:val="16"/>
        </w:rPr>
        <w:t>l</w:t>
      </w:r>
      <w:r>
        <w:rPr>
          <w:rFonts w:ascii="Arial;sans-serif" w:hAnsi="Arial;sans-serif"/>
          <w:b w:val="false"/>
          <w:color w:val="363636"/>
          <w:sz w:val="16"/>
        </w:rPr>
        <w:t>aw</w:t>
      </w:r>
      <w:r>
        <w:rPr>
          <w:rFonts w:ascii="Arial;sans-serif" w:hAnsi="Arial;sans-serif"/>
          <w:b w:val="false"/>
          <w:color w:val="525250"/>
          <w:sz w:val="16"/>
        </w:rPr>
        <w:t xml:space="preserve">, </w:t>
      </w:r>
      <w:r>
        <w:rPr>
          <w:rFonts w:ascii="Arial;sans-serif" w:hAnsi="Arial;sans-serif"/>
          <w:b w:val="false"/>
          <w:color w:val="363636"/>
          <w:sz w:val="16"/>
        </w:rPr>
        <w:t xml:space="preserve">as </w:t>
      </w:r>
      <w:r>
        <w:rPr>
          <w:rFonts w:ascii="Arial;sans-serif" w:hAnsi="Arial;sans-serif"/>
          <w:b w:val="false"/>
          <w:color w:val="232323"/>
          <w:sz w:val="16"/>
        </w:rPr>
        <w:t xml:space="preserve">provided </w:t>
      </w:r>
      <w:r>
        <w:rPr>
          <w:rFonts w:ascii="Arial;sans-serif" w:hAnsi="Arial;sans-serif"/>
          <w:b w:val="false"/>
          <w:color w:val="363636"/>
          <w:sz w:val="16"/>
        </w:rPr>
        <w:t>in the Plan</w:t>
      </w:r>
      <w:r>
        <w:rPr>
          <w:rFonts w:ascii="Arial;sans-serif" w:hAnsi="Arial;sans-serif"/>
          <w:b w:val="false"/>
          <w:color w:val="525250"/>
          <w:sz w:val="16"/>
        </w:rPr>
        <w:t>.</w:t>
      </w:r>
    </w:p>
    <w:p>
      <w:pPr>
        <w:pStyle w:val="TextBody"/>
        <w:bidi w:val="0"/>
        <w:spacing w:before="23" w:after="283"/>
        <w:jc w:val="left"/>
        <w:rPr/>
      </w:pPr>
      <w:r>
        <w:rPr/>
      </w:r>
    </w:p>
    <w:p>
      <w:pPr>
        <w:pStyle w:val="TextBody"/>
        <w:bidi w:val="0"/>
        <w:spacing w:lineRule="auto" w:line="312" w:before="0" w:after="0"/>
        <w:ind w:left="0" w:right="0" w:firstLine="9"/>
        <w:jc w:val="both"/>
        <w:rPr/>
      </w:pPr>
      <w:r>
        <w:rPr>
          <w:rFonts w:ascii="Arial;sans-serif" w:hAnsi="Arial;sans-serif"/>
          <w:b w:val="false"/>
          <w:color w:val="363636"/>
          <w:sz w:val="16"/>
        </w:rPr>
        <w:t xml:space="preserve">You should be aware that the Company, </w:t>
      </w:r>
      <w:r>
        <w:rPr>
          <w:rFonts w:ascii="Arial;sans-serif" w:hAnsi="Arial;sans-serif"/>
          <w:b w:val="false"/>
          <w:color w:val="232323"/>
          <w:sz w:val="16"/>
        </w:rPr>
        <w:t xml:space="preserve">in </w:t>
      </w:r>
      <w:r>
        <w:rPr>
          <w:rFonts w:ascii="Arial;sans-serif" w:hAnsi="Arial;sans-serif"/>
          <w:b w:val="false"/>
          <w:color w:val="363636"/>
          <w:sz w:val="16"/>
        </w:rPr>
        <w:t>its discretion, may change or end the operation of the Plan at any time</w:t>
      </w:r>
      <w:r>
        <w:rPr>
          <w:rFonts w:ascii="Arial;sans-serif" w:hAnsi="Arial;sans-serif"/>
          <w:b w:val="false"/>
          <w:color w:val="525250"/>
          <w:sz w:val="16"/>
        </w:rPr>
        <w:t xml:space="preserve">. </w:t>
      </w:r>
      <w:r>
        <w:rPr>
          <w:rFonts w:ascii="Arial;sans-serif" w:hAnsi="Arial;sans-serif"/>
          <w:b w:val="false"/>
          <w:color w:val="363636"/>
          <w:sz w:val="16"/>
        </w:rPr>
        <w:t>If the Company</w:t>
      </w:r>
      <w:r>
        <w:rPr>
          <w:color w:val="363636"/>
        </w:rPr>
        <w:t xml:space="preserve"> </w:t>
      </w:r>
      <w:r>
        <w:rPr>
          <w:rFonts w:ascii="Arial;sans-serif" w:hAnsi="Arial;sans-serif"/>
          <w:b w:val="false"/>
          <w:color w:val="363636"/>
          <w:sz w:val="16"/>
        </w:rPr>
        <w:t>decides</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change</w:t>
      </w:r>
      <w:r>
        <w:rPr>
          <w:color w:val="363636"/>
        </w:rPr>
        <w:t xml:space="preserve"> </w:t>
      </w:r>
      <w:r>
        <w:rPr>
          <w:rFonts w:ascii="Arial;sans-serif" w:hAnsi="Arial;sans-serif"/>
          <w:b w:val="false"/>
          <w:color w:val="363636"/>
          <w:sz w:val="16"/>
        </w:rPr>
        <w:t>or terminate</w:t>
      </w:r>
      <w:r>
        <w:rPr>
          <w:color w:val="363636"/>
        </w:rPr>
        <w:t xml:space="preserve"> </w:t>
      </w:r>
      <w:r>
        <w:rPr>
          <w:rFonts w:ascii="Arial;sans-serif" w:hAnsi="Arial;sans-serif"/>
          <w:b w:val="false"/>
          <w:color w:val="363636"/>
          <w:sz w:val="16"/>
        </w:rPr>
        <w:t>the Plan</w:t>
      </w:r>
      <w:r>
        <w:rPr>
          <w:rFonts w:ascii="Arial;sans-serif" w:hAnsi="Arial;sans-serif"/>
          <w:b w:val="false"/>
          <w:color w:val="525250"/>
          <w:sz w:val="16"/>
        </w:rPr>
        <w:t xml:space="preserve">, </w:t>
      </w:r>
      <w:r>
        <w:rPr>
          <w:rFonts w:ascii="Arial;sans-serif" w:hAnsi="Arial;sans-serif"/>
          <w:b w:val="false"/>
          <w:color w:val="363636"/>
          <w:sz w:val="16"/>
        </w:rPr>
        <w:t>you</w:t>
      </w:r>
      <w:r>
        <w:rPr>
          <w:color w:val="363636"/>
        </w:rPr>
        <w:t xml:space="preserve"> </w:t>
      </w:r>
      <w:r>
        <w:rPr>
          <w:rFonts w:ascii="Arial;sans-serif" w:hAnsi="Arial;sans-serif"/>
          <w:b w:val="false"/>
          <w:color w:val="363636"/>
          <w:sz w:val="16"/>
        </w:rPr>
        <w:t>will</w:t>
      </w:r>
      <w:r>
        <w:rPr>
          <w:color w:val="363636"/>
        </w:rPr>
        <w:t xml:space="preserve"> </w:t>
      </w:r>
      <w:r>
        <w:rPr>
          <w:rFonts w:ascii="Arial;sans-serif" w:hAnsi="Arial;sans-serif"/>
          <w:b w:val="false"/>
          <w:color w:val="111111"/>
          <w:sz w:val="16"/>
        </w:rPr>
        <w:t>not</w:t>
      </w:r>
      <w:r>
        <w:rPr>
          <w:color w:val="111111"/>
        </w:rPr>
        <w:t xml:space="preserve"> </w:t>
      </w:r>
      <w:r>
        <w:rPr>
          <w:rFonts w:ascii="Arial;sans-serif" w:hAnsi="Arial;sans-serif"/>
          <w:b w:val="false"/>
          <w:color w:val="232323"/>
          <w:sz w:val="16"/>
        </w:rPr>
        <w:t>have</w:t>
      </w:r>
      <w:r>
        <w:rPr>
          <w:color w:val="232323"/>
        </w:rPr>
        <w:t xml:space="preserve"> </w:t>
      </w:r>
      <w:r>
        <w:rPr>
          <w:rFonts w:ascii="Arial;sans-serif" w:hAnsi="Arial;sans-serif"/>
          <w:b w:val="false"/>
          <w:color w:val="363636"/>
          <w:sz w:val="16"/>
        </w:rPr>
        <w:t>any claims against the Company to receive</w:t>
      </w:r>
      <w:r>
        <w:rPr>
          <w:color w:val="363636"/>
        </w:rPr>
        <w:t xml:space="preserve"> </w:t>
      </w:r>
      <w:r>
        <w:rPr>
          <w:rFonts w:ascii="Arial;sans-serif" w:hAnsi="Arial;sans-serif"/>
          <w:b w:val="false"/>
          <w:color w:val="232323"/>
          <w:sz w:val="16"/>
        </w:rPr>
        <w:t>RS</w:t>
      </w:r>
      <w:r>
        <w:rPr>
          <w:rFonts w:ascii="Arial;sans-serif" w:hAnsi="Arial;sans-serif"/>
          <w:b w:val="false"/>
          <w:color w:val="363636"/>
          <w:sz w:val="16"/>
        </w:rPr>
        <w:t>Us or any other</w:t>
      </w:r>
      <w:r>
        <w:rPr>
          <w:color w:val="363636"/>
        </w:rPr>
        <w:t xml:space="preserve"> </w:t>
      </w:r>
      <w:r>
        <w:rPr>
          <w:rFonts w:ascii="Arial;sans-serif" w:hAnsi="Arial;sans-serif"/>
          <w:b w:val="false"/>
          <w:color w:val="363636"/>
          <w:sz w:val="16"/>
        </w:rPr>
        <w:t>benefits</w:t>
      </w:r>
      <w:r>
        <w:rPr>
          <w:color w:val="363636"/>
        </w:rPr>
        <w:t xml:space="preserve"> </w:t>
      </w:r>
      <w:r>
        <w:rPr>
          <w:rFonts w:ascii="Arial;sans-serif" w:hAnsi="Arial;sans-serif"/>
          <w:b w:val="false"/>
          <w:color w:val="363636"/>
          <w:sz w:val="16"/>
        </w:rPr>
        <w:t>equiva</w:t>
      </w:r>
      <w:r>
        <w:rPr>
          <w:rFonts w:ascii="Arial;sans-serif" w:hAnsi="Arial;sans-serif"/>
          <w:b w:val="false"/>
          <w:color w:val="525250"/>
          <w:sz w:val="16"/>
        </w:rPr>
        <w:t>l</w:t>
      </w:r>
      <w:r>
        <w:rPr>
          <w:rFonts w:ascii="Arial;sans-serif" w:hAnsi="Arial;sans-serif"/>
          <w:b w:val="false"/>
          <w:color w:val="363636"/>
          <w:sz w:val="16"/>
        </w:rPr>
        <w:t>ent</w:t>
      </w:r>
      <w:r>
        <w:rPr>
          <w:color w:val="363636"/>
        </w:rPr>
        <w:t xml:space="preserve"> </w:t>
      </w:r>
      <w:r>
        <w:rPr>
          <w:rFonts w:ascii="Arial;sans-serif" w:hAnsi="Arial;sans-serif"/>
          <w:b w:val="false"/>
          <w:color w:val="232323"/>
          <w:sz w:val="16"/>
        </w:rPr>
        <w:t xml:space="preserve">to </w:t>
      </w:r>
      <w:r>
        <w:rPr>
          <w:rFonts w:ascii="Arial;sans-serif" w:hAnsi="Arial;sans-serif"/>
          <w:b w:val="false"/>
          <w:color w:val="363636"/>
          <w:sz w:val="16"/>
        </w:rPr>
        <w:t>RSUs</w:t>
      </w:r>
      <w:r>
        <w:rPr>
          <w:rFonts w:ascii="Arial;sans-serif" w:hAnsi="Arial;sans-serif"/>
          <w:b w:val="false"/>
          <w:color w:val="525250"/>
          <w:sz w:val="16"/>
        </w:rPr>
        <w:t xml:space="preserve">. </w:t>
      </w:r>
      <w:r>
        <w:rPr>
          <w:rFonts w:ascii="Arial;sans-serif" w:hAnsi="Arial;sans-serif"/>
          <w:b w:val="false"/>
          <w:color w:val="232323"/>
          <w:sz w:val="16"/>
        </w:rPr>
        <w:t>You</w:t>
      </w:r>
      <w:r>
        <w:rPr>
          <w:color w:val="232323"/>
        </w:rPr>
        <w:t xml:space="preserve"> </w:t>
      </w:r>
      <w:r>
        <w:rPr>
          <w:rFonts w:ascii="Arial;sans-serif" w:hAnsi="Arial;sans-serif"/>
          <w:b w:val="false"/>
          <w:color w:val="363636"/>
          <w:sz w:val="16"/>
        </w:rPr>
        <w:t xml:space="preserve">acknowledge </w:t>
      </w:r>
      <w:r>
        <w:rPr>
          <w:rFonts w:ascii="Arial;sans-serif" w:hAnsi="Arial;sans-serif"/>
          <w:b w:val="false"/>
          <w:color w:val="232323"/>
          <w:sz w:val="16"/>
        </w:rPr>
        <w:t>that</w:t>
      </w:r>
      <w:r>
        <w:rPr>
          <w:color w:val="232323"/>
        </w:rPr>
        <w:t xml:space="preserve"> </w:t>
      </w:r>
      <w:r>
        <w:rPr>
          <w:rFonts w:ascii="Arial;sans-serif" w:hAnsi="Arial;sans-serif"/>
          <w:b w:val="false"/>
          <w:color w:val="232323"/>
          <w:sz w:val="16"/>
        </w:rPr>
        <w:t>the</w:t>
      </w:r>
      <w:r>
        <w:rPr>
          <w:color w:val="232323"/>
        </w:rPr>
        <w:t xml:space="preserve"> </w:t>
      </w:r>
      <w:r>
        <w:rPr>
          <w:rFonts w:ascii="Arial;sans-serif" w:hAnsi="Arial;sans-serif"/>
          <w:b w:val="false"/>
          <w:color w:val="363636"/>
          <w:sz w:val="16"/>
        </w:rPr>
        <w:t>Company</w:t>
      </w:r>
      <w:r>
        <w:rPr>
          <w:color w:val="363636"/>
        </w:rPr>
        <w:t xml:space="preserve"> </w:t>
      </w:r>
      <w:r>
        <w:rPr>
          <w:rFonts w:ascii="Arial;sans-serif" w:hAnsi="Arial;sans-serif"/>
          <w:b w:val="false"/>
          <w:color w:val="363636"/>
          <w:sz w:val="16"/>
        </w:rPr>
        <w:t>is</w:t>
      </w:r>
      <w:r>
        <w:rPr>
          <w:color w:val="363636"/>
        </w:rPr>
        <w:t xml:space="preserve"> </w:t>
      </w:r>
      <w:r>
        <w:rPr>
          <w:rFonts w:ascii="Arial;sans-serif" w:hAnsi="Arial;sans-serif"/>
          <w:b w:val="false"/>
          <w:color w:val="363636"/>
          <w:sz w:val="16"/>
        </w:rPr>
        <w:t>not obligated</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continue</w:t>
      </w:r>
      <w:r>
        <w:rPr>
          <w:color w:val="363636"/>
        </w:rPr>
        <w:t xml:space="preserve"> </w:t>
      </w:r>
      <w:r>
        <w:rPr>
          <w:rFonts w:ascii="Arial;sans-serif" w:hAnsi="Arial;sans-serif"/>
          <w:b w:val="false"/>
          <w:color w:val="363636"/>
          <w:sz w:val="16"/>
        </w:rPr>
        <w:t>to grant</w:t>
      </w:r>
      <w:r>
        <w:rPr>
          <w:color w:val="363636"/>
        </w:rPr>
        <w:t xml:space="preserve"> </w:t>
      </w:r>
      <w:r>
        <w:rPr>
          <w:rFonts w:ascii="Arial;sans-serif" w:hAnsi="Arial;sans-serif"/>
          <w:b w:val="false"/>
          <w:color w:val="232323"/>
          <w:sz w:val="16"/>
        </w:rPr>
        <w:t>RS</w:t>
      </w:r>
      <w:r>
        <w:rPr>
          <w:rFonts w:ascii="Arial;sans-serif" w:hAnsi="Arial;sans-serif"/>
          <w:b w:val="false"/>
          <w:color w:val="363636"/>
          <w:sz w:val="16"/>
        </w:rPr>
        <w:t xml:space="preserve">Us or any other benefits </w:t>
      </w:r>
      <w:r>
        <w:rPr>
          <w:rFonts w:ascii="Arial;sans-serif" w:hAnsi="Arial;sans-serif"/>
          <w:b w:val="false"/>
          <w:color w:val="111111"/>
          <w:sz w:val="16"/>
        </w:rPr>
        <w:t xml:space="preserve">to </w:t>
      </w:r>
      <w:r>
        <w:rPr>
          <w:rFonts w:ascii="Arial;sans-serif" w:hAnsi="Arial;sans-serif"/>
          <w:b w:val="false"/>
          <w:color w:val="363636"/>
          <w:sz w:val="16"/>
        </w:rPr>
        <w:t>you.</w:t>
      </w:r>
    </w:p>
    <w:p>
      <w:pPr>
        <w:pStyle w:val="TextBody"/>
        <w:bidi w:val="0"/>
        <w:spacing w:before="12" w:after="283"/>
        <w:jc w:val="left"/>
        <w:rPr/>
      </w:pPr>
      <w:r>
        <w:rPr/>
      </w:r>
    </w:p>
    <w:p>
      <w:pPr>
        <w:pStyle w:val="TextBody"/>
        <w:bidi w:val="0"/>
        <w:spacing w:lineRule="auto" w:line="312" w:before="0" w:after="0"/>
        <w:ind w:left="0" w:right="0" w:firstLine="6"/>
        <w:jc w:val="both"/>
        <w:rPr/>
      </w:pPr>
      <w:r>
        <w:rPr>
          <w:rFonts w:ascii="Arial;sans-serif" w:hAnsi="Arial;sans-serif"/>
          <w:b w:val="false"/>
          <w:color w:val="363636"/>
          <w:sz w:val="16"/>
        </w:rPr>
        <w:t>Furthermore</w:t>
      </w:r>
      <w:r>
        <w:rPr>
          <w:rFonts w:ascii="Arial;sans-serif" w:hAnsi="Arial;sans-serif"/>
          <w:b w:val="false"/>
          <w:color w:val="525250"/>
          <w:sz w:val="16"/>
        </w:rPr>
        <w:t xml:space="preserve">, </w:t>
      </w:r>
      <w:r>
        <w:rPr>
          <w:rFonts w:ascii="Arial;sans-serif" w:hAnsi="Arial;sans-serif"/>
          <w:b w:val="false"/>
          <w:color w:val="363636"/>
          <w:sz w:val="16"/>
        </w:rPr>
        <w:t xml:space="preserve">you should know that </w:t>
      </w:r>
      <w:r>
        <w:rPr>
          <w:rFonts w:ascii="Arial;sans-serif" w:hAnsi="Arial;sans-serif"/>
          <w:b w:val="false"/>
          <w:color w:val="232323"/>
          <w:sz w:val="16"/>
        </w:rPr>
        <w:t>the RS</w:t>
      </w:r>
      <w:r>
        <w:rPr>
          <w:rFonts w:ascii="Arial;sans-serif" w:hAnsi="Arial;sans-serif"/>
          <w:b w:val="false"/>
          <w:color w:val="363636"/>
          <w:sz w:val="16"/>
        </w:rPr>
        <w:t>Us and</w:t>
      </w:r>
      <w:r>
        <w:rPr>
          <w:color w:val="363636"/>
        </w:rPr>
        <w:t xml:space="preserve"> </w:t>
      </w:r>
      <w:r>
        <w:rPr>
          <w:rFonts w:ascii="Arial;sans-serif" w:hAnsi="Arial;sans-serif"/>
          <w:b w:val="false"/>
          <w:color w:val="363636"/>
          <w:sz w:val="16"/>
        </w:rPr>
        <w:t xml:space="preserve">any shares of common stock acquired </w:t>
      </w:r>
      <w:r>
        <w:rPr>
          <w:rFonts w:ascii="Arial;sans-serif" w:hAnsi="Arial;sans-serif"/>
          <w:b w:val="false"/>
          <w:color w:val="232323"/>
          <w:sz w:val="16"/>
        </w:rPr>
        <w:t xml:space="preserve">pursuant </w:t>
      </w:r>
      <w:r>
        <w:rPr>
          <w:rFonts w:ascii="Arial;sans-serif" w:hAnsi="Arial;sans-serif"/>
          <w:b w:val="false"/>
          <w:color w:val="363636"/>
          <w:sz w:val="16"/>
        </w:rPr>
        <w:t>to the RSUs</w:t>
      </w:r>
      <w:r>
        <w:rPr>
          <w:color w:val="363636"/>
        </w:rPr>
        <w:t xml:space="preserve"> </w:t>
      </w:r>
      <w:r>
        <w:rPr>
          <w:rFonts w:ascii="Arial;sans-serif" w:hAnsi="Arial;sans-serif"/>
          <w:b w:val="false"/>
          <w:color w:val="363636"/>
          <w:sz w:val="16"/>
        </w:rPr>
        <w:t>are an additional benefit</w:t>
      </w:r>
      <w:r>
        <w:rPr>
          <w:color w:val="363636"/>
        </w:rPr>
        <w:t xml:space="preserve"> </w:t>
      </w:r>
      <w:r>
        <w:rPr>
          <w:rFonts w:ascii="Arial;sans-serif" w:hAnsi="Arial;sans-serif"/>
          <w:b w:val="false"/>
          <w:color w:val="363636"/>
          <w:sz w:val="16"/>
        </w:rPr>
        <w:t>that may</w:t>
      </w:r>
      <w:r>
        <w:rPr>
          <w:color w:val="363636"/>
        </w:rPr>
        <w:t xml:space="preserve"> </w:t>
      </w:r>
      <w:r>
        <w:rPr>
          <w:rFonts w:ascii="Arial;sans-serif" w:hAnsi="Arial;sans-serif"/>
          <w:b w:val="false"/>
          <w:color w:val="363636"/>
          <w:sz w:val="16"/>
        </w:rPr>
        <w:t>be given</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you by</w:t>
      </w:r>
      <w:r>
        <w:rPr>
          <w:color w:val="363636"/>
        </w:rPr>
        <w:t xml:space="preserve"> </w:t>
      </w:r>
      <w:r>
        <w:rPr>
          <w:rFonts w:ascii="Arial;sans-serif" w:hAnsi="Arial;sans-serif"/>
          <w:b w:val="false"/>
          <w:color w:val="363636"/>
          <w:sz w:val="16"/>
        </w:rPr>
        <w:t>the Company</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u w:val="single"/>
        </w:rPr>
        <w:t>not</w:t>
      </w:r>
      <w:r>
        <w:rPr>
          <w:color w:val="363636"/>
        </w:rPr>
        <w:t xml:space="preserve"> </w:t>
      </w:r>
      <w:r>
        <w:rPr>
          <w:rFonts w:ascii="Arial;sans-serif" w:hAnsi="Arial;sans-serif"/>
          <w:b w:val="false"/>
          <w:color w:val="363636"/>
          <w:sz w:val="16"/>
        </w:rPr>
        <w:t>by</w:t>
      </w:r>
      <w:r>
        <w:rPr>
          <w:color w:val="363636"/>
        </w:rPr>
        <w:t xml:space="preserve"> </w:t>
      </w:r>
      <w:r>
        <w:rPr>
          <w:rFonts w:ascii="Arial;sans-serif" w:hAnsi="Arial;sans-serif"/>
          <w:b w:val="false"/>
          <w:color w:val="363636"/>
          <w:sz w:val="16"/>
        </w:rPr>
        <w:t>your</w:t>
      </w:r>
      <w:r>
        <w:rPr>
          <w:color w:val="363636"/>
        </w:rPr>
        <w:t xml:space="preserve"> </w:t>
      </w:r>
      <w:r>
        <w:rPr>
          <w:rFonts w:ascii="Arial;sans-serif" w:hAnsi="Arial;sans-serif"/>
          <w:b w:val="false"/>
          <w:color w:val="363636"/>
          <w:sz w:val="16"/>
        </w:rPr>
        <w:t>employer</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363636"/>
          <w:sz w:val="16"/>
        </w:rPr>
        <w:t>any</w:t>
      </w:r>
      <w:r>
        <w:rPr>
          <w:color w:val="363636"/>
        </w:rPr>
        <w:t xml:space="preserve"> </w:t>
      </w:r>
      <w:r>
        <w:rPr>
          <w:rFonts w:ascii="Arial;sans-serif" w:hAnsi="Arial;sans-serif"/>
          <w:b w:val="false"/>
          <w:color w:val="363636"/>
          <w:sz w:val="16"/>
        </w:rPr>
        <w:t>other</w:t>
      </w:r>
      <w:r>
        <w:rPr>
          <w:color w:val="363636"/>
        </w:rPr>
        <w:t xml:space="preserve"> </w:t>
      </w:r>
      <w:r>
        <w:rPr>
          <w:rFonts w:ascii="Arial;sans-serif" w:hAnsi="Arial;sans-serif"/>
          <w:b w:val="false"/>
          <w:color w:val="363636"/>
          <w:sz w:val="16"/>
        </w:rPr>
        <w:t>subsidiary of</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 xml:space="preserve">Company. </w:t>
      </w:r>
      <w:r>
        <w:rPr>
          <w:rFonts w:ascii="Arial;sans-serif" w:hAnsi="Arial;sans-serif"/>
          <w:b w:val="false"/>
          <w:color w:val="111111"/>
          <w:sz w:val="16"/>
        </w:rPr>
        <w:t>T</w:t>
      </w:r>
      <w:r>
        <w:rPr>
          <w:rFonts w:ascii="Arial;sans-serif" w:hAnsi="Arial;sans-serif"/>
          <w:b w:val="false"/>
          <w:color w:val="363636"/>
          <w:sz w:val="16"/>
        </w:rPr>
        <w:t>herefore</w:t>
      </w:r>
      <w:r>
        <w:rPr>
          <w:rFonts w:ascii="Arial;sans-serif" w:hAnsi="Arial;sans-serif"/>
          <w:b w:val="false"/>
          <w:color w:val="525250"/>
          <w:sz w:val="1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and any</w:t>
      </w:r>
      <w:r>
        <w:rPr>
          <w:color w:val="363636"/>
        </w:rPr>
        <w:t xml:space="preserve"> </w:t>
      </w:r>
      <w:r>
        <w:rPr>
          <w:rFonts w:ascii="Arial;sans-serif" w:hAnsi="Arial;sans-serif"/>
          <w:b w:val="false"/>
          <w:color w:val="363636"/>
          <w:sz w:val="16"/>
        </w:rPr>
        <w:t>shares</w:t>
      </w:r>
      <w:r>
        <w:rPr>
          <w:color w:val="363636"/>
        </w:rPr>
        <w:t xml:space="preserve"> </w:t>
      </w:r>
      <w:r>
        <w:rPr>
          <w:rFonts w:ascii="Arial;sans-serif" w:hAnsi="Arial;sans-serif"/>
          <w:b w:val="false"/>
          <w:color w:val="363636"/>
          <w:sz w:val="16"/>
        </w:rPr>
        <w:t>of</w:t>
      </w:r>
      <w:r>
        <w:rPr>
          <w:color w:val="363636"/>
        </w:rPr>
        <w:t xml:space="preserve"> </w:t>
      </w:r>
      <w:r>
        <w:rPr>
          <w:rFonts w:ascii="Arial;sans-serif" w:hAnsi="Arial;sans-serif"/>
          <w:b w:val="false"/>
          <w:color w:val="363636"/>
          <w:sz w:val="16"/>
        </w:rPr>
        <w:t>common</w:t>
      </w:r>
      <w:r>
        <w:rPr>
          <w:color w:val="363636"/>
        </w:rPr>
        <w:t xml:space="preserve"> </w:t>
      </w:r>
      <w:r>
        <w:rPr>
          <w:rFonts w:ascii="Arial;sans-serif" w:hAnsi="Arial;sans-serif"/>
          <w:b w:val="false"/>
          <w:color w:val="363636"/>
          <w:sz w:val="16"/>
        </w:rPr>
        <w:t>stock acquired pursuant</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award are</w:t>
      </w:r>
      <w:r>
        <w:rPr>
          <w:color w:val="363636"/>
        </w:rPr>
        <w:t xml:space="preserve"> </w:t>
      </w:r>
      <w:r>
        <w:rPr>
          <w:rFonts w:ascii="Arial;sans-serif" w:hAnsi="Arial;sans-serif"/>
          <w:b w:val="false"/>
          <w:color w:val="363636"/>
          <w:sz w:val="16"/>
        </w:rPr>
        <w:t>not</w:t>
      </w:r>
      <w:r>
        <w:rPr>
          <w:color w:val="363636"/>
        </w:rPr>
        <w:t xml:space="preserve"> </w:t>
      </w:r>
      <w:r>
        <w:rPr>
          <w:rFonts w:ascii="Arial;sans-serif" w:hAnsi="Arial;sans-serif"/>
          <w:b w:val="false"/>
          <w:color w:val="363636"/>
          <w:sz w:val="16"/>
        </w:rPr>
        <w:t>part of</w:t>
      </w:r>
      <w:r>
        <w:rPr>
          <w:color w:val="363636"/>
        </w:rPr>
        <w:t xml:space="preserve"> </w:t>
      </w:r>
      <w:r>
        <w:rPr>
          <w:rFonts w:ascii="Arial;sans-serif" w:hAnsi="Arial;sans-serif"/>
          <w:b w:val="false"/>
          <w:color w:val="363636"/>
          <w:sz w:val="16"/>
        </w:rPr>
        <w:t>your</w:t>
      </w:r>
      <w:r>
        <w:rPr>
          <w:color w:val="363636"/>
        </w:rPr>
        <w:t xml:space="preserve"> </w:t>
      </w:r>
      <w:r>
        <w:rPr>
          <w:rFonts w:ascii="Arial;sans-serif" w:hAnsi="Arial;sans-serif"/>
          <w:b w:val="false"/>
          <w:color w:val="363636"/>
          <w:sz w:val="16"/>
        </w:rPr>
        <w:t>employment</w:t>
      </w:r>
      <w:r>
        <w:rPr>
          <w:color w:val="363636"/>
        </w:rPr>
        <w:t xml:space="preserve"> </w:t>
      </w:r>
      <w:r>
        <w:rPr>
          <w:rFonts w:ascii="Arial;sans-serif" w:hAnsi="Arial;sans-serif"/>
          <w:b w:val="false"/>
          <w:color w:val="363636"/>
          <w:sz w:val="16"/>
        </w:rPr>
        <w:t>relationship</w:t>
      </w:r>
      <w:r>
        <w:rPr>
          <w:color w:val="363636"/>
        </w:rPr>
        <w:t xml:space="preserve"> </w:t>
      </w:r>
      <w:r>
        <w:rPr>
          <w:rFonts w:ascii="Arial;sans-serif" w:hAnsi="Arial;sans-serif"/>
          <w:b w:val="false"/>
          <w:color w:val="363636"/>
          <w:sz w:val="16"/>
        </w:rPr>
        <w:t>with your</w:t>
      </w:r>
      <w:r>
        <w:rPr>
          <w:color w:val="363636"/>
        </w:rPr>
        <w:t xml:space="preserve"> </w:t>
      </w:r>
      <w:r>
        <w:rPr>
          <w:rFonts w:ascii="Arial;sans-serif" w:hAnsi="Arial;sans-serif"/>
          <w:b w:val="false"/>
          <w:color w:val="363636"/>
          <w:sz w:val="16"/>
        </w:rPr>
        <w:t>employer</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rPr>
        <w:t>are</w:t>
      </w:r>
      <w:r>
        <w:rPr>
          <w:color w:val="363636"/>
        </w:rPr>
        <w:t xml:space="preserve"> </w:t>
      </w:r>
      <w:r>
        <w:rPr>
          <w:rFonts w:ascii="Arial;sans-serif" w:hAnsi="Arial;sans-serif"/>
          <w:b w:val="false"/>
          <w:color w:val="363636"/>
          <w:sz w:val="16"/>
        </w:rPr>
        <w:t>completely</w:t>
      </w:r>
      <w:r>
        <w:rPr>
          <w:color w:val="363636"/>
        </w:rPr>
        <w:t xml:space="preserve"> </w:t>
      </w:r>
      <w:r>
        <w:rPr>
          <w:rFonts w:ascii="Arial;sans-serif" w:hAnsi="Arial;sans-serif"/>
          <w:b w:val="false"/>
          <w:color w:val="363636"/>
          <w:sz w:val="16"/>
        </w:rPr>
        <w:t>separate</w:t>
      </w:r>
      <w:r>
        <w:rPr>
          <w:color w:val="363636"/>
        </w:rPr>
        <w:t xml:space="preserve"> </w:t>
      </w:r>
      <w:r>
        <w:rPr>
          <w:rFonts w:ascii="Arial;sans-serif" w:hAnsi="Arial;sans-serif"/>
          <w:b w:val="false"/>
          <w:color w:val="363636"/>
          <w:sz w:val="16"/>
        </w:rPr>
        <w:t>from</w:t>
      </w:r>
      <w:r>
        <w:rPr>
          <w:color w:val="363636"/>
        </w:rPr>
        <w:t xml:space="preserve"> </w:t>
      </w:r>
      <w:r>
        <w:rPr>
          <w:rFonts w:ascii="Arial;sans-serif" w:hAnsi="Arial;sans-serif"/>
          <w:b w:val="false"/>
          <w:color w:val="363636"/>
          <w:sz w:val="16"/>
        </w:rPr>
        <w:t>your</w:t>
      </w:r>
      <w:r>
        <w:rPr>
          <w:color w:val="363636"/>
        </w:rPr>
        <w:t xml:space="preserve"> </w:t>
      </w:r>
      <w:r>
        <w:rPr>
          <w:rFonts w:ascii="Arial;sans-serif" w:hAnsi="Arial;sans-serif"/>
          <w:b w:val="false"/>
          <w:color w:val="363636"/>
          <w:sz w:val="16"/>
        </w:rPr>
        <w:t>salary</w:t>
      </w:r>
      <w:r>
        <w:rPr>
          <w:color w:val="363636"/>
        </w:rPr>
        <w:t xml:space="preserve"> </w:t>
      </w:r>
      <w:r>
        <w:rPr>
          <w:rFonts w:ascii="Arial;sans-serif" w:hAnsi="Arial;sans-serif"/>
          <w:b w:val="false"/>
          <w:color w:val="363636"/>
          <w:sz w:val="16"/>
        </w:rPr>
        <w:t>or any</w:t>
      </w:r>
      <w:r>
        <w:rPr>
          <w:color w:val="363636"/>
        </w:rPr>
        <w:t xml:space="preserve"> </w:t>
      </w:r>
      <w:r>
        <w:rPr>
          <w:rFonts w:ascii="Arial;sans-serif" w:hAnsi="Arial;sans-serif"/>
          <w:b w:val="false"/>
          <w:color w:val="363636"/>
          <w:sz w:val="16"/>
        </w:rPr>
        <w:t>other</w:t>
      </w:r>
      <w:r>
        <w:rPr>
          <w:color w:val="363636"/>
        </w:rPr>
        <w:t xml:space="preserve"> </w:t>
      </w:r>
      <w:r>
        <w:rPr>
          <w:rFonts w:ascii="Arial;sans-serif" w:hAnsi="Arial;sans-serif"/>
          <w:b w:val="false"/>
          <w:color w:val="111111"/>
          <w:sz w:val="16"/>
        </w:rPr>
        <w:t>r</w:t>
      </w:r>
      <w:r>
        <w:rPr>
          <w:rFonts w:ascii="Arial;sans-serif" w:hAnsi="Arial;sans-serif"/>
          <w:b w:val="false"/>
          <w:color w:val="525250"/>
          <w:sz w:val="16"/>
        </w:rPr>
        <w:t>e</w:t>
      </w:r>
      <w:r>
        <w:rPr>
          <w:rFonts w:ascii="Arial;sans-serif" w:hAnsi="Arial;sans-serif"/>
          <w:b w:val="false"/>
          <w:color w:val="363636"/>
          <w:sz w:val="16"/>
        </w:rPr>
        <w:t>muneration or</w:t>
      </w:r>
      <w:r>
        <w:rPr>
          <w:color w:val="363636"/>
        </w:rPr>
        <w:t xml:space="preserve"> </w:t>
      </w:r>
      <w:r>
        <w:rPr>
          <w:rFonts w:ascii="Arial;sans-serif" w:hAnsi="Arial;sans-serif"/>
          <w:b w:val="false"/>
          <w:color w:val="363636"/>
          <w:sz w:val="16"/>
        </w:rPr>
        <w:t>benefits</w:t>
      </w:r>
      <w:r>
        <w:rPr>
          <w:color w:val="363636"/>
        </w:rPr>
        <w:t xml:space="preserve"> </w:t>
      </w:r>
      <w:r>
        <w:rPr>
          <w:rFonts w:ascii="Arial;sans-serif" w:hAnsi="Arial;sans-serif"/>
          <w:b w:val="false"/>
          <w:color w:val="363636"/>
          <w:sz w:val="16"/>
        </w:rPr>
        <w:t>provided</w:t>
      </w:r>
      <w:r>
        <w:rPr>
          <w:color w:val="363636"/>
        </w:rPr>
        <w:t xml:space="preserve"> </w:t>
      </w:r>
      <w:r>
        <w:rPr>
          <w:rFonts w:ascii="Arial;sans-serif" w:hAnsi="Arial;sans-serif"/>
          <w:b w:val="false"/>
          <w:color w:val="363636"/>
          <w:sz w:val="16"/>
        </w:rPr>
        <w:t>to you</w:t>
      </w:r>
      <w:r>
        <w:rPr>
          <w:color w:val="363636"/>
        </w:rPr>
        <w:t xml:space="preserve"> </w:t>
      </w:r>
      <w:r>
        <w:rPr>
          <w:rFonts w:ascii="Arial;sans-serif" w:hAnsi="Arial;sans-serif"/>
          <w:b w:val="false"/>
          <w:color w:val="363636"/>
          <w:sz w:val="16"/>
        </w:rPr>
        <w:t xml:space="preserve">by </w:t>
      </w:r>
      <w:r>
        <w:rPr>
          <w:rFonts w:ascii="Arial;sans-serif" w:hAnsi="Arial;sans-serif"/>
          <w:b w:val="false"/>
          <w:color w:val="232323"/>
          <w:sz w:val="16"/>
        </w:rPr>
        <w:t xml:space="preserve">the </w:t>
      </w:r>
      <w:r>
        <w:rPr>
          <w:rFonts w:ascii="Arial;sans-serif" w:hAnsi="Arial;sans-serif"/>
          <w:b w:val="false"/>
          <w:color w:val="363636"/>
          <w:sz w:val="16"/>
        </w:rPr>
        <w:t>employer.</w:t>
      </w:r>
      <w:r>
        <w:rPr>
          <w:color w:val="363636"/>
        </w:rPr>
        <w:t xml:space="preserve"> </w:t>
      </w:r>
      <w:r>
        <w:rPr>
          <w:rFonts w:ascii="Arial;sans-serif" w:hAnsi="Arial;sans-serif"/>
          <w:b w:val="false"/>
          <w:color w:val="363636"/>
          <w:sz w:val="16"/>
        </w:rPr>
        <w:t>This means</w:t>
      </w:r>
      <w:r>
        <w:rPr>
          <w:color w:val="363636"/>
        </w:rPr>
        <w:t xml:space="preserve"> </w:t>
      </w:r>
      <w:r>
        <w:rPr>
          <w:rFonts w:ascii="Arial;sans-serif" w:hAnsi="Arial;sans-serif"/>
          <w:b w:val="false"/>
          <w:color w:val="363636"/>
          <w:sz w:val="16"/>
        </w:rPr>
        <w:t>that</w:t>
      </w:r>
      <w:r>
        <w:rPr>
          <w:color w:val="363636"/>
        </w:rPr>
        <w:t xml:space="preserve"> </w:t>
      </w:r>
      <w:r>
        <w:rPr>
          <w:rFonts w:ascii="Arial;sans-serif" w:hAnsi="Arial;sans-serif"/>
          <w:b w:val="false"/>
          <w:color w:val="363636"/>
          <w:sz w:val="16"/>
        </w:rPr>
        <w:t>any gain</w:t>
      </w:r>
      <w:r>
        <w:rPr>
          <w:color w:val="363636"/>
        </w:rPr>
        <w:t xml:space="preserve"> </w:t>
      </w:r>
      <w:r>
        <w:rPr>
          <w:rFonts w:ascii="Arial;sans-serif" w:hAnsi="Arial;sans-serif"/>
          <w:b w:val="false"/>
          <w:color w:val="363636"/>
          <w:sz w:val="16"/>
        </w:rPr>
        <w:t>you realize</w:t>
      </w:r>
      <w:r>
        <w:rPr>
          <w:color w:val="363636"/>
        </w:rPr>
        <w:t xml:space="preserve"> </w:t>
      </w:r>
      <w:r>
        <w:rPr>
          <w:rFonts w:ascii="Arial;sans-serif" w:hAnsi="Arial;sans-serif"/>
          <w:b w:val="false"/>
          <w:color w:val="363636"/>
          <w:sz w:val="16"/>
        </w:rPr>
        <w:t>from</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will not be included</w:t>
      </w:r>
      <w:r>
        <w:rPr>
          <w:color w:val="363636"/>
        </w:rPr>
        <w:t xml:space="preserve"> </w:t>
      </w:r>
      <w:r>
        <w:rPr>
          <w:rFonts w:ascii="Arial;sans-serif" w:hAnsi="Arial;sans-serif"/>
          <w:b w:val="false"/>
          <w:color w:val="363636"/>
          <w:sz w:val="16"/>
        </w:rPr>
        <w:t>if</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363636"/>
          <w:sz w:val="16"/>
        </w:rPr>
        <w:t>when any</w:t>
      </w:r>
      <w:r>
        <w:rPr>
          <w:color w:val="363636"/>
        </w:rPr>
        <w:t xml:space="preserve"> </w:t>
      </w:r>
      <w:r>
        <w:rPr>
          <w:rFonts w:ascii="Arial;sans-serif" w:hAnsi="Arial;sans-serif"/>
          <w:b w:val="false"/>
          <w:color w:val="363636"/>
          <w:sz w:val="16"/>
        </w:rPr>
        <w:t>benefits</w:t>
      </w:r>
      <w:r>
        <w:rPr>
          <w:color w:val="363636"/>
        </w:rPr>
        <w:t xml:space="preserve"> </w:t>
      </w:r>
      <w:r>
        <w:rPr>
          <w:rFonts w:ascii="Arial;sans-serif" w:hAnsi="Arial;sans-serif"/>
          <w:b w:val="false"/>
          <w:color w:val="363636"/>
          <w:sz w:val="16"/>
        </w:rPr>
        <w:t>that you</w:t>
      </w:r>
      <w:r>
        <w:rPr>
          <w:color w:val="363636"/>
        </w:rPr>
        <w:t xml:space="preserve"> </w:t>
      </w:r>
      <w:r>
        <w:rPr>
          <w:rFonts w:ascii="Arial;sans-serif" w:hAnsi="Arial;sans-serif"/>
          <w:b w:val="false"/>
          <w:color w:val="363636"/>
          <w:sz w:val="16"/>
        </w:rPr>
        <w:t>may</w:t>
      </w:r>
      <w:r>
        <w:rPr>
          <w:color w:val="363636"/>
        </w:rPr>
        <w:t xml:space="preserve"> </w:t>
      </w:r>
      <w:r>
        <w:rPr>
          <w:rFonts w:ascii="Arial;sans-serif" w:hAnsi="Arial;sans-serif"/>
          <w:b w:val="false"/>
          <w:color w:val="111111"/>
          <w:sz w:val="16"/>
        </w:rPr>
        <w:t xml:space="preserve">receive </w:t>
      </w:r>
      <w:r>
        <w:rPr>
          <w:rFonts w:ascii="Arial;sans-serif" w:hAnsi="Arial;sans-serif"/>
          <w:b w:val="false"/>
          <w:color w:val="363636"/>
          <w:sz w:val="16"/>
        </w:rPr>
        <w:t>from</w:t>
      </w:r>
      <w:r>
        <w:rPr>
          <w:color w:val="363636"/>
        </w:rPr>
        <w:t xml:space="preserve"> </w:t>
      </w:r>
      <w:r>
        <w:rPr>
          <w:rFonts w:ascii="Arial;sans-serif" w:hAnsi="Arial;sans-serif"/>
          <w:b w:val="false"/>
          <w:color w:val="232323"/>
          <w:sz w:val="16"/>
        </w:rPr>
        <w:t>the</w:t>
      </w:r>
      <w:r>
        <w:rPr>
          <w:color w:val="232323"/>
        </w:rPr>
        <w:t xml:space="preserve"> </w:t>
      </w:r>
      <w:r>
        <w:rPr>
          <w:rFonts w:ascii="Arial;sans-serif" w:hAnsi="Arial;sans-serif"/>
          <w:b w:val="false"/>
          <w:color w:val="363636"/>
          <w:sz w:val="16"/>
        </w:rPr>
        <w:t>employer</w:t>
      </w:r>
      <w:r>
        <w:rPr>
          <w:color w:val="363636"/>
        </w:rPr>
        <w:t xml:space="preserve"> </w:t>
      </w:r>
      <w:r>
        <w:rPr>
          <w:rFonts w:ascii="Arial;sans-serif" w:hAnsi="Arial;sans-serif"/>
          <w:b w:val="false"/>
          <w:color w:val="363636"/>
          <w:sz w:val="16"/>
        </w:rPr>
        <w:t>are</w:t>
      </w:r>
      <w:r>
        <w:rPr>
          <w:color w:val="363636"/>
        </w:rPr>
        <w:t xml:space="preserve"> </w:t>
      </w:r>
      <w:r>
        <w:rPr>
          <w:rFonts w:ascii="Arial;sans-serif" w:hAnsi="Arial;sans-serif"/>
          <w:b w:val="false"/>
          <w:color w:val="232323"/>
          <w:sz w:val="16"/>
        </w:rPr>
        <w:t>calculated</w:t>
      </w:r>
      <w:r>
        <w:rPr>
          <w:rFonts w:ascii="Arial;sans-serif" w:hAnsi="Arial;sans-serif"/>
          <w:b w:val="false"/>
          <w:color w:val="525250"/>
          <w:sz w:val="16"/>
        </w:rPr>
        <w:t>,</w:t>
      </w:r>
      <w:r>
        <w:rPr>
          <w:color w:val="363636"/>
        </w:rPr>
        <w:t xml:space="preserve"> </w:t>
      </w:r>
      <w:r>
        <w:rPr>
          <w:rFonts w:ascii="Arial;sans-serif" w:hAnsi="Arial;sans-serif"/>
          <w:b w:val="false"/>
          <w:color w:val="363636"/>
          <w:sz w:val="16"/>
        </w:rPr>
        <w:t>including but</w:t>
      </w:r>
      <w:r>
        <w:rPr>
          <w:color w:val="363636"/>
        </w:rPr>
        <w:t xml:space="preserve"> </w:t>
      </w:r>
      <w:r>
        <w:rPr>
          <w:rFonts w:ascii="Arial;sans-serif" w:hAnsi="Arial;sans-serif"/>
          <w:b w:val="false"/>
          <w:color w:val="363636"/>
          <w:sz w:val="16"/>
        </w:rPr>
        <w:t>not</w:t>
      </w:r>
      <w:r>
        <w:rPr>
          <w:color w:val="363636"/>
        </w:rPr>
        <w:t xml:space="preserve"> </w:t>
      </w:r>
      <w:r>
        <w:rPr>
          <w:rFonts w:ascii="Arial;sans-serif" w:hAnsi="Arial;sans-serif"/>
          <w:b w:val="false"/>
          <w:color w:val="363636"/>
          <w:sz w:val="16"/>
        </w:rPr>
        <w:t>limited to</w:t>
      </w:r>
      <w:r>
        <w:rPr>
          <w:color w:val="363636"/>
        </w:rPr>
        <w:t xml:space="preserve"> </w:t>
      </w:r>
      <w:r>
        <w:rPr>
          <w:rFonts w:ascii="Arial;sans-serif" w:hAnsi="Arial;sans-serif"/>
          <w:b w:val="false"/>
          <w:color w:val="363636"/>
          <w:sz w:val="16"/>
        </w:rPr>
        <w:t>bonuses,</w:t>
      </w:r>
      <w:r>
        <w:rPr>
          <w:color w:val="363636"/>
        </w:rPr>
        <w:t xml:space="preserve"> </w:t>
      </w:r>
      <w:r>
        <w:rPr>
          <w:rFonts w:ascii="Arial;sans-serif" w:hAnsi="Arial;sans-serif"/>
          <w:b w:val="false"/>
          <w:color w:val="363636"/>
          <w:sz w:val="16"/>
        </w:rPr>
        <w:t>severance</w:t>
      </w:r>
      <w:r>
        <w:rPr>
          <w:color w:val="363636"/>
        </w:rPr>
        <w:t xml:space="preserve"> </w:t>
      </w:r>
      <w:r>
        <w:rPr>
          <w:rFonts w:ascii="Arial;sans-serif" w:hAnsi="Arial;sans-serif"/>
          <w:b w:val="false"/>
          <w:color w:val="363636"/>
          <w:sz w:val="16"/>
        </w:rPr>
        <w:t>payments</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363636"/>
          <w:sz w:val="16"/>
        </w:rPr>
        <w:t>similar</w:t>
      </w:r>
      <w:r>
        <w:rPr>
          <w:color w:val="363636"/>
        </w:rPr>
        <w:t xml:space="preserve"> </w:t>
      </w:r>
      <w:r>
        <w:rPr>
          <w:rFonts w:ascii="Arial;sans-serif" w:hAnsi="Arial;sans-serif"/>
          <w:b w:val="false"/>
          <w:color w:val="363636"/>
          <w:sz w:val="16"/>
        </w:rPr>
        <w:t>termination</w:t>
      </w:r>
      <w:r>
        <w:rPr>
          <w:color w:val="363636"/>
        </w:rPr>
        <w:t xml:space="preserve"> </w:t>
      </w:r>
      <w:r>
        <w:rPr>
          <w:rFonts w:ascii="Arial;sans-serif" w:hAnsi="Arial;sans-serif"/>
          <w:b w:val="false"/>
          <w:color w:val="363636"/>
          <w:sz w:val="16"/>
        </w:rPr>
        <w:t>compensation</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111111"/>
          <w:sz w:val="16"/>
        </w:rPr>
        <w:t>i</w:t>
      </w:r>
      <w:r>
        <w:rPr>
          <w:rFonts w:ascii="Arial;sans-serif" w:hAnsi="Arial;sans-serif"/>
          <w:b w:val="false"/>
          <w:color w:val="363636"/>
          <w:sz w:val="16"/>
        </w:rPr>
        <w:t>ndemni</w:t>
      </w:r>
      <w:r>
        <w:rPr>
          <w:rFonts w:ascii="Arial;sans-serif" w:hAnsi="Arial;sans-serif"/>
          <w:b w:val="false"/>
          <w:color w:val="111111"/>
          <w:sz w:val="16"/>
        </w:rPr>
        <w:t>t</w:t>
      </w:r>
      <w:r>
        <w:rPr>
          <w:rFonts w:ascii="Arial;sans-serif" w:hAnsi="Arial;sans-serif"/>
          <w:b w:val="false"/>
          <w:color w:val="363636"/>
          <w:sz w:val="16"/>
        </w:rPr>
        <w:t>y</w:t>
      </w:r>
      <w:r>
        <w:rPr>
          <w:rFonts w:ascii="Arial;sans-serif" w:hAnsi="Arial;sans-serif"/>
          <w:b w:val="false"/>
          <w:color w:val="525250"/>
          <w:sz w:val="16"/>
        </w:rPr>
        <w:t>,</w:t>
      </w:r>
      <w:r>
        <w:rPr>
          <w:color w:val="525250"/>
        </w:rPr>
        <w:t xml:space="preserve"> </w:t>
      </w:r>
      <w:r>
        <w:rPr>
          <w:rFonts w:ascii="Arial;sans-serif" w:hAnsi="Arial;sans-serif"/>
          <w:b w:val="false"/>
          <w:color w:val="363636"/>
          <w:sz w:val="16"/>
        </w:rPr>
        <w:t>payments</w:t>
      </w:r>
      <w:r>
        <w:rPr>
          <w:color w:val="363636"/>
        </w:rPr>
        <w:t xml:space="preserve"> </w:t>
      </w:r>
      <w:r>
        <w:rPr>
          <w:rFonts w:ascii="Arial;sans-serif" w:hAnsi="Arial;sans-serif"/>
          <w:b w:val="false"/>
          <w:color w:val="363636"/>
          <w:sz w:val="16"/>
        </w:rPr>
        <w:t>during</w:t>
      </w:r>
      <w:r>
        <w:rPr>
          <w:color w:val="363636"/>
        </w:rPr>
        <w:t xml:space="preserve"> </w:t>
      </w:r>
      <w:r>
        <w:rPr>
          <w:rFonts w:ascii="Arial;sans-serif" w:hAnsi="Arial;sans-serif"/>
          <w:b w:val="false"/>
          <w:color w:val="363636"/>
          <w:sz w:val="16"/>
        </w:rPr>
        <w:t>a</w:t>
      </w:r>
      <w:r>
        <w:rPr>
          <w:color w:val="363636"/>
        </w:rPr>
        <w:t xml:space="preserve"> </w:t>
      </w:r>
      <w:r>
        <w:rPr>
          <w:rFonts w:ascii="Arial;sans-serif" w:hAnsi="Arial;sans-serif"/>
          <w:b w:val="false"/>
          <w:color w:val="363636"/>
          <w:sz w:val="16"/>
        </w:rPr>
        <w:t>not</w:t>
      </w:r>
      <w:r>
        <w:rPr>
          <w:rFonts w:ascii="Arial;sans-serif" w:hAnsi="Arial;sans-serif"/>
          <w:b w:val="false"/>
          <w:color w:val="525250"/>
          <w:sz w:val="16"/>
        </w:rPr>
        <w:t>i</w:t>
      </w:r>
      <w:r>
        <w:rPr>
          <w:rFonts w:ascii="Arial;sans-serif" w:hAnsi="Arial;sans-serif"/>
          <w:b w:val="false"/>
          <w:color w:val="363636"/>
          <w:sz w:val="16"/>
        </w:rPr>
        <w:t>ce</w:t>
      </w:r>
      <w:r>
        <w:rPr>
          <w:color w:val="363636"/>
        </w:rPr>
        <w:t xml:space="preserve"> </w:t>
      </w:r>
      <w:r>
        <w:rPr>
          <w:rFonts w:ascii="Arial;sans-serif" w:hAnsi="Arial;sans-serif"/>
          <w:b w:val="false"/>
          <w:color w:val="363636"/>
          <w:sz w:val="16"/>
        </w:rPr>
        <w:t>period</w:t>
      </w:r>
      <w:r>
        <w:rPr>
          <w:color w:val="363636"/>
        </w:rPr>
        <w:t xml:space="preserve"> </w:t>
      </w:r>
      <w:r>
        <w:rPr>
          <w:rFonts w:ascii="Arial;sans-serif" w:hAnsi="Arial;sans-serif"/>
          <w:b w:val="false"/>
          <w:color w:val="363636"/>
          <w:sz w:val="16"/>
        </w:rPr>
        <w:t>or payments</w:t>
      </w:r>
      <w:r>
        <w:rPr>
          <w:color w:val="363636"/>
        </w:rPr>
        <w:t xml:space="preserve"> </w:t>
      </w:r>
      <w:r>
        <w:rPr>
          <w:rFonts w:ascii="Arial;sans-serif" w:hAnsi="Arial;sans-serif"/>
          <w:b w:val="false"/>
          <w:color w:val="363636"/>
          <w:sz w:val="16"/>
        </w:rPr>
        <w:t>in l</w:t>
      </w:r>
      <w:r>
        <w:rPr>
          <w:rFonts w:ascii="Arial;sans-serif" w:hAnsi="Arial;sans-serif"/>
          <w:b w:val="false"/>
          <w:color w:val="525250"/>
          <w:sz w:val="16"/>
        </w:rPr>
        <w:t>i</w:t>
      </w:r>
      <w:r>
        <w:rPr>
          <w:rFonts w:ascii="Arial;sans-serif" w:hAnsi="Arial;sans-serif"/>
          <w:b w:val="false"/>
          <w:color w:val="363636"/>
          <w:sz w:val="16"/>
        </w:rPr>
        <w:t>eu of notice.</w:t>
      </w:r>
    </w:p>
    <w:p>
      <w:pPr>
        <w:pStyle w:val="TextBody"/>
        <w:bidi w:val="0"/>
        <w:spacing w:before="11" w:after="283"/>
        <w:jc w:val="left"/>
        <w:rPr/>
      </w:pPr>
      <w:r>
        <w:rPr/>
      </w:r>
    </w:p>
    <w:p>
      <w:pPr>
        <w:pStyle w:val="TextBody"/>
        <w:bidi w:val="0"/>
        <w:spacing w:lineRule="auto" w:line="307" w:before="0" w:after="0"/>
        <w:ind w:left="0" w:right="0" w:firstLine="5"/>
        <w:jc w:val="both"/>
        <w:rPr/>
      </w:pPr>
      <w:r>
        <w:rPr>
          <w:rFonts w:ascii="Arial;sans-serif" w:hAnsi="Arial;sans-serif"/>
          <w:b w:val="false"/>
          <w:color w:val="363636"/>
          <w:sz w:val="16"/>
        </w:rPr>
        <w:t>If</w:t>
      </w:r>
      <w:r>
        <w:rPr>
          <w:color w:val="363636"/>
        </w:rPr>
        <w:t xml:space="preserve"> </w:t>
      </w:r>
      <w:r>
        <w:rPr>
          <w:rFonts w:ascii="Arial;sans-serif" w:hAnsi="Arial;sans-serif"/>
          <w:b w:val="false"/>
          <w:color w:val="363636"/>
          <w:sz w:val="16"/>
        </w:rPr>
        <w:t>an RSU</w:t>
      </w:r>
      <w:r>
        <w:rPr>
          <w:color w:val="363636"/>
        </w:rPr>
        <w:t xml:space="preserve"> </w:t>
      </w:r>
      <w:r>
        <w:rPr>
          <w:rFonts w:ascii="Arial;sans-serif" w:hAnsi="Arial;sans-serif"/>
          <w:b w:val="false"/>
          <w:color w:val="363636"/>
          <w:sz w:val="16"/>
        </w:rPr>
        <w:t>grant is</w:t>
      </w:r>
      <w:r>
        <w:rPr>
          <w:color w:val="363636"/>
        </w:rPr>
        <w:t xml:space="preserve"> </w:t>
      </w:r>
      <w:r>
        <w:rPr>
          <w:rFonts w:ascii="Arial;sans-serif" w:hAnsi="Arial;sans-serif"/>
          <w:b w:val="false"/>
          <w:color w:val="363636"/>
          <w:sz w:val="16"/>
        </w:rPr>
        <w:t>made to</w:t>
      </w:r>
      <w:r>
        <w:rPr>
          <w:color w:val="363636"/>
        </w:rPr>
        <w:t xml:space="preserve"> </w:t>
      </w:r>
      <w:r>
        <w:rPr>
          <w:rFonts w:ascii="Arial;sans-serif" w:hAnsi="Arial;sans-serif"/>
          <w:b w:val="false"/>
          <w:color w:val="363636"/>
          <w:sz w:val="16"/>
        </w:rPr>
        <w:t>you, you will</w:t>
      </w:r>
      <w:r>
        <w:rPr>
          <w:color w:val="363636"/>
        </w:rPr>
        <w:t xml:space="preserve"> </w:t>
      </w:r>
      <w:r>
        <w:rPr>
          <w:rFonts w:ascii="Arial;sans-serif" w:hAnsi="Arial;sans-serif"/>
          <w:b w:val="false"/>
          <w:color w:val="363636"/>
          <w:sz w:val="16"/>
        </w:rPr>
        <w:t xml:space="preserve">be </w:t>
      </w:r>
      <w:r>
        <w:rPr>
          <w:rFonts w:ascii="Arial;sans-serif" w:hAnsi="Arial;sans-serif"/>
          <w:b w:val="false"/>
          <w:color w:val="232323"/>
          <w:sz w:val="16"/>
        </w:rPr>
        <w:t>responsible</w:t>
      </w:r>
      <w:r>
        <w:rPr>
          <w:color w:val="232323"/>
        </w:rPr>
        <w:t xml:space="preserve"> </w:t>
      </w:r>
      <w:r>
        <w:rPr>
          <w:rFonts w:ascii="Arial;sans-serif" w:hAnsi="Arial;sans-serif"/>
          <w:b w:val="false"/>
          <w:color w:val="363636"/>
          <w:sz w:val="16"/>
        </w:rPr>
        <w:t>for</w:t>
      </w:r>
      <w:r>
        <w:rPr>
          <w:color w:val="363636"/>
        </w:rPr>
        <w:t xml:space="preserve"> </w:t>
      </w:r>
      <w:r>
        <w:rPr>
          <w:rFonts w:ascii="Arial;sans-serif" w:hAnsi="Arial;sans-serif"/>
          <w:b w:val="false"/>
          <w:color w:val="363636"/>
          <w:sz w:val="16"/>
        </w:rPr>
        <w:t>complying</w:t>
      </w:r>
      <w:r>
        <w:rPr>
          <w:color w:val="363636"/>
        </w:rPr>
        <w:t xml:space="preserve"> </w:t>
      </w:r>
      <w:r>
        <w:rPr>
          <w:rFonts w:ascii="Arial;sans-serif" w:hAnsi="Arial;sans-serif"/>
          <w:b w:val="false"/>
          <w:color w:val="363636"/>
          <w:sz w:val="16"/>
        </w:rPr>
        <w:t>with</w:t>
      </w:r>
      <w:r>
        <w:rPr>
          <w:color w:val="363636"/>
        </w:rPr>
        <w:t xml:space="preserve"> </w:t>
      </w:r>
      <w:r>
        <w:rPr>
          <w:rFonts w:ascii="Arial;sans-serif" w:hAnsi="Arial;sans-serif"/>
          <w:b w:val="false"/>
          <w:color w:val="363636"/>
          <w:sz w:val="16"/>
        </w:rPr>
        <w:t xml:space="preserve">any applicable </w:t>
      </w:r>
      <w:r>
        <w:rPr>
          <w:rFonts w:ascii="Arial;sans-serif" w:hAnsi="Arial;sans-serif"/>
          <w:b w:val="false"/>
          <w:color w:val="111111"/>
          <w:sz w:val="16"/>
        </w:rPr>
        <w:t xml:space="preserve">legal </w:t>
      </w:r>
      <w:r>
        <w:rPr>
          <w:rFonts w:ascii="Arial;sans-serif" w:hAnsi="Arial;sans-serif"/>
          <w:b w:val="false"/>
          <w:color w:val="363636"/>
          <w:sz w:val="16"/>
        </w:rPr>
        <w:t>requirements in</w:t>
      </w:r>
      <w:r>
        <w:rPr>
          <w:color w:val="363636"/>
        </w:rPr>
        <w:t xml:space="preserve"> </w:t>
      </w:r>
      <w:r>
        <w:rPr>
          <w:rFonts w:ascii="Arial;sans-serif" w:hAnsi="Arial;sans-serif"/>
          <w:b w:val="false"/>
          <w:color w:val="363636"/>
          <w:sz w:val="16"/>
        </w:rPr>
        <w:t>connection</w:t>
      </w:r>
      <w:r>
        <w:rPr>
          <w:color w:val="363636"/>
        </w:rPr>
        <w:t xml:space="preserve"> </w:t>
      </w:r>
      <w:r>
        <w:rPr>
          <w:rFonts w:ascii="Arial;sans-serif" w:hAnsi="Arial;sans-serif"/>
          <w:b w:val="false"/>
          <w:color w:val="363636"/>
          <w:sz w:val="16"/>
        </w:rPr>
        <w:t>with your</w:t>
      </w:r>
      <w:r>
        <w:rPr>
          <w:color w:val="363636"/>
        </w:rPr>
        <w:t xml:space="preserve"> </w:t>
      </w:r>
      <w:r>
        <w:rPr>
          <w:rFonts w:ascii="Arial;sans-serif" w:hAnsi="Arial;sans-serif"/>
          <w:b w:val="false"/>
          <w:color w:val="363636"/>
          <w:sz w:val="16"/>
        </w:rPr>
        <w:t>participation</w:t>
      </w:r>
      <w:r>
        <w:rPr>
          <w:color w:val="363636"/>
        </w:rPr>
        <w:t xml:space="preserve"> </w:t>
      </w:r>
      <w:r>
        <w:rPr>
          <w:rFonts w:ascii="Arial;sans-serif" w:hAnsi="Arial;sans-serif"/>
          <w:b w:val="false"/>
          <w:color w:val="363636"/>
          <w:sz w:val="16"/>
        </w:rPr>
        <w:t>in</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Plan and for</w:t>
      </w:r>
      <w:r>
        <w:rPr>
          <w:color w:val="363636"/>
        </w:rPr>
        <w:t xml:space="preserve"> </w:t>
      </w:r>
      <w:r>
        <w:rPr>
          <w:rFonts w:ascii="Arial;sans-serif" w:hAnsi="Arial;sans-serif"/>
          <w:b w:val="false"/>
          <w:color w:val="363636"/>
          <w:sz w:val="16"/>
        </w:rPr>
        <w:t>any tax</w:t>
      </w:r>
      <w:r>
        <w:rPr>
          <w:color w:val="363636"/>
        </w:rPr>
        <w:t xml:space="preserve"> </w:t>
      </w:r>
      <w:r>
        <w:rPr>
          <w:rFonts w:ascii="Arial;sans-serif" w:hAnsi="Arial;sans-serif"/>
          <w:b w:val="false"/>
          <w:color w:val="363636"/>
          <w:sz w:val="16"/>
        </w:rPr>
        <w:t>o</w:t>
      </w:r>
      <w:r>
        <w:rPr>
          <w:rFonts w:ascii="Arial;sans-serif" w:hAnsi="Arial;sans-serif"/>
          <w:b w:val="false"/>
          <w:color w:val="525250"/>
          <w:sz w:val="16"/>
        </w:rPr>
        <w:t>r</w:t>
      </w:r>
      <w:r>
        <w:rPr>
          <w:color w:val="525250"/>
        </w:rPr>
        <w:t xml:space="preserve"> </w:t>
      </w:r>
      <w:r>
        <w:rPr>
          <w:rFonts w:ascii="Arial;sans-serif" w:hAnsi="Arial;sans-serif"/>
          <w:b w:val="false"/>
          <w:color w:val="363636"/>
          <w:sz w:val="16"/>
        </w:rPr>
        <w:t>social</w:t>
      </w:r>
      <w:r>
        <w:rPr>
          <w:color w:val="363636"/>
        </w:rPr>
        <w:t xml:space="preserve"> </w:t>
      </w:r>
      <w:r>
        <w:rPr>
          <w:rFonts w:ascii="Arial;sans-serif" w:hAnsi="Arial;sans-serif"/>
          <w:b w:val="false"/>
          <w:color w:val="363636"/>
          <w:sz w:val="16"/>
        </w:rPr>
        <w:t>insurance</w:t>
      </w:r>
      <w:r>
        <w:rPr>
          <w:color w:val="363636"/>
        </w:rPr>
        <w:t xml:space="preserve"> </w:t>
      </w:r>
      <w:r>
        <w:rPr>
          <w:rFonts w:ascii="Arial;sans-serif" w:hAnsi="Arial;sans-serif"/>
          <w:b w:val="false"/>
          <w:color w:val="363636"/>
          <w:sz w:val="16"/>
        </w:rPr>
        <w:t>contribution</w:t>
      </w:r>
      <w:r>
        <w:rPr>
          <w:color w:val="363636"/>
        </w:rPr>
        <w:t xml:space="preserve"> </w:t>
      </w:r>
      <w:r>
        <w:rPr>
          <w:rFonts w:ascii="Arial;sans-serif" w:hAnsi="Arial;sans-serif"/>
          <w:b w:val="false"/>
          <w:color w:val="363636"/>
          <w:sz w:val="16"/>
        </w:rPr>
        <w:t>obligations</w:t>
      </w:r>
      <w:r>
        <w:rPr>
          <w:color w:val="363636"/>
        </w:rPr>
        <w:t xml:space="preserve"> </w:t>
      </w:r>
      <w:r>
        <w:rPr>
          <w:rFonts w:ascii="Arial;sans-serif" w:hAnsi="Arial;sans-serif"/>
          <w:b w:val="false"/>
          <w:color w:val="232323"/>
          <w:sz w:val="16"/>
        </w:rPr>
        <w:t xml:space="preserve">arising </w:t>
      </w:r>
      <w:r>
        <w:rPr>
          <w:rFonts w:ascii="Arial;sans-serif" w:hAnsi="Arial;sans-serif"/>
          <w:b w:val="false"/>
          <w:color w:val="363636"/>
          <w:sz w:val="16"/>
        </w:rPr>
        <w:t>from</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and</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shares of common</w:t>
      </w:r>
      <w:r>
        <w:rPr>
          <w:color w:val="363636"/>
        </w:rPr>
        <w:t xml:space="preserve"> </w:t>
      </w:r>
      <w:r>
        <w:rPr>
          <w:rFonts w:ascii="Arial;sans-serif" w:hAnsi="Arial;sans-serif"/>
          <w:b w:val="false"/>
          <w:color w:val="363636"/>
          <w:sz w:val="16"/>
        </w:rPr>
        <w:t>stock received pursuant to the RSUs and regardless of any</w:t>
      </w:r>
      <w:r>
        <w:rPr>
          <w:color w:val="363636"/>
        </w:rPr>
        <w:t xml:space="preserve"> </w:t>
      </w:r>
      <w:r>
        <w:rPr>
          <w:rFonts w:ascii="Arial;sans-serif" w:hAnsi="Arial;sans-serif"/>
          <w:b w:val="false"/>
          <w:color w:val="363636"/>
          <w:sz w:val="16"/>
        </w:rPr>
        <w:t>tax and social</w:t>
      </w:r>
      <w:r>
        <w:rPr>
          <w:color w:val="363636"/>
        </w:rPr>
        <w:t xml:space="preserve"> </w:t>
      </w:r>
      <w:r>
        <w:rPr>
          <w:rFonts w:ascii="Arial;sans-serif" w:hAnsi="Arial;sans-serif"/>
          <w:b w:val="false"/>
          <w:color w:val="363636"/>
          <w:sz w:val="16"/>
        </w:rPr>
        <w:t>insurance contribution withholding and/or reporting</w:t>
      </w:r>
      <w:r>
        <w:rPr>
          <w:color w:val="363636"/>
        </w:rPr>
        <w:t xml:space="preserve"> </w:t>
      </w:r>
      <w:r>
        <w:rPr>
          <w:rFonts w:ascii="Arial;sans-serif" w:hAnsi="Arial;sans-serif"/>
          <w:b w:val="false"/>
          <w:color w:val="363636"/>
          <w:sz w:val="16"/>
        </w:rPr>
        <w:t>obligation</w:t>
      </w:r>
      <w:r>
        <w:rPr>
          <w:color w:val="363636"/>
        </w:rPr>
        <w:t xml:space="preserve"> </w:t>
      </w:r>
      <w:r>
        <w:rPr>
          <w:rFonts w:ascii="Arial;sans-serif" w:hAnsi="Arial;sans-serif"/>
          <w:b w:val="false"/>
          <w:color w:val="363636"/>
          <w:sz w:val="16"/>
        </w:rPr>
        <w:t>of</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employer.</w:t>
      </w:r>
      <w:r>
        <w:rPr>
          <w:color w:val="363636"/>
        </w:rPr>
        <w:t xml:space="preserve"> </w:t>
      </w:r>
      <w:r>
        <w:rPr>
          <w:rFonts w:ascii="Arial;sans-serif" w:hAnsi="Arial;sans-serif"/>
          <w:b w:val="false"/>
          <w:color w:val="232323"/>
          <w:sz w:val="16"/>
        </w:rPr>
        <w:t>You</w:t>
      </w:r>
      <w:r>
        <w:rPr>
          <w:color w:val="232323"/>
        </w:rPr>
        <w:t xml:space="preserve"> </w:t>
      </w:r>
      <w:r>
        <w:rPr>
          <w:rFonts w:ascii="Arial;sans-serif" w:hAnsi="Arial;sans-serif"/>
          <w:b w:val="false"/>
          <w:color w:val="363636"/>
          <w:sz w:val="16"/>
        </w:rPr>
        <w:t>agree</w:t>
      </w:r>
      <w:r>
        <w:rPr>
          <w:color w:val="363636"/>
        </w:rPr>
        <w:t xml:space="preserve"> </w:t>
      </w:r>
      <w:r>
        <w:rPr>
          <w:rFonts w:ascii="Arial;sans-serif" w:hAnsi="Arial;sans-serif"/>
          <w:b w:val="false"/>
          <w:color w:val="363636"/>
          <w:sz w:val="16"/>
        </w:rPr>
        <w:t>that</w:t>
      </w:r>
      <w:r>
        <w:rPr>
          <w:color w:val="363636"/>
        </w:rPr>
        <w:t xml:space="preserve"> </w:t>
      </w:r>
      <w:r>
        <w:rPr>
          <w:rFonts w:ascii="Arial;sans-serif" w:hAnsi="Arial;sans-serif"/>
          <w:b w:val="false"/>
          <w:color w:val="363636"/>
          <w:sz w:val="16"/>
        </w:rPr>
        <w:t>if</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are</w:t>
      </w:r>
      <w:r>
        <w:rPr>
          <w:color w:val="363636"/>
        </w:rPr>
        <w:t xml:space="preserve"> </w:t>
      </w:r>
      <w:r>
        <w:rPr>
          <w:rFonts w:ascii="Arial;sans-serif" w:hAnsi="Arial;sans-serif"/>
          <w:b w:val="false"/>
          <w:color w:val="363636"/>
          <w:sz w:val="16"/>
        </w:rPr>
        <w:t>granted</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you,</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employer</w:t>
      </w:r>
      <w:r>
        <w:rPr>
          <w:color w:val="363636"/>
        </w:rPr>
        <w:t xml:space="preserve"> </w:t>
      </w:r>
      <w:r>
        <w:rPr>
          <w:rFonts w:ascii="Arial;sans-serif" w:hAnsi="Arial;sans-serif"/>
          <w:b w:val="false"/>
          <w:color w:val="232323"/>
          <w:sz w:val="16"/>
        </w:rPr>
        <w:t>may</w:t>
      </w:r>
      <w:r>
        <w:rPr>
          <w:color w:val="232323"/>
        </w:rPr>
        <w:t xml:space="preserve"> </w:t>
      </w:r>
      <w:r>
        <w:rPr>
          <w:rFonts w:ascii="Arial;sans-serif" w:hAnsi="Arial;sans-serif"/>
          <w:b w:val="false"/>
          <w:color w:val="363636"/>
          <w:sz w:val="16"/>
        </w:rPr>
        <w:t>report or</w:t>
      </w:r>
      <w:r>
        <w:rPr>
          <w:color w:val="363636"/>
        </w:rPr>
        <w:t xml:space="preserve"> </w:t>
      </w:r>
      <w:r>
        <w:rPr>
          <w:rFonts w:ascii="Arial;sans-serif" w:hAnsi="Arial;sans-serif"/>
          <w:b w:val="false"/>
          <w:color w:val="363636"/>
          <w:sz w:val="16"/>
        </w:rPr>
        <w:t>withhold</w:t>
      </w:r>
      <w:r>
        <w:rPr>
          <w:color w:val="363636"/>
        </w:rPr>
        <w:t xml:space="preserve"> </w:t>
      </w:r>
      <w:r>
        <w:rPr>
          <w:rFonts w:ascii="Arial;sans-serif" w:hAnsi="Arial;sans-serif"/>
          <w:b w:val="false"/>
          <w:color w:val="232323"/>
          <w:sz w:val="16"/>
        </w:rPr>
        <w:t xml:space="preserve">taxes </w:t>
      </w:r>
      <w:r>
        <w:rPr>
          <w:rFonts w:ascii="Arial;sans-serif" w:hAnsi="Arial;sans-serif"/>
          <w:b w:val="false"/>
          <w:color w:val="363636"/>
          <w:sz w:val="16"/>
        </w:rPr>
        <w:t>as</w:t>
      </w:r>
      <w:r>
        <w:rPr>
          <w:color w:val="363636"/>
        </w:rPr>
        <w:t xml:space="preserve"> </w:t>
      </w:r>
      <w:r>
        <w:rPr>
          <w:rFonts w:ascii="Arial;sans-serif" w:hAnsi="Arial;sans-serif"/>
          <w:b w:val="false"/>
          <w:color w:val="363636"/>
          <w:sz w:val="16"/>
        </w:rPr>
        <w:t>may</w:t>
      </w:r>
      <w:r>
        <w:rPr>
          <w:color w:val="363636"/>
        </w:rPr>
        <w:t xml:space="preserve"> </w:t>
      </w:r>
      <w:r>
        <w:rPr>
          <w:rFonts w:ascii="Arial;sans-serif" w:hAnsi="Arial;sans-serif"/>
          <w:b w:val="false"/>
          <w:color w:val="232323"/>
          <w:sz w:val="16"/>
        </w:rPr>
        <w:t>be</w:t>
      </w:r>
      <w:r>
        <w:rPr>
          <w:color w:val="232323"/>
        </w:rPr>
        <w:t xml:space="preserve"> </w:t>
      </w:r>
      <w:r>
        <w:rPr>
          <w:rFonts w:ascii="Arial;sans-serif" w:hAnsi="Arial;sans-serif"/>
          <w:b w:val="false"/>
          <w:color w:val="363636"/>
          <w:sz w:val="16"/>
        </w:rPr>
        <w:t>required</w:t>
      </w:r>
      <w:r>
        <w:rPr>
          <w:color w:val="363636"/>
        </w:rPr>
        <w:t xml:space="preserve"> </w:t>
      </w:r>
      <w:r>
        <w:rPr>
          <w:rFonts w:ascii="Arial;sans-serif" w:hAnsi="Arial;sans-serif"/>
          <w:b w:val="false"/>
          <w:color w:val="232323"/>
          <w:sz w:val="16"/>
        </w:rPr>
        <w:t>under</w:t>
      </w:r>
      <w:r>
        <w:rPr>
          <w:color w:val="232323"/>
        </w:rPr>
        <w:t xml:space="preserve"> </w:t>
      </w:r>
      <w:r>
        <w:rPr>
          <w:rFonts w:ascii="Arial;sans-serif" w:hAnsi="Arial;sans-serif"/>
          <w:b w:val="false"/>
          <w:color w:val="363636"/>
          <w:sz w:val="16"/>
        </w:rPr>
        <w:t>local</w:t>
      </w:r>
      <w:r>
        <w:rPr>
          <w:color w:val="363636"/>
        </w:rPr>
        <w:t xml:space="preserve"> </w:t>
      </w:r>
      <w:r>
        <w:rPr>
          <w:rFonts w:ascii="Arial;sans-serif" w:hAnsi="Arial;sans-serif"/>
          <w:b w:val="false"/>
          <w:color w:val="363636"/>
          <w:sz w:val="16"/>
        </w:rPr>
        <w:t>law</w:t>
      </w:r>
      <w:r>
        <w:rPr>
          <w:rFonts w:ascii="Arial;sans-serif" w:hAnsi="Arial;sans-serif"/>
          <w:b w:val="false"/>
          <w:color w:val="676767"/>
          <w:sz w:val="16"/>
        </w:rPr>
        <w:t>.</w:t>
      </w:r>
      <w:r>
        <w:rPr>
          <w:color w:val="676767"/>
        </w:rPr>
        <w:t xml:space="preserve"> </w:t>
      </w:r>
      <w:r>
        <w:rPr>
          <w:rFonts w:ascii="Arial;sans-serif" w:hAnsi="Arial;sans-serif"/>
          <w:b w:val="false"/>
          <w:color w:val="363636"/>
          <w:sz w:val="16"/>
        </w:rPr>
        <w:t>You</w:t>
      </w:r>
      <w:r>
        <w:rPr>
          <w:color w:val="363636"/>
        </w:rPr>
        <w:t xml:space="preserve"> </w:t>
      </w:r>
      <w:r>
        <w:rPr>
          <w:rFonts w:ascii="Arial;sans-serif" w:hAnsi="Arial;sans-serif"/>
          <w:b w:val="false"/>
          <w:color w:val="363636"/>
          <w:sz w:val="16"/>
        </w:rPr>
        <w:t>agree</w:t>
      </w:r>
      <w:r>
        <w:rPr>
          <w:color w:val="363636"/>
        </w:rPr>
        <w:t xml:space="preserve"> </w:t>
      </w:r>
      <w:r>
        <w:rPr>
          <w:rFonts w:ascii="Arial;sans-serif" w:hAnsi="Arial;sans-serif"/>
          <w:b w:val="false"/>
          <w:color w:val="232323"/>
          <w:sz w:val="16"/>
        </w:rPr>
        <w:t>to</w:t>
      </w:r>
      <w:r>
        <w:rPr>
          <w:color w:val="232323"/>
        </w:rPr>
        <w:t xml:space="preserve"> </w:t>
      </w:r>
      <w:r>
        <w:rPr>
          <w:rFonts w:ascii="Arial;sans-serif" w:hAnsi="Arial;sans-serif"/>
          <w:b w:val="false"/>
          <w:color w:val="363636"/>
          <w:sz w:val="16"/>
        </w:rPr>
        <w:t>seek</w:t>
      </w:r>
      <w:r>
        <w:rPr>
          <w:color w:val="363636"/>
        </w:rPr>
        <w:t xml:space="preserve"> </w:t>
      </w:r>
      <w:r>
        <w:rPr>
          <w:rFonts w:ascii="Arial;sans-serif" w:hAnsi="Arial;sans-serif"/>
          <w:b w:val="false"/>
          <w:color w:val="363636"/>
          <w:sz w:val="16"/>
        </w:rPr>
        <w:t>advice</w:t>
      </w:r>
      <w:r>
        <w:rPr>
          <w:color w:val="363636"/>
        </w:rPr>
        <w:t xml:space="preserve"> </w:t>
      </w:r>
      <w:r>
        <w:rPr>
          <w:rFonts w:ascii="Arial;sans-serif" w:hAnsi="Arial;sans-serif"/>
          <w:b w:val="false"/>
          <w:color w:val="363636"/>
          <w:sz w:val="16"/>
        </w:rPr>
        <w:t>from</w:t>
      </w:r>
      <w:r>
        <w:rPr>
          <w:color w:val="363636"/>
        </w:rPr>
        <w:t xml:space="preserve"> </w:t>
      </w:r>
      <w:r>
        <w:rPr>
          <w:rFonts w:ascii="Arial;sans-serif" w:hAnsi="Arial;sans-serif"/>
          <w:b w:val="false"/>
          <w:color w:val="363636"/>
          <w:sz w:val="16"/>
        </w:rPr>
        <w:t>your</w:t>
      </w:r>
      <w:r>
        <w:rPr>
          <w:color w:val="363636"/>
        </w:rPr>
        <w:t xml:space="preserve"> </w:t>
      </w:r>
      <w:r>
        <w:rPr>
          <w:rFonts w:ascii="Arial;sans-serif" w:hAnsi="Arial;sans-serif"/>
          <w:b w:val="false"/>
          <w:color w:val="232323"/>
          <w:sz w:val="16"/>
        </w:rPr>
        <w:t>personal</w:t>
      </w:r>
      <w:r>
        <w:rPr>
          <w:color w:val="232323"/>
        </w:rPr>
        <w:t xml:space="preserve"> </w:t>
      </w:r>
      <w:r>
        <w:rPr>
          <w:rFonts w:ascii="Arial;sans-serif" w:hAnsi="Arial;sans-serif"/>
          <w:b w:val="false"/>
          <w:color w:val="363636"/>
          <w:sz w:val="16"/>
        </w:rPr>
        <w:t>accountant</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363636"/>
          <w:sz w:val="16"/>
        </w:rPr>
        <w:t>tax</w:t>
      </w:r>
      <w:r>
        <w:rPr>
          <w:color w:val="363636"/>
        </w:rPr>
        <w:t xml:space="preserve"> </w:t>
      </w:r>
      <w:r>
        <w:rPr>
          <w:rFonts w:ascii="Arial;sans-serif" w:hAnsi="Arial;sans-serif"/>
          <w:b w:val="false"/>
          <w:color w:val="363636"/>
          <w:sz w:val="16"/>
        </w:rPr>
        <w:t xml:space="preserve">advisor at </w:t>
      </w:r>
      <w:r>
        <w:rPr>
          <w:rFonts w:ascii="Arial;sans-serif" w:hAnsi="Arial;sans-serif"/>
          <w:b w:val="false"/>
          <w:color w:val="232323"/>
          <w:sz w:val="16"/>
        </w:rPr>
        <w:t>your</w:t>
      </w:r>
      <w:r>
        <w:rPr>
          <w:color w:val="232323"/>
        </w:rPr>
        <w:t xml:space="preserve"> </w:t>
      </w:r>
      <w:r>
        <w:rPr>
          <w:rFonts w:ascii="Arial;sans-serif" w:hAnsi="Arial;sans-serif"/>
          <w:b w:val="false"/>
          <w:color w:val="363636"/>
          <w:sz w:val="16"/>
        </w:rPr>
        <w:t>own</w:t>
      </w:r>
      <w:r>
        <w:rPr>
          <w:color w:val="363636"/>
        </w:rPr>
        <w:t xml:space="preserve"> </w:t>
      </w:r>
      <w:r>
        <w:rPr>
          <w:rFonts w:ascii="Arial;sans-serif" w:hAnsi="Arial;sans-serif"/>
          <w:b w:val="false"/>
          <w:color w:val="363636"/>
          <w:sz w:val="16"/>
        </w:rPr>
        <w:t>expense</w:t>
      </w:r>
      <w:r>
        <w:rPr>
          <w:color w:val="363636"/>
        </w:rPr>
        <w:t xml:space="preserve"> </w:t>
      </w:r>
      <w:r>
        <w:rPr>
          <w:rFonts w:ascii="Arial;sans-serif" w:hAnsi="Arial;sans-serif"/>
          <w:b w:val="false"/>
          <w:color w:val="363636"/>
          <w:sz w:val="16"/>
        </w:rPr>
        <w:t>regarding</w:t>
      </w:r>
      <w:r>
        <w:rPr>
          <w:color w:val="363636"/>
        </w:rPr>
        <w:t xml:space="preserve"> </w:t>
      </w: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 xml:space="preserve">tax </w:t>
      </w:r>
      <w:r>
        <w:rPr>
          <w:rFonts w:ascii="Arial;sans-serif" w:hAnsi="Arial;sans-serif"/>
          <w:b w:val="false"/>
          <w:color w:val="111111"/>
          <w:sz w:val="16"/>
        </w:rPr>
        <w:t>implications</w:t>
      </w:r>
      <w:r>
        <w:rPr>
          <w:color w:val="111111"/>
        </w:rPr>
        <w:t xml:space="preserve"> </w:t>
      </w:r>
      <w:r>
        <w:rPr>
          <w:rFonts w:ascii="Arial;sans-serif" w:hAnsi="Arial;sans-serif"/>
          <w:b w:val="false"/>
          <w:color w:val="363636"/>
          <w:sz w:val="16"/>
        </w:rPr>
        <w:t>of any</w:t>
      </w:r>
      <w:r>
        <w:rPr>
          <w:color w:val="363636"/>
        </w:rPr>
        <w:t xml:space="preserve"> </w:t>
      </w:r>
      <w:r>
        <w:rPr>
          <w:rFonts w:ascii="Arial;sans-serif" w:hAnsi="Arial;sans-serif"/>
          <w:b w:val="false"/>
          <w:color w:val="363636"/>
          <w:sz w:val="16"/>
        </w:rPr>
        <w:t>RSUs</w:t>
      </w:r>
      <w:r>
        <w:rPr>
          <w:color w:val="363636"/>
        </w:rPr>
        <w:t xml:space="preserve"> </w:t>
      </w:r>
      <w:r>
        <w:rPr>
          <w:rFonts w:ascii="Arial;sans-serif" w:hAnsi="Arial;sans-serif"/>
          <w:b w:val="false"/>
          <w:color w:val="363636"/>
          <w:sz w:val="16"/>
        </w:rPr>
        <w:t>granted</w:t>
      </w:r>
      <w:r>
        <w:rPr>
          <w:color w:val="363636"/>
        </w:rPr>
        <w:t xml:space="preserve"> </w:t>
      </w:r>
      <w:r>
        <w:rPr>
          <w:rFonts w:ascii="Arial;sans-serif" w:hAnsi="Arial;sans-serif"/>
          <w:b w:val="false"/>
          <w:color w:val="363636"/>
          <w:sz w:val="16"/>
        </w:rPr>
        <w:t>to</w:t>
      </w:r>
      <w:r>
        <w:rPr>
          <w:color w:val="363636"/>
        </w:rPr>
        <w:t xml:space="preserve"> </w:t>
      </w:r>
      <w:r>
        <w:rPr>
          <w:rFonts w:ascii="Arial;sans-serif" w:hAnsi="Arial;sans-serif"/>
          <w:b w:val="false"/>
          <w:color w:val="363636"/>
          <w:sz w:val="16"/>
        </w:rPr>
        <w:t>you.</w:t>
      </w:r>
    </w:p>
    <w:p>
      <w:pPr>
        <w:pStyle w:val="TextBody"/>
        <w:bidi w:val="0"/>
        <w:spacing w:before="18" w:after="283"/>
        <w:jc w:val="left"/>
        <w:rPr/>
      </w:pPr>
      <w:r>
        <w:rPr/>
      </w:r>
    </w:p>
    <w:p>
      <w:pPr>
        <w:pStyle w:val="TextBody"/>
        <w:bidi w:val="0"/>
        <w:spacing w:lineRule="auto" w:line="307" w:before="0" w:after="0"/>
        <w:ind w:left="0" w:right="0" w:firstLine="2"/>
        <w:jc w:val="both"/>
        <w:rPr/>
      </w:pPr>
      <w:r>
        <w:rPr>
          <w:rFonts w:ascii="Arial;sans-serif" w:hAnsi="Arial;sans-serif"/>
          <w:b w:val="false"/>
          <w:color w:val="363636"/>
          <w:sz w:val="16"/>
        </w:rPr>
        <w:t>The</w:t>
      </w:r>
      <w:r>
        <w:rPr>
          <w:color w:val="363636"/>
        </w:rPr>
        <w:t xml:space="preserve"> </w:t>
      </w:r>
      <w:r>
        <w:rPr>
          <w:rFonts w:ascii="Arial;sans-serif" w:hAnsi="Arial;sans-serif"/>
          <w:b w:val="false"/>
          <w:color w:val="363636"/>
          <w:sz w:val="16"/>
        </w:rPr>
        <w:t>Company</w:t>
      </w:r>
      <w:r>
        <w:rPr>
          <w:rFonts w:ascii="Arial;sans-serif" w:hAnsi="Arial;sans-serif"/>
          <w:b w:val="false"/>
          <w:color w:val="525250"/>
          <w:sz w:val="16"/>
        </w:rPr>
        <w:t>,</w:t>
      </w:r>
      <w:r>
        <w:rPr>
          <w:color w:val="525250"/>
        </w:rPr>
        <w:t xml:space="preserve"> </w:t>
      </w:r>
      <w:r>
        <w:rPr>
          <w:rFonts w:ascii="Arial;sans-serif" w:hAnsi="Arial;sans-serif"/>
          <w:b w:val="false"/>
          <w:color w:val="363636"/>
          <w:sz w:val="16"/>
        </w:rPr>
        <w:t>in its sole</w:t>
      </w:r>
      <w:r>
        <w:rPr>
          <w:color w:val="363636"/>
        </w:rPr>
        <w:t xml:space="preserve"> </w:t>
      </w:r>
      <w:r>
        <w:rPr>
          <w:rFonts w:ascii="Arial;sans-serif" w:hAnsi="Arial;sans-serif"/>
          <w:b w:val="false"/>
          <w:color w:val="232323"/>
          <w:sz w:val="16"/>
        </w:rPr>
        <w:t>discretion</w:t>
      </w:r>
      <w:r>
        <w:rPr>
          <w:rFonts w:ascii="Arial;sans-serif" w:hAnsi="Arial;sans-serif"/>
          <w:b w:val="false"/>
          <w:color w:val="525250"/>
          <w:sz w:val="16"/>
        </w:rPr>
        <w:t>,</w:t>
      </w:r>
      <w:r>
        <w:rPr>
          <w:color w:val="525250"/>
        </w:rPr>
        <w:t xml:space="preserve"> </w:t>
      </w:r>
      <w:r>
        <w:rPr>
          <w:rFonts w:ascii="Arial;sans-serif" w:hAnsi="Arial;sans-serif"/>
          <w:b w:val="false"/>
          <w:color w:val="363636"/>
          <w:sz w:val="16"/>
        </w:rPr>
        <w:t xml:space="preserve">may decide to deliver documents </w:t>
      </w:r>
      <w:r>
        <w:rPr>
          <w:rFonts w:ascii="Arial;sans-serif" w:hAnsi="Arial;sans-serif"/>
          <w:b w:val="false"/>
          <w:color w:val="232323"/>
          <w:sz w:val="16"/>
        </w:rPr>
        <w:t xml:space="preserve">related </w:t>
      </w:r>
      <w:r>
        <w:rPr>
          <w:rFonts w:ascii="Arial;sans-serif" w:hAnsi="Arial;sans-serif"/>
          <w:b w:val="false"/>
          <w:color w:val="363636"/>
          <w:sz w:val="16"/>
        </w:rPr>
        <w:t>to current or future participation in</w:t>
      </w:r>
      <w:r>
        <w:rPr>
          <w:color w:val="363636"/>
        </w:rPr>
        <w:t xml:space="preserve"> </w:t>
      </w:r>
      <w:r>
        <w:rPr>
          <w:rFonts w:ascii="Arial;sans-serif" w:hAnsi="Arial;sans-serif"/>
          <w:b w:val="false"/>
          <w:color w:val="363636"/>
          <w:sz w:val="16"/>
        </w:rPr>
        <w:t>the Plan</w:t>
      </w:r>
      <w:r>
        <w:rPr>
          <w:color w:val="363636"/>
        </w:rPr>
        <w:t xml:space="preserve"> </w:t>
      </w:r>
      <w:r>
        <w:rPr>
          <w:rFonts w:ascii="Arial;sans-serif" w:hAnsi="Arial;sans-serif"/>
          <w:b w:val="false"/>
          <w:color w:val="363636"/>
          <w:sz w:val="16"/>
        </w:rPr>
        <w:t xml:space="preserve">by electronic </w:t>
      </w:r>
      <w:r>
        <w:rPr>
          <w:rFonts w:ascii="Arial;sans-serif" w:hAnsi="Arial;sans-serif"/>
          <w:b w:val="false"/>
          <w:color w:val="232323"/>
          <w:sz w:val="16"/>
        </w:rPr>
        <w:t xml:space="preserve">means. </w:t>
      </w:r>
      <w:r>
        <w:rPr>
          <w:rFonts w:ascii="Arial;sans-serif" w:hAnsi="Arial;sans-serif"/>
          <w:b w:val="false"/>
          <w:color w:val="363636"/>
          <w:sz w:val="16"/>
        </w:rPr>
        <w:t>You hereby consent to receive</w:t>
      </w:r>
      <w:r>
        <w:rPr>
          <w:color w:val="363636"/>
        </w:rPr>
        <w:t xml:space="preserve"> </w:t>
      </w:r>
      <w:r>
        <w:rPr>
          <w:rFonts w:ascii="Arial;sans-serif" w:hAnsi="Arial;sans-serif"/>
          <w:b w:val="false"/>
          <w:color w:val="363636"/>
          <w:sz w:val="16"/>
        </w:rPr>
        <w:t>such documents by electronic delivery and</w:t>
      </w:r>
      <w:r>
        <w:rPr>
          <w:color w:val="363636"/>
        </w:rPr>
        <w:t xml:space="preserve"> </w:t>
      </w:r>
      <w:r>
        <w:rPr>
          <w:rFonts w:ascii="Arial;sans-serif" w:hAnsi="Arial;sans-serif"/>
          <w:b w:val="false"/>
          <w:color w:val="363636"/>
          <w:sz w:val="16"/>
        </w:rPr>
        <w:t xml:space="preserve">agree to </w:t>
      </w:r>
      <w:r>
        <w:rPr>
          <w:rFonts w:ascii="Arial;sans-serif" w:hAnsi="Arial;sans-serif"/>
          <w:b w:val="false"/>
          <w:color w:val="232323"/>
          <w:sz w:val="16"/>
        </w:rPr>
        <w:t>participate</w:t>
      </w:r>
      <w:r>
        <w:rPr>
          <w:color w:val="232323"/>
        </w:rPr>
        <w:t xml:space="preserve"> </w:t>
      </w:r>
      <w:r>
        <w:rPr>
          <w:rFonts w:ascii="Arial;sans-serif" w:hAnsi="Arial;sans-serif"/>
          <w:b w:val="false"/>
          <w:color w:val="525250"/>
          <w:sz w:val="16"/>
        </w:rPr>
        <w:t>i</w:t>
      </w:r>
      <w:r>
        <w:rPr>
          <w:rFonts w:ascii="Arial;sans-serif" w:hAnsi="Arial;sans-serif"/>
          <w:b w:val="false"/>
          <w:color w:val="363636"/>
          <w:sz w:val="16"/>
        </w:rPr>
        <w:t>n the Plan through</w:t>
      </w:r>
      <w:r>
        <w:rPr>
          <w:color w:val="363636"/>
        </w:rPr>
        <w:t xml:space="preserve"> </w:t>
      </w:r>
      <w:r>
        <w:rPr>
          <w:rFonts w:ascii="Arial;sans-serif" w:hAnsi="Arial;sans-serif"/>
          <w:b w:val="false"/>
          <w:color w:val="363636"/>
          <w:sz w:val="16"/>
        </w:rPr>
        <w:t>an</w:t>
      </w:r>
      <w:r>
        <w:rPr>
          <w:color w:val="363636"/>
        </w:rPr>
        <w:t xml:space="preserve"> </w:t>
      </w:r>
      <w:r>
        <w:rPr>
          <w:rFonts w:ascii="Arial;sans-serif" w:hAnsi="Arial;sans-serif"/>
          <w:b w:val="false"/>
          <w:color w:val="363636"/>
          <w:sz w:val="16"/>
        </w:rPr>
        <w:t>on-line</w:t>
      </w:r>
      <w:r>
        <w:rPr>
          <w:color w:val="363636"/>
        </w:rPr>
        <w:t xml:space="preserve"> </w:t>
      </w:r>
      <w:r>
        <w:rPr>
          <w:rFonts w:ascii="Arial;sans-serif" w:hAnsi="Arial;sans-serif"/>
          <w:b w:val="false"/>
          <w:color w:val="363636"/>
          <w:sz w:val="16"/>
        </w:rPr>
        <w:t>or</w:t>
      </w:r>
      <w:r>
        <w:rPr>
          <w:color w:val="363636"/>
        </w:rPr>
        <w:t xml:space="preserve"> </w:t>
      </w:r>
      <w:r>
        <w:rPr>
          <w:rFonts w:ascii="Arial;sans-serif" w:hAnsi="Arial;sans-serif"/>
          <w:b w:val="false"/>
          <w:color w:val="363636"/>
          <w:sz w:val="16"/>
        </w:rPr>
        <w:t>electronic</w:t>
      </w:r>
      <w:r>
        <w:rPr>
          <w:color w:val="363636"/>
        </w:rPr>
        <w:t xml:space="preserve"> </w:t>
      </w:r>
      <w:r>
        <w:rPr>
          <w:rFonts w:ascii="Arial;sans-serif" w:hAnsi="Arial;sans-serif"/>
          <w:b w:val="false"/>
          <w:color w:val="363636"/>
          <w:sz w:val="16"/>
        </w:rPr>
        <w:t>delivery</w:t>
      </w:r>
      <w:r>
        <w:rPr>
          <w:color w:val="363636"/>
        </w:rPr>
        <w:t xml:space="preserve"> </w:t>
      </w:r>
      <w:r>
        <w:rPr>
          <w:rFonts w:ascii="Arial;sans-serif" w:hAnsi="Arial;sans-serif"/>
          <w:b w:val="false"/>
          <w:color w:val="363636"/>
          <w:sz w:val="16"/>
        </w:rPr>
        <w:t>and agree to</w:t>
      </w:r>
      <w:r>
        <w:rPr>
          <w:color w:val="363636"/>
        </w:rPr>
        <w:t xml:space="preserve"> </w:t>
      </w:r>
      <w:r>
        <w:rPr>
          <w:rFonts w:ascii="Arial;sans-serif" w:hAnsi="Arial;sans-serif"/>
          <w:b w:val="false"/>
          <w:color w:val="363636"/>
          <w:sz w:val="16"/>
        </w:rPr>
        <w:t>participate</w:t>
      </w:r>
      <w:r>
        <w:rPr>
          <w:color w:val="363636"/>
        </w:rPr>
        <w:t xml:space="preserve"> </w:t>
      </w:r>
      <w:r>
        <w:rPr>
          <w:rFonts w:ascii="Arial;sans-serif" w:hAnsi="Arial;sans-serif"/>
          <w:b w:val="false"/>
          <w:color w:val="363636"/>
          <w:sz w:val="16"/>
        </w:rPr>
        <w:t>in the Plan</w:t>
      </w:r>
      <w:r>
        <w:rPr>
          <w:color w:val="363636"/>
        </w:rPr>
        <w:t xml:space="preserve"> </w:t>
      </w:r>
      <w:r>
        <w:rPr>
          <w:rFonts w:ascii="Arial;sans-serif" w:hAnsi="Arial;sans-serif"/>
          <w:b w:val="false"/>
          <w:color w:val="363636"/>
          <w:sz w:val="16"/>
        </w:rPr>
        <w:t>through</w:t>
      </w:r>
      <w:r>
        <w:rPr>
          <w:color w:val="363636"/>
        </w:rPr>
        <w:t xml:space="preserve"> </w:t>
      </w:r>
      <w:r>
        <w:rPr>
          <w:rFonts w:ascii="Arial;sans-serif" w:hAnsi="Arial;sans-serif"/>
          <w:b w:val="false"/>
          <w:color w:val="363636"/>
          <w:sz w:val="16"/>
        </w:rPr>
        <w:t>an</w:t>
      </w:r>
      <w:r>
        <w:rPr>
          <w:color w:val="363636"/>
        </w:rPr>
        <w:t xml:space="preserve"> </w:t>
      </w:r>
      <w:r>
        <w:rPr>
          <w:rFonts w:ascii="Arial;sans-serif" w:hAnsi="Arial;sans-serif"/>
          <w:b w:val="false"/>
          <w:color w:val="363636"/>
          <w:sz w:val="16"/>
        </w:rPr>
        <w:t>on-line</w:t>
      </w:r>
      <w:r>
        <w:rPr>
          <w:color w:val="363636"/>
        </w:rPr>
        <w:t xml:space="preserve"> </w:t>
      </w:r>
      <w:r>
        <w:rPr>
          <w:rFonts w:ascii="Arial;sans-serif" w:hAnsi="Arial;sans-serif"/>
          <w:b w:val="false"/>
          <w:color w:val="363636"/>
          <w:sz w:val="16"/>
        </w:rPr>
        <w:t>or e</w:t>
      </w:r>
      <w:r>
        <w:rPr>
          <w:rFonts w:ascii="Arial;sans-serif" w:hAnsi="Arial;sans-serif"/>
          <w:b w:val="false"/>
          <w:color w:val="525250"/>
          <w:sz w:val="16"/>
        </w:rPr>
        <w:t>l</w:t>
      </w:r>
      <w:r>
        <w:rPr>
          <w:rFonts w:ascii="Arial;sans-serif" w:hAnsi="Arial;sans-serif"/>
          <w:b w:val="false"/>
          <w:color w:val="363636"/>
          <w:sz w:val="16"/>
        </w:rPr>
        <w:t>ectro</w:t>
      </w:r>
      <w:r>
        <w:rPr>
          <w:rFonts w:ascii="Arial;sans-serif" w:hAnsi="Arial;sans-serif"/>
          <w:b w:val="false"/>
          <w:color w:val="111111"/>
          <w:sz w:val="16"/>
        </w:rPr>
        <w:t>n</w:t>
      </w:r>
      <w:r>
        <w:rPr>
          <w:rFonts w:ascii="Arial;sans-serif" w:hAnsi="Arial;sans-serif"/>
          <w:b w:val="false"/>
          <w:color w:val="363636"/>
          <w:sz w:val="16"/>
        </w:rPr>
        <w:t>ic system</w:t>
      </w:r>
      <w:r>
        <w:rPr>
          <w:color w:val="363636"/>
        </w:rPr>
        <w:t xml:space="preserve"> </w:t>
      </w:r>
      <w:r>
        <w:rPr>
          <w:rFonts w:ascii="Arial;sans-serif" w:hAnsi="Arial;sans-serif"/>
          <w:b w:val="false"/>
          <w:color w:val="363636"/>
          <w:sz w:val="16"/>
        </w:rPr>
        <w:t>established and maintained</w:t>
      </w:r>
      <w:r>
        <w:rPr>
          <w:color w:val="363636"/>
        </w:rPr>
        <w:t xml:space="preserve"> </w:t>
      </w:r>
      <w:r>
        <w:rPr>
          <w:rFonts w:ascii="Arial;sans-serif" w:hAnsi="Arial;sans-serif"/>
          <w:b w:val="false"/>
          <w:color w:val="363636"/>
          <w:sz w:val="16"/>
        </w:rPr>
        <w:t>by</w:t>
      </w:r>
      <w:r>
        <w:rPr>
          <w:color w:val="363636"/>
        </w:rPr>
        <w:t xml:space="preserve"> </w:t>
      </w:r>
      <w:r>
        <w:rPr>
          <w:rFonts w:ascii="Arial;sans-serif" w:hAnsi="Arial;sans-serif"/>
          <w:b w:val="false"/>
          <w:color w:val="363636"/>
          <w:sz w:val="16"/>
        </w:rPr>
        <w:t>the Company or a third</w:t>
      </w:r>
      <w:r>
        <w:rPr>
          <w:color w:val="363636"/>
        </w:rPr>
        <w:t xml:space="preserve"> </w:t>
      </w:r>
      <w:r>
        <w:rPr>
          <w:rFonts w:ascii="Arial;sans-serif" w:hAnsi="Arial;sans-serif"/>
          <w:b w:val="false"/>
          <w:color w:val="363636"/>
          <w:sz w:val="16"/>
        </w:rPr>
        <w:t xml:space="preserve">party designated by </w:t>
      </w:r>
      <w:r>
        <w:rPr>
          <w:rFonts w:ascii="Arial;sans-serif" w:hAnsi="Arial;sans-serif"/>
          <w:b w:val="false"/>
          <w:color w:val="232323"/>
          <w:sz w:val="16"/>
        </w:rPr>
        <w:t xml:space="preserve">the </w:t>
      </w:r>
      <w:r>
        <w:rPr>
          <w:rFonts w:ascii="Arial;sans-serif" w:hAnsi="Arial;sans-serif"/>
          <w:b w:val="false"/>
          <w:color w:val="363636"/>
          <w:sz w:val="16"/>
        </w:rPr>
        <w:t>Company.</w:t>
      </w:r>
    </w:p>
    <w:p>
      <w:pPr>
        <w:pStyle w:val="TextBody"/>
        <w:bidi w:val="0"/>
        <w:spacing w:before="94" w:after="283"/>
        <w:jc w:val="left"/>
        <w:rPr/>
      </w:pPr>
      <w:r>
        <w:rPr/>
      </w:r>
    </w:p>
    <w:p>
      <w:pPr>
        <w:pStyle w:val="TextBody"/>
        <w:bidi w:val="0"/>
        <w:spacing w:lineRule="auto" w:line="333" w:before="1" w:after="283"/>
        <w:ind w:left="0" w:right="0" w:firstLine="12"/>
        <w:jc w:val="right"/>
        <w:rPr/>
      </w:pPr>
      <w:r>
        <w:rPr>
          <w:rFonts w:ascii="Arial;sans-serif" w:hAnsi="Arial;sans-serif"/>
          <w:b/>
          <w:color w:val="232323"/>
          <w:sz w:val="16"/>
        </w:rPr>
        <w:t>Quaker</w:t>
      </w:r>
      <w:r>
        <w:rPr>
          <w:color w:val="232323"/>
        </w:rPr>
        <w:t xml:space="preserve"> </w:t>
      </w:r>
      <w:r>
        <w:rPr>
          <w:rFonts w:ascii="Arial;sans-serif" w:hAnsi="Arial;sans-serif"/>
          <w:b/>
          <w:color w:val="232323"/>
          <w:sz w:val="16"/>
        </w:rPr>
        <w:t>Chemical</w:t>
      </w:r>
      <w:r>
        <w:rPr>
          <w:color w:val="232323"/>
        </w:rPr>
        <w:t xml:space="preserve"> </w:t>
      </w:r>
      <w:r>
        <w:rPr>
          <w:rFonts w:ascii="Arial;sans-serif" w:hAnsi="Arial;sans-serif"/>
          <w:b/>
          <w:color w:val="232323"/>
          <w:sz w:val="16"/>
        </w:rPr>
        <w:t xml:space="preserve">Corporation </w:t>
      </w:r>
      <w:r>
        <w:rPr>
          <w:rFonts w:ascii="Arial;sans-serif" w:hAnsi="Arial;sans-serif"/>
          <w:b/>
          <w:color w:val="363636"/>
          <w:sz w:val="16"/>
        </w:rPr>
        <w:t xml:space="preserve">A </w:t>
      </w:r>
      <w:r>
        <w:rPr>
          <w:rFonts w:ascii="Arial;sans-serif" w:hAnsi="Arial;sans-serif"/>
          <w:b/>
          <w:color w:val="232323"/>
          <w:sz w:val="16"/>
        </w:rPr>
        <w:t>Quaker</w:t>
      </w:r>
      <w:r>
        <w:rPr>
          <w:color w:val="232323"/>
        </w:rPr>
        <w:t xml:space="preserve"> </w:t>
      </w:r>
      <w:r>
        <w:rPr>
          <w:rFonts w:ascii="Arial;sans-serif" w:hAnsi="Arial;sans-serif"/>
          <w:b/>
          <w:color w:val="363636"/>
          <w:sz w:val="16"/>
        </w:rPr>
        <w:t>Houghton</w:t>
      </w:r>
      <w:r>
        <w:rPr>
          <w:color w:val="363636"/>
        </w:rPr>
        <w:t xml:space="preserve"> </w:t>
      </w:r>
      <w:r>
        <w:rPr>
          <w:rFonts w:ascii="Arial;sans-serif" w:hAnsi="Arial;sans-serif"/>
          <w:b/>
          <w:color w:val="232323"/>
          <w:sz w:val="16"/>
        </w:rPr>
        <w:t>Company</w:t>
      </w:r>
    </w:p>
    <w:p>
      <w:pPr>
        <w:pStyle w:val="TextBody"/>
        <w:bidi w:val="0"/>
        <w:spacing w:lineRule="auto" w:line="321" w:before="0" w:after="0"/>
        <w:ind w:left="0" w:right="0" w:firstLine="645"/>
        <w:jc w:val="right"/>
        <w:rPr/>
      </w:pPr>
      <w:r>
        <w:rPr>
          <w:rFonts w:ascii="Arial;sans-serif" w:hAnsi="Arial;sans-serif"/>
          <w:b w:val="false"/>
          <w:color w:val="525250"/>
          <w:sz w:val="13"/>
        </w:rPr>
        <w:t>9</w:t>
      </w:r>
      <w:r>
        <w:rPr>
          <w:rFonts w:ascii="Arial;sans-serif" w:hAnsi="Arial;sans-serif"/>
          <w:b w:val="false"/>
          <w:color w:val="363636"/>
          <w:sz w:val="13"/>
        </w:rPr>
        <w:t>01</w:t>
      </w:r>
      <w:r>
        <w:rPr>
          <w:color w:val="363636"/>
        </w:rPr>
        <w:t xml:space="preserve"> </w:t>
      </w:r>
      <w:r>
        <w:rPr>
          <w:rFonts w:ascii="Arial;sans-serif" w:hAnsi="Arial;sans-serif"/>
          <w:b w:val="false"/>
          <w:color w:val="363636"/>
          <w:sz w:val="13"/>
        </w:rPr>
        <w:t>E.</w:t>
      </w:r>
      <w:r>
        <w:rPr>
          <w:color w:val="363636"/>
        </w:rPr>
        <w:t xml:space="preserve"> </w:t>
      </w:r>
      <w:r>
        <w:rPr>
          <w:rFonts w:ascii="Arial;sans-serif" w:hAnsi="Arial;sans-serif"/>
          <w:b w:val="false"/>
          <w:color w:val="363636"/>
          <w:sz w:val="13"/>
        </w:rPr>
        <w:t>H</w:t>
      </w:r>
      <w:r>
        <w:rPr>
          <w:rFonts w:ascii="Arial;sans-serif" w:hAnsi="Arial;sans-serif"/>
          <w:b w:val="false"/>
          <w:color w:val="525250"/>
          <w:sz w:val="13"/>
        </w:rPr>
        <w:t>e</w:t>
      </w:r>
      <w:r>
        <w:rPr>
          <w:rFonts w:ascii="Arial;sans-serif" w:hAnsi="Arial;sans-serif"/>
          <w:b w:val="false"/>
          <w:color w:val="363636"/>
          <w:sz w:val="13"/>
        </w:rPr>
        <w:t>c</w:t>
      </w:r>
      <w:r>
        <w:rPr>
          <w:rFonts w:ascii="Arial;sans-serif" w:hAnsi="Arial;sans-serif"/>
          <w:b w:val="false"/>
          <w:color w:val="676767"/>
          <w:sz w:val="13"/>
        </w:rPr>
        <w:t>to</w:t>
      </w:r>
      <w:r>
        <w:rPr>
          <w:rFonts w:ascii="Arial;sans-serif" w:hAnsi="Arial;sans-serif"/>
          <w:b w:val="false"/>
          <w:color w:val="363636"/>
          <w:sz w:val="13"/>
        </w:rPr>
        <w:t>r</w:t>
      </w:r>
      <w:r>
        <w:rPr>
          <w:color w:val="363636"/>
        </w:rPr>
        <w:t xml:space="preserve"> </w:t>
      </w:r>
      <w:r>
        <w:rPr>
          <w:rFonts w:ascii="Arial;sans-serif" w:hAnsi="Arial;sans-serif"/>
          <w:b w:val="false"/>
          <w:color w:val="363636"/>
          <w:sz w:val="13"/>
        </w:rPr>
        <w:t>Str</w:t>
      </w:r>
      <w:r>
        <w:rPr>
          <w:rFonts w:ascii="Arial;sans-serif" w:hAnsi="Arial;sans-serif"/>
          <w:b w:val="false"/>
          <w:color w:val="525250"/>
          <w:sz w:val="13"/>
        </w:rPr>
        <w:t>ee</w:t>
      </w:r>
      <w:r>
        <w:rPr>
          <w:rFonts w:ascii="Arial;sans-serif" w:hAnsi="Arial;sans-serif"/>
          <w:b w:val="false"/>
          <w:color w:val="363636"/>
          <w:sz w:val="13"/>
        </w:rPr>
        <w:t>t</w:t>
      </w:r>
      <w:r>
        <w:rPr>
          <w:color w:val="363636"/>
        </w:rPr>
        <w:t xml:space="preserve"> </w:t>
      </w:r>
      <w:r>
        <w:rPr>
          <w:rFonts w:ascii="Arial;sans-serif" w:hAnsi="Arial;sans-serif"/>
          <w:b w:val="false"/>
          <w:color w:val="363636"/>
          <w:sz w:val="13"/>
        </w:rPr>
        <w:t>Cons</w:t>
      </w:r>
      <w:r>
        <w:rPr>
          <w:rFonts w:ascii="Arial;sans-serif" w:hAnsi="Arial;sans-serif"/>
          <w:b w:val="false"/>
          <w:color w:val="525250"/>
          <w:sz w:val="13"/>
        </w:rPr>
        <w:t>h</w:t>
      </w:r>
      <w:r>
        <w:rPr>
          <w:rFonts w:ascii="Arial;sans-serif" w:hAnsi="Arial;sans-serif"/>
          <w:b w:val="false"/>
          <w:color w:val="363636"/>
          <w:sz w:val="13"/>
        </w:rPr>
        <w:t>oho</w:t>
      </w:r>
      <w:r>
        <w:rPr>
          <w:rFonts w:ascii="Arial;sans-serif" w:hAnsi="Arial;sans-serif"/>
          <w:b w:val="false"/>
          <w:color w:val="525250"/>
          <w:sz w:val="13"/>
        </w:rPr>
        <w:t>c</w:t>
      </w:r>
      <w:r>
        <w:rPr>
          <w:rFonts w:ascii="Arial;sans-serif" w:hAnsi="Arial;sans-serif"/>
          <w:b w:val="false"/>
          <w:color w:val="111111"/>
          <w:sz w:val="13"/>
        </w:rPr>
        <w:t>k</w:t>
      </w:r>
      <w:r>
        <w:rPr>
          <w:rFonts w:ascii="Arial;sans-serif" w:hAnsi="Arial;sans-serif"/>
          <w:b w:val="false"/>
          <w:color w:val="525250"/>
          <w:sz w:val="13"/>
        </w:rPr>
        <w:t>en</w:t>
      </w:r>
      <w:r>
        <w:rPr>
          <w:rFonts w:ascii="Arial;sans-serif" w:hAnsi="Arial;sans-serif"/>
          <w:b w:val="false"/>
          <w:color w:val="363636"/>
          <w:sz w:val="13"/>
        </w:rPr>
        <w:t>.</w:t>
      </w:r>
      <w:r>
        <w:rPr>
          <w:color w:val="363636"/>
        </w:rPr>
        <w:t xml:space="preserve"> </w:t>
      </w:r>
      <w:r>
        <w:rPr>
          <w:rFonts w:ascii="Arial;sans-serif" w:hAnsi="Arial;sans-serif"/>
          <w:b w:val="false"/>
          <w:color w:val="363636"/>
          <w:sz w:val="13"/>
        </w:rPr>
        <w:t>P</w:t>
      </w:r>
      <w:r>
        <w:rPr>
          <w:rFonts w:ascii="Arial;sans-serif" w:hAnsi="Arial;sans-serif"/>
          <w:b w:val="false"/>
          <w:color w:val="525250"/>
          <w:sz w:val="13"/>
        </w:rPr>
        <w:t>A</w:t>
      </w:r>
      <w:r>
        <w:rPr>
          <w:color w:val="525250"/>
        </w:rPr>
        <w:t xml:space="preserve"> </w:t>
      </w:r>
      <w:r>
        <w:rPr>
          <w:rFonts w:ascii="Arial;sans-serif" w:hAnsi="Arial;sans-serif"/>
          <w:b w:val="false"/>
          <w:color w:val="525250"/>
          <w:sz w:val="13"/>
        </w:rPr>
        <w:t>1</w:t>
      </w:r>
      <w:r>
        <w:rPr>
          <w:rFonts w:ascii="Arial;sans-serif" w:hAnsi="Arial;sans-serif"/>
          <w:b w:val="false"/>
          <w:color w:val="363636"/>
          <w:sz w:val="13"/>
        </w:rPr>
        <w:t>9</w:t>
      </w:r>
      <w:r>
        <w:rPr>
          <w:rFonts w:ascii="Arial;sans-serif" w:hAnsi="Arial;sans-serif"/>
          <w:b w:val="false"/>
          <w:color w:val="525250"/>
          <w:sz w:val="13"/>
        </w:rPr>
        <w:t>42</w:t>
      </w:r>
      <w:r>
        <w:rPr>
          <w:rFonts w:ascii="Arial;sans-serif" w:hAnsi="Arial;sans-serif"/>
          <w:b w:val="false"/>
          <w:color w:val="363636"/>
          <w:sz w:val="13"/>
        </w:rPr>
        <w:t>8-</w:t>
      </w:r>
      <w:r>
        <w:rPr>
          <w:rFonts w:ascii="Arial;sans-serif" w:hAnsi="Arial;sans-serif"/>
          <w:b w:val="false"/>
          <w:color w:val="525250"/>
          <w:sz w:val="13"/>
        </w:rPr>
        <w:t>2</w:t>
      </w:r>
      <w:r>
        <w:rPr>
          <w:rFonts w:ascii="Arial;sans-serif" w:hAnsi="Arial;sans-serif"/>
          <w:b w:val="false"/>
          <w:color w:val="363636"/>
          <w:sz w:val="13"/>
        </w:rPr>
        <w:t>38</w:t>
      </w:r>
      <w:r>
        <w:rPr>
          <w:rFonts w:ascii="Arial;sans-serif" w:hAnsi="Arial;sans-serif"/>
          <w:b w:val="false"/>
          <w:color w:val="525250"/>
          <w:sz w:val="13"/>
        </w:rPr>
        <w:t>0</w:t>
      </w:r>
    </w:p>
    <w:p>
      <w:pPr>
        <w:pStyle w:val="TextBody"/>
        <w:bidi w:val="0"/>
        <w:spacing w:lineRule="auto" w:line="288" w:before="0" w:after="0"/>
        <w:jc w:val="right"/>
        <w:rPr/>
      </w:pPr>
      <w:r>
        <w:rPr>
          <w:rFonts w:ascii="Arial;sans-serif" w:hAnsi="Arial;sans-serif"/>
          <w:b w:val="false"/>
          <w:color w:val="363636"/>
          <w:sz w:val="13"/>
        </w:rPr>
        <w:t>T</w:t>
      </w:r>
      <w:r>
        <w:rPr>
          <w:rFonts w:ascii="Arial;sans-serif" w:hAnsi="Arial;sans-serif"/>
          <w:b w:val="false"/>
          <w:color w:val="676767"/>
          <w:sz w:val="13"/>
        </w:rPr>
        <w:t>:</w:t>
      </w:r>
      <w:r>
        <w:rPr>
          <w:color w:val="676767"/>
        </w:rPr>
        <w:t xml:space="preserve"> </w:t>
      </w:r>
      <w:r>
        <w:rPr>
          <w:rFonts w:ascii="Arial;sans-serif" w:hAnsi="Arial;sans-serif"/>
          <w:b w:val="false"/>
          <w:color w:val="363636"/>
          <w:sz w:val="13"/>
        </w:rPr>
        <w:t>6</w:t>
      </w:r>
      <w:r>
        <w:rPr>
          <w:rFonts w:ascii="Arial;sans-serif" w:hAnsi="Arial;sans-serif"/>
          <w:b w:val="false"/>
          <w:color w:val="676767"/>
          <w:sz w:val="13"/>
        </w:rPr>
        <w:t>1</w:t>
      </w:r>
      <w:r>
        <w:rPr>
          <w:rFonts w:ascii="Arial;sans-serif" w:hAnsi="Arial;sans-serif"/>
          <w:b w:val="false"/>
          <w:color w:val="363636"/>
          <w:sz w:val="13"/>
        </w:rPr>
        <w:t>0.832.400</w:t>
      </w:r>
      <w:r>
        <w:rPr>
          <w:rFonts w:ascii="Arial;sans-serif" w:hAnsi="Arial;sans-serif"/>
          <w:b w:val="false"/>
          <w:color w:val="525250"/>
          <w:sz w:val="13"/>
        </w:rPr>
        <w:t>0</w:t>
      </w:r>
    </w:p>
    <w:p>
      <w:pPr>
        <w:pStyle w:val="TextBody"/>
        <w:bidi w:val="0"/>
        <w:spacing w:lineRule="auto" w:line="288" w:before="14" w:after="283"/>
        <w:jc w:val="right"/>
        <w:rPr/>
      </w:pPr>
      <w:r>
        <w:rPr>
          <w:rFonts w:ascii="Arial;sans-serif" w:hAnsi="Arial;sans-serif"/>
          <w:b w:val="false"/>
          <w:color w:val="363636"/>
          <w:sz w:val="13"/>
        </w:rPr>
        <w:t>qu</w:t>
      </w:r>
      <w:r>
        <w:rPr>
          <w:rFonts w:ascii="Arial;sans-serif" w:hAnsi="Arial;sans-serif"/>
          <w:b w:val="false"/>
          <w:color w:val="525250"/>
          <w:sz w:val="13"/>
        </w:rPr>
        <w:t>a</w:t>
      </w:r>
      <w:r>
        <w:rPr>
          <w:rFonts w:ascii="Arial;sans-serif" w:hAnsi="Arial;sans-serif"/>
          <w:b w:val="false"/>
          <w:color w:val="363636"/>
          <w:sz w:val="13"/>
        </w:rPr>
        <w:t>k</w:t>
      </w:r>
      <w:r>
        <w:rPr>
          <w:rFonts w:ascii="Arial;sans-serif" w:hAnsi="Arial;sans-serif"/>
          <w:b w:val="false"/>
          <w:color w:val="525250"/>
          <w:sz w:val="13"/>
        </w:rPr>
        <w:t>e</w:t>
      </w:r>
      <w:r>
        <w:rPr>
          <w:rFonts w:ascii="Arial;sans-serif" w:hAnsi="Arial;sans-serif"/>
          <w:b w:val="false"/>
          <w:color w:val="363636"/>
          <w:sz w:val="13"/>
        </w:rPr>
        <w:t>rhought</w:t>
      </w:r>
      <w:r>
        <w:rPr>
          <w:rFonts w:ascii="Arial;sans-serif" w:hAnsi="Arial;sans-serif"/>
          <w:b w:val="false"/>
          <w:color w:val="525250"/>
          <w:sz w:val="13"/>
        </w:rPr>
        <w:t>o</w:t>
      </w:r>
      <w:r>
        <w:rPr>
          <w:rFonts w:ascii="Arial;sans-serif" w:hAnsi="Arial;sans-serif"/>
          <w:b w:val="false"/>
          <w:color w:val="363636"/>
          <w:sz w:val="13"/>
        </w:rPr>
        <w:t>n</w:t>
      </w:r>
      <w:r>
        <w:rPr>
          <w:rFonts w:ascii="Arial;sans-serif" w:hAnsi="Arial;sans-serif"/>
          <w:b w:val="false"/>
          <w:color w:val="676767"/>
          <w:sz w:val="13"/>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74015"/>
                <wp:effectExtent l="0" t="0" r="0" b="0"/>
                <wp:wrapNone/>
                <wp:docPr id="61" name="Frame60"/>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p>
      <w:pPr>
        <w:pStyle w:val="TextBody"/>
        <w:bidi w:val="0"/>
        <w:spacing w:lineRule="auto" w:line="285" w:before="72" w:after="283"/>
        <w:jc w:val="both"/>
        <w:rPr/>
      </w:pPr>
      <w:r>
        <w:rPr>
          <w:rFonts w:ascii="Arial;sans-serif" w:hAnsi="Arial;sans-serif"/>
          <w:b w:val="false"/>
          <w:color w:val="000000"/>
          <w:sz w:val="16"/>
        </w:rPr>
        <w:t>You</w:t>
      </w:r>
      <w:r>
        <w:rPr>
          <w:color w:val="000000"/>
        </w:rPr>
        <w:t xml:space="preserve"> </w:t>
      </w:r>
      <w:r>
        <w:rPr>
          <w:rFonts w:ascii="Arial;sans-serif" w:hAnsi="Arial;sans-serif"/>
          <w:b w:val="false"/>
          <w:color w:val="000000"/>
          <w:sz w:val="16"/>
        </w:rPr>
        <w:t>understand that,</w:t>
      </w:r>
      <w:r>
        <w:rPr>
          <w:color w:val="000000"/>
        </w:rPr>
        <w:t xml:space="preserve"> </w:t>
      </w:r>
      <w:r>
        <w:rPr>
          <w:rFonts w:ascii="Arial;sans-serif" w:hAnsi="Arial;sans-serif"/>
          <w:b w:val="false"/>
          <w:color w:val="000000"/>
          <w:sz w:val="16"/>
        </w:rPr>
        <w:t>in order</w:t>
      </w:r>
      <w:r>
        <w:rPr>
          <w:color w:val="000000"/>
        </w:rPr>
        <w:t xml:space="preserve"> </w:t>
      </w:r>
      <w:r>
        <w:rPr>
          <w:rFonts w:ascii="Arial;sans-serif" w:hAnsi="Arial;sans-serif"/>
          <w:b w:val="false"/>
          <w:color w:val="000000"/>
          <w:sz w:val="16"/>
        </w:rPr>
        <w:t>for</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Company to</w:t>
      </w:r>
      <w:r>
        <w:rPr>
          <w:color w:val="000000"/>
        </w:rPr>
        <w:t xml:space="preserve"> </w:t>
      </w:r>
      <w:r>
        <w:rPr>
          <w:rFonts w:ascii="Arial;sans-serif" w:hAnsi="Arial;sans-serif"/>
          <w:b w:val="false"/>
          <w:color w:val="000000"/>
          <w:sz w:val="16"/>
        </w:rPr>
        <w:t>administer the</w:t>
      </w:r>
      <w:r>
        <w:rPr>
          <w:color w:val="000000"/>
        </w:rPr>
        <w:t xml:space="preserve"> </w:t>
      </w:r>
      <w:r>
        <w:rPr>
          <w:rFonts w:ascii="Arial;sans-serif" w:hAnsi="Arial;sans-serif"/>
          <w:b w:val="false"/>
          <w:color w:val="000000"/>
          <w:sz w:val="16"/>
        </w:rPr>
        <w:t>RSUs,</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Company</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employer</w:t>
      </w:r>
      <w:r>
        <w:rPr>
          <w:color w:val="000000"/>
        </w:rPr>
        <w:t xml:space="preserve"> </w:t>
      </w:r>
      <w:r>
        <w:rPr>
          <w:rFonts w:ascii="Arial;sans-serif" w:hAnsi="Arial;sans-serif"/>
          <w:b w:val="false"/>
          <w:color w:val="000000"/>
          <w:sz w:val="16"/>
        </w:rPr>
        <w:t>must</w:t>
      </w:r>
      <w:r>
        <w:rPr>
          <w:color w:val="000000"/>
        </w:rPr>
        <w:t xml:space="preserve"> </w:t>
      </w:r>
      <w:r>
        <w:rPr>
          <w:rFonts w:ascii="Arial;sans-serif" w:hAnsi="Arial;sans-serif"/>
          <w:b w:val="false"/>
          <w:color w:val="000000"/>
          <w:sz w:val="16"/>
        </w:rPr>
        <w:t>collect, process and transfer certain</w:t>
      </w:r>
      <w:r>
        <w:rPr>
          <w:color w:val="000000"/>
        </w:rPr>
        <w:t xml:space="preserve"> </w:t>
      </w:r>
      <w:r>
        <w:rPr>
          <w:rFonts w:ascii="Arial;sans-serif" w:hAnsi="Arial;sans-serif"/>
          <w:b w:val="false"/>
          <w:color w:val="000000"/>
          <w:sz w:val="16"/>
        </w:rPr>
        <w:t>of your personal data.</w:t>
      </w:r>
      <w:r>
        <w:rPr>
          <w:color w:val="000000"/>
        </w:rPr>
        <w:t xml:space="preserve"> </w:t>
      </w:r>
      <w:r>
        <w:rPr>
          <w:rFonts w:ascii="Arial;sans-serif" w:hAnsi="Arial;sans-serif"/>
          <w:b w:val="false"/>
          <w:color w:val="000000"/>
          <w:sz w:val="16"/>
        </w:rPr>
        <w:t>By signing this letter, you agree to</w:t>
      </w:r>
      <w:r>
        <w:rPr>
          <w:color w:val="000000"/>
        </w:rPr>
        <w:t xml:space="preserve"> </w:t>
      </w:r>
      <w:r>
        <w:rPr>
          <w:rFonts w:ascii="Arial;sans-serif" w:hAnsi="Arial;sans-serif"/>
          <w:b w:val="false"/>
          <w:color w:val="000000"/>
          <w:sz w:val="16"/>
        </w:rPr>
        <w:t>the collection, processing and transfer of your personal data, as described in the attached appendix.</w:t>
      </w:r>
    </w:p>
    <w:p>
      <w:pPr>
        <w:pStyle w:val="TextBody"/>
        <w:bidi w:val="0"/>
        <w:spacing w:before="10" w:after="283"/>
        <w:jc w:val="left"/>
        <w:rPr/>
      </w:pPr>
      <w:r>
        <w:rPr/>
      </w:r>
    </w:p>
    <w:p>
      <w:pPr>
        <w:pStyle w:val="TextBody"/>
        <w:bidi w:val="0"/>
        <w:spacing w:lineRule="auto" w:line="280" w:before="0" w:after="0"/>
        <w:ind w:left="0" w:right="0" w:firstLine="2"/>
        <w:jc w:val="both"/>
        <w:rPr/>
      </w:pPr>
      <w:r>
        <w:rPr>
          <w:rFonts w:ascii="Arial;sans-serif" w:hAnsi="Arial;sans-serif"/>
          <w:b w:val="false"/>
          <w:color w:val="000000"/>
          <w:sz w:val="16"/>
        </w:rPr>
        <w:t>Finally,</w:t>
      </w:r>
      <w:r>
        <w:rPr>
          <w:color w:val="000000"/>
        </w:rPr>
        <w:t xml:space="preserve"> </w:t>
      </w:r>
      <w:r>
        <w:rPr>
          <w:rFonts w:ascii="Arial;sans-serif" w:hAnsi="Arial;sans-serif"/>
          <w:b w:val="false"/>
          <w:color w:val="000000"/>
          <w:sz w:val="16"/>
        </w:rPr>
        <w:t>all disputes</w:t>
      </w:r>
      <w:r>
        <w:rPr>
          <w:color w:val="000000"/>
        </w:rPr>
        <w:t xml:space="preserve"> </w:t>
      </w:r>
      <w:r>
        <w:rPr>
          <w:rFonts w:ascii="Arial;sans-serif" w:hAnsi="Arial;sans-serif"/>
          <w:b w:val="false"/>
          <w:color w:val="000000"/>
          <w:sz w:val="16"/>
        </w:rPr>
        <w:t>arising under</w:t>
      </w:r>
      <w:r>
        <w:rPr>
          <w:color w:val="000000"/>
        </w:rPr>
        <w:t xml:space="preserve"> </w:t>
      </w:r>
      <w:r>
        <w:rPr>
          <w:rFonts w:ascii="Arial;sans-serif" w:hAnsi="Arial;sans-serif"/>
          <w:b w:val="false"/>
          <w:color w:val="000000"/>
          <w:sz w:val="16"/>
        </w:rPr>
        <w:t>or</w:t>
      </w:r>
      <w:r>
        <w:rPr>
          <w:color w:val="000000"/>
        </w:rPr>
        <w:t xml:space="preserve"> </w:t>
      </w:r>
      <w:r>
        <w:rPr>
          <w:rFonts w:ascii="Arial;sans-serif" w:hAnsi="Arial;sans-serif"/>
          <w:b w:val="false"/>
          <w:color w:val="000000"/>
          <w:sz w:val="16"/>
        </w:rPr>
        <w:t>relating to</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grant of RSUs and/or the provisions of this letter shall</w:t>
      </w:r>
      <w:r>
        <w:rPr>
          <w:color w:val="000000"/>
        </w:rPr>
        <w:t xml:space="preserve"> </w:t>
      </w:r>
      <w:r>
        <w:rPr>
          <w:rFonts w:ascii="Arial;sans-serif" w:hAnsi="Arial;sans-serif"/>
          <w:b w:val="false"/>
          <w:color w:val="000000"/>
          <w:sz w:val="16"/>
        </w:rPr>
        <w:t>be</w:t>
      </w:r>
      <w:r>
        <w:rPr>
          <w:color w:val="000000"/>
        </w:rPr>
        <w:t xml:space="preserve"> </w:t>
      </w:r>
      <w:r>
        <w:rPr>
          <w:rFonts w:ascii="Arial;sans-serif" w:hAnsi="Arial;sans-serif"/>
          <w:b w:val="false"/>
          <w:color w:val="000000"/>
          <w:sz w:val="16"/>
        </w:rPr>
        <w:t>governed by</w:t>
      </w:r>
      <w:r>
        <w:rPr>
          <w:color w:val="000000"/>
        </w:rPr>
        <w:t xml:space="preserve"> </w:t>
      </w:r>
      <w:r>
        <w:rPr>
          <w:rFonts w:ascii="Arial;sans-serif" w:hAnsi="Arial;sans-serif"/>
          <w:b w:val="false"/>
          <w:color w:val="000000"/>
          <w:sz w:val="16"/>
        </w:rPr>
        <w:t>and construed</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accordance</w:t>
      </w:r>
      <w:r>
        <w:rPr>
          <w:color w:val="000000"/>
        </w:rPr>
        <w:t xml:space="preserve"> </w:t>
      </w:r>
      <w:r>
        <w:rPr>
          <w:rFonts w:ascii="Arial;sans-serif" w:hAnsi="Arial;sans-serif"/>
          <w:b w:val="false"/>
          <w:color w:val="000000"/>
          <w:sz w:val="16"/>
        </w:rPr>
        <w:t>with</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laws</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Commonwealth</w:t>
      </w:r>
      <w:r>
        <w:rPr>
          <w:color w:val="000000"/>
        </w:rPr>
        <w:t xml:space="preserve"> </w:t>
      </w:r>
      <w:r>
        <w:rPr>
          <w:rFonts w:ascii="Arial;sans-serif" w:hAnsi="Arial;sans-serif"/>
          <w:b w:val="false"/>
          <w:color w:val="000000"/>
          <w:sz w:val="16"/>
        </w:rPr>
        <w:t>or</w:t>
      </w:r>
      <w:r>
        <w:rPr>
          <w:color w:val="000000"/>
        </w:rPr>
        <w:t xml:space="preserve"> </w:t>
      </w:r>
      <w:r>
        <w:rPr>
          <w:rFonts w:ascii="Arial;sans-serif" w:hAnsi="Arial;sans-serif"/>
          <w:b w:val="false"/>
          <w:color w:val="000000"/>
          <w:sz w:val="16"/>
        </w:rPr>
        <w:t>Pennsylvania</w:t>
      </w:r>
      <w:r>
        <w:rPr>
          <w:color w:val="000000"/>
        </w:rPr>
        <w:t xml:space="preserve"> </w:t>
      </w:r>
      <w:r>
        <w:rPr>
          <w:rFonts w:ascii="Arial;sans-serif" w:hAnsi="Arial;sans-serif"/>
          <w:b w:val="false"/>
          <w:color w:val="000000"/>
          <w:sz w:val="16"/>
        </w:rPr>
        <w:t>as</w:t>
      </w:r>
      <w:r>
        <w:rPr>
          <w:color w:val="000000"/>
        </w:rPr>
        <w:t xml:space="preserve"> </w:t>
      </w:r>
      <w:r>
        <w:rPr>
          <w:rFonts w:ascii="Arial;sans-serif" w:hAnsi="Arial;sans-serif"/>
          <w:b w:val="false"/>
          <w:color w:val="000000"/>
          <w:sz w:val="16"/>
        </w:rPr>
        <w:t>such</w:t>
      </w:r>
      <w:r>
        <w:rPr>
          <w:color w:val="000000"/>
        </w:rPr>
        <w:t xml:space="preserve"> </w:t>
      </w:r>
      <w:r>
        <w:rPr>
          <w:rFonts w:ascii="Arial;sans-serif" w:hAnsi="Arial;sans-serif"/>
          <w:b w:val="false"/>
          <w:color w:val="000000"/>
          <w:sz w:val="16"/>
        </w:rPr>
        <w:t>laws</w:t>
      </w:r>
      <w:r>
        <w:rPr>
          <w:color w:val="000000"/>
        </w:rPr>
        <w:t xml:space="preserve"> </w:t>
      </w:r>
      <w:r>
        <w:rPr>
          <w:rFonts w:ascii="Arial;sans-serif" w:hAnsi="Arial;sans-serif"/>
          <w:b w:val="false"/>
          <w:color w:val="000000"/>
          <w:sz w:val="16"/>
        </w:rPr>
        <w:t>are</w:t>
      </w:r>
      <w:r>
        <w:rPr>
          <w:color w:val="000000"/>
        </w:rPr>
        <w:t xml:space="preserve"> </w:t>
      </w:r>
      <w:r>
        <w:rPr>
          <w:rFonts w:ascii="Arial;sans-serif" w:hAnsi="Arial;sans-serif"/>
          <w:b w:val="false"/>
          <w:color w:val="000000"/>
          <w:sz w:val="16"/>
        </w:rPr>
        <w:t>applied</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agreements</w:t>
      </w:r>
      <w:r>
        <w:rPr>
          <w:color w:val="000000"/>
        </w:rPr>
        <w:t xml:space="preserve"> </w:t>
      </w:r>
      <w:r>
        <w:rPr>
          <w:rFonts w:ascii="Arial;sans-serif" w:hAnsi="Arial;sans-serif"/>
          <w:b w:val="false"/>
          <w:color w:val="000000"/>
          <w:sz w:val="16"/>
        </w:rPr>
        <w:t>between Pennsylvania residents entered into and to be performed entirely within Pennsylvania, without regard to the conflict of law provisions. For</w:t>
      </w:r>
      <w:r>
        <w:rPr>
          <w:color w:val="000000"/>
        </w:rPr>
        <w:t xml:space="preserve"> </w:t>
      </w:r>
      <w:r>
        <w:rPr>
          <w:rFonts w:ascii="Arial;sans-serif" w:hAnsi="Arial;sans-serif"/>
          <w:b w:val="false"/>
          <w:color w:val="000000"/>
          <w:sz w:val="16"/>
        </w:rPr>
        <w:t>purposes of</w:t>
      </w:r>
      <w:r>
        <w:rPr>
          <w:color w:val="000000"/>
        </w:rPr>
        <w:t xml:space="preserve"> </w:t>
      </w:r>
      <w:r>
        <w:rPr>
          <w:rFonts w:ascii="Arial;sans-serif" w:hAnsi="Arial;sans-serif"/>
          <w:b w:val="false"/>
          <w:color w:val="000000"/>
          <w:sz w:val="16"/>
        </w:rPr>
        <w:t>any action,</w:t>
      </w:r>
      <w:r>
        <w:rPr>
          <w:color w:val="000000"/>
        </w:rPr>
        <w:t xml:space="preserve"> </w:t>
      </w:r>
      <w:r>
        <w:rPr>
          <w:rFonts w:ascii="Arial;sans-serif" w:hAnsi="Arial;sans-serif"/>
          <w:b w:val="false"/>
          <w:color w:val="000000"/>
          <w:sz w:val="16"/>
        </w:rPr>
        <w:t>lawsuit or</w:t>
      </w:r>
      <w:r>
        <w:rPr>
          <w:color w:val="000000"/>
        </w:rPr>
        <w:t xml:space="preserve"> </w:t>
      </w:r>
      <w:r>
        <w:rPr>
          <w:rFonts w:ascii="Arial;sans-serif" w:hAnsi="Arial;sans-serif"/>
          <w:b w:val="false"/>
          <w:color w:val="000000"/>
          <w:sz w:val="16"/>
        </w:rPr>
        <w:t>other proceedings brought that</w:t>
      </w:r>
      <w:r>
        <w:rPr>
          <w:color w:val="000000"/>
        </w:rPr>
        <w:t xml:space="preserve"> </w:t>
      </w:r>
      <w:r>
        <w:rPr>
          <w:rFonts w:ascii="Arial;sans-serif" w:hAnsi="Arial;sans-serif"/>
          <w:b w:val="false"/>
          <w:color w:val="000000"/>
          <w:sz w:val="16"/>
        </w:rPr>
        <w:t>relate to</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RSUs and/or the provisions of this</w:t>
      </w:r>
      <w:r>
        <w:rPr>
          <w:color w:val="000000"/>
        </w:rPr>
        <w:t xml:space="preserve"> </w:t>
      </w:r>
      <w:r>
        <w:rPr>
          <w:rFonts w:ascii="Arial;sans-serif" w:hAnsi="Arial;sans-serif"/>
          <w:b w:val="false"/>
          <w:color w:val="000000"/>
          <w:sz w:val="16"/>
        </w:rPr>
        <w:t>letter,</w:t>
      </w:r>
      <w:r>
        <w:rPr>
          <w:color w:val="000000"/>
        </w:rPr>
        <w:t xml:space="preserve"> </w:t>
      </w:r>
      <w:r>
        <w:rPr>
          <w:rFonts w:ascii="Arial;sans-serif" w:hAnsi="Arial;sans-serif"/>
          <w:b w:val="false"/>
          <w:color w:val="000000"/>
          <w:sz w:val="16"/>
        </w:rPr>
        <w:t>relating</w:t>
      </w:r>
      <w:r>
        <w:rPr>
          <w:color w:val="000000"/>
        </w:rPr>
        <w:t xml:space="preserve"> </w:t>
      </w:r>
      <w:r>
        <w:rPr>
          <w:rFonts w:ascii="Arial;sans-serif" w:hAnsi="Arial;sans-serif"/>
          <w:b w:val="false"/>
          <w:color w:val="000000"/>
          <w:sz w:val="16"/>
        </w:rPr>
        <w:t>lo</w:t>
      </w:r>
      <w:r>
        <w:rPr>
          <w:color w:val="000000"/>
        </w:rPr>
        <w:t xml:space="preserve"> </w:t>
      </w:r>
      <w:r>
        <w:rPr>
          <w:rFonts w:ascii="Arial;sans-serif" w:hAnsi="Arial;sans-serif"/>
          <w:b w:val="false"/>
          <w:color w:val="000000"/>
          <w:sz w:val="16"/>
        </w:rPr>
        <w:t>it,</w:t>
      </w:r>
      <w:r>
        <w:rPr>
          <w:color w:val="000000"/>
        </w:rPr>
        <w:t xml:space="preserve"> </w:t>
      </w:r>
      <w:r>
        <w:rPr>
          <w:rFonts w:ascii="Arial;sans-serif" w:hAnsi="Arial;sans-serif"/>
          <w:b w:val="false"/>
          <w:i/>
          <w:color w:val="000000"/>
          <w:sz w:val="16"/>
        </w:rPr>
        <w:t xml:space="preserve">or </w:t>
      </w:r>
      <w:r>
        <w:rPr>
          <w:rFonts w:ascii="Arial;sans-serif" w:hAnsi="Arial;sans-serif"/>
          <w:b w:val="false"/>
          <w:color w:val="000000"/>
          <w:sz w:val="16"/>
        </w:rPr>
        <w:t>arising from</w:t>
      </w:r>
      <w:r>
        <w:rPr>
          <w:color w:val="000000"/>
        </w:rPr>
        <w:t xml:space="preserve"> </w:t>
      </w:r>
      <w:r>
        <w:rPr>
          <w:rFonts w:ascii="Arial;sans-serif" w:hAnsi="Arial;sans-serif"/>
          <w:b w:val="false"/>
          <w:color w:val="000000"/>
          <w:sz w:val="16"/>
        </w:rPr>
        <w:t>ii.</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parties hereby</w:t>
      </w:r>
      <w:r>
        <w:rPr>
          <w:color w:val="000000"/>
        </w:rPr>
        <w:t xml:space="preserve"> </w:t>
      </w:r>
      <w:r>
        <w:rPr>
          <w:rFonts w:ascii="Arial;sans-serif" w:hAnsi="Arial;sans-serif"/>
          <w:b w:val="false"/>
          <w:color w:val="000000"/>
          <w:sz w:val="16"/>
        </w:rPr>
        <w:t>submit to</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consent</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the sole</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exclusive</w:t>
      </w:r>
      <w:r>
        <w:rPr>
          <w:color w:val="000000"/>
        </w:rPr>
        <w:t xml:space="preserve"> </w:t>
      </w:r>
      <w:r>
        <w:rPr>
          <w:rFonts w:ascii="Arial;sans-serif" w:hAnsi="Arial;sans-serif"/>
          <w:b w:val="false"/>
          <w:color w:val="000000"/>
          <w:sz w:val="16"/>
        </w:rPr>
        <w:t>jurisdiction of the state and federal courts located</w:t>
      </w:r>
      <w:r>
        <w:rPr>
          <w:color w:val="000000"/>
        </w:rPr>
        <w:t xml:space="preserve"> </w:t>
      </w:r>
      <w:r>
        <w:rPr>
          <w:rFonts w:ascii="Arial;sans-serif" w:hAnsi="Arial;sans-serif"/>
          <w:b w:val="false"/>
          <w:color w:val="000000"/>
          <w:sz w:val="16"/>
        </w:rPr>
        <w:t>in Pennsylvania, where this grant</w:t>
      </w:r>
      <w:r>
        <w:rPr>
          <w:color w:val="000000"/>
        </w:rPr>
        <w:t xml:space="preserve"> </w:t>
      </w:r>
      <w:r>
        <w:rPr>
          <w:rFonts w:ascii="Arial;sans-serif" w:hAnsi="Arial;sans-serif"/>
          <w:b w:val="false"/>
          <w:color w:val="000000"/>
          <w:sz w:val="16"/>
        </w:rPr>
        <w:t>is</w:t>
      </w:r>
      <w:r>
        <w:rPr>
          <w:color w:val="000000"/>
        </w:rPr>
        <w:t xml:space="preserve"> </w:t>
      </w:r>
      <w:r>
        <w:rPr>
          <w:rFonts w:ascii="Arial;sans-serif" w:hAnsi="Arial;sans-serif"/>
          <w:b w:val="false"/>
          <w:color w:val="000000"/>
          <w:sz w:val="16"/>
        </w:rPr>
        <w:t>made and/or to</w:t>
      </w:r>
      <w:r>
        <w:rPr>
          <w:color w:val="000000"/>
        </w:rPr>
        <w:t xml:space="preserve"> </w:t>
      </w:r>
      <w:r>
        <w:rPr>
          <w:rFonts w:ascii="Arial;sans-serif" w:hAnsi="Arial;sans-serif"/>
          <w:b w:val="false"/>
          <w:color w:val="000000"/>
          <w:sz w:val="16"/>
        </w:rPr>
        <w:t>be</w:t>
      </w:r>
      <w:r>
        <w:rPr>
          <w:color w:val="000000"/>
        </w:rPr>
        <w:t xml:space="preserve"> </w:t>
      </w:r>
      <w:r>
        <w:rPr>
          <w:rFonts w:ascii="Arial;sans-serif" w:hAnsi="Arial;sans-serif"/>
          <w:b w:val="false"/>
          <w:color w:val="000000"/>
          <w:sz w:val="16"/>
        </w:rPr>
        <w:t>performed.</w:t>
      </w:r>
    </w:p>
    <w:p>
      <w:pPr>
        <w:pStyle w:val="TextBody"/>
        <w:bidi w:val="0"/>
        <w:spacing w:before="12" w:after="283"/>
        <w:jc w:val="left"/>
        <w:rPr/>
      </w:pPr>
      <w:r>
        <w:rPr/>
      </w:r>
    </w:p>
    <w:p>
      <w:pPr>
        <w:pStyle w:val="TextBody"/>
        <w:bidi w:val="0"/>
        <w:spacing w:lineRule="auto" w:line="285" w:before="0" w:after="0"/>
        <w:ind w:left="0" w:right="0" w:hanging="1"/>
        <w:jc w:val="both"/>
        <w:rPr/>
      </w:pPr>
      <w:r>
        <w:rPr>
          <w:rFonts w:ascii="Arial;sans-serif" w:hAnsi="Arial;sans-serif"/>
          <w:b w:val="false"/>
          <w:color w:val="000000"/>
          <w:sz w:val="16"/>
        </w:rPr>
        <w:t>If there</w:t>
      </w:r>
      <w:r>
        <w:rPr>
          <w:color w:val="000000"/>
        </w:rPr>
        <w:t xml:space="preserve"> </w:t>
      </w:r>
      <w:r>
        <w:rPr>
          <w:rFonts w:ascii="Arial;sans-serif" w:hAnsi="Arial;sans-serif"/>
          <w:b w:val="false"/>
          <w:color w:val="000000"/>
          <w:sz w:val="16"/>
        </w:rPr>
        <w:t>are any conflicts</w:t>
      </w:r>
      <w:r>
        <w:rPr>
          <w:color w:val="000000"/>
        </w:rPr>
        <w:t xml:space="preserve"> </w:t>
      </w:r>
      <w:r>
        <w:rPr>
          <w:rFonts w:ascii="Arial;sans-serif" w:hAnsi="Arial;sans-serif"/>
          <w:b w:val="false"/>
          <w:color w:val="000000"/>
          <w:sz w:val="16"/>
        </w:rPr>
        <w:t>between the contents</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this</w:t>
      </w:r>
      <w:r>
        <w:rPr>
          <w:color w:val="000000"/>
        </w:rPr>
        <w:t xml:space="preserve"> </w:t>
      </w:r>
      <w:r>
        <w:rPr>
          <w:rFonts w:ascii="Arial;sans-serif" w:hAnsi="Arial;sans-serif"/>
          <w:b w:val="false"/>
          <w:color w:val="000000"/>
          <w:sz w:val="16"/>
        </w:rPr>
        <w:t>letter</w:t>
      </w:r>
      <w:r>
        <w:rPr>
          <w:color w:val="000000"/>
        </w:rPr>
        <w:t xml:space="preserve"> </w:t>
      </w:r>
      <w:r>
        <w:rPr>
          <w:rFonts w:ascii="Arial;sans-serif" w:hAnsi="Arial;sans-serif"/>
          <w:b w:val="false"/>
          <w:color w:val="000000"/>
          <w:sz w:val="16"/>
        </w:rPr>
        <w:t>on the one</w:t>
      </w:r>
      <w:r>
        <w:rPr>
          <w:color w:val="000000"/>
        </w:rPr>
        <w:t xml:space="preserve"> </w:t>
      </w:r>
      <w:r>
        <w:rPr>
          <w:rFonts w:ascii="Arial;sans-serif" w:hAnsi="Arial;sans-serif"/>
          <w:b w:val="false"/>
          <w:color w:val="000000"/>
          <w:sz w:val="16"/>
        </w:rPr>
        <w:t>hand,</w:t>
      </w:r>
      <w:r>
        <w:rPr>
          <w:color w:val="000000"/>
        </w:rPr>
        <w:t xml:space="preserve"> </w:t>
      </w:r>
      <w:r>
        <w:rPr>
          <w:rFonts w:ascii="Arial;sans-serif" w:hAnsi="Arial;sans-serif"/>
          <w:b w:val="false"/>
          <w:color w:val="000000"/>
          <w:sz w:val="16"/>
        </w:rPr>
        <w:t>and the</w:t>
      </w:r>
      <w:r>
        <w:rPr>
          <w:color w:val="000000"/>
        </w:rPr>
        <w:t xml:space="preserve"> </w:t>
      </w:r>
      <w:r>
        <w:rPr>
          <w:rFonts w:ascii="Arial;sans-serif" w:hAnsi="Arial;sans-serif"/>
          <w:b w:val="false"/>
          <w:color w:val="000000"/>
          <w:sz w:val="16"/>
        </w:rPr>
        <w:t>terms of the</w:t>
      </w:r>
      <w:r>
        <w:rPr>
          <w:color w:val="000000"/>
        </w:rPr>
        <w:t xml:space="preserve"> </w:t>
      </w:r>
      <w:r>
        <w:rPr>
          <w:rFonts w:ascii="Arial;sans-serif" w:hAnsi="Arial;sans-serif"/>
          <w:b w:val="false"/>
          <w:color w:val="000000"/>
          <w:sz w:val="16"/>
        </w:rPr>
        <w:t>Plan</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applicable award agreement on</w:t>
      </w:r>
      <w:r>
        <w:rPr>
          <w:color w:val="000000"/>
        </w:rPr>
        <w:t xml:space="preserve"> </w:t>
      </w:r>
      <w:r>
        <w:rPr>
          <w:rFonts w:ascii="Arial;sans-serif" w:hAnsi="Arial;sans-serif"/>
          <w:b w:val="false"/>
          <w:color w:val="000000"/>
          <w:sz w:val="16"/>
        </w:rPr>
        <w:t>the other hand,</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terms of</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Plan and award</w:t>
      </w:r>
      <w:r>
        <w:rPr>
          <w:color w:val="000000"/>
        </w:rPr>
        <w:t xml:space="preserve"> </w:t>
      </w:r>
      <w:r>
        <w:rPr>
          <w:rFonts w:ascii="Arial;sans-serif" w:hAnsi="Arial;sans-serif"/>
          <w:b w:val="false"/>
          <w:color w:val="000000"/>
          <w:sz w:val="16"/>
        </w:rPr>
        <w:t>agreement</w:t>
      </w:r>
      <w:r>
        <w:rPr>
          <w:color w:val="000000"/>
        </w:rPr>
        <w:t xml:space="preserve"> </w:t>
      </w:r>
      <w:r>
        <w:rPr>
          <w:rFonts w:ascii="Arial;sans-serif" w:hAnsi="Arial;sans-serif"/>
          <w:b w:val="false"/>
          <w:color w:val="000000"/>
          <w:sz w:val="16"/>
        </w:rPr>
        <w:t>shall prevail, if that order.</w:t>
      </w:r>
    </w:p>
    <w:p>
      <w:pPr>
        <w:pStyle w:val="TextBody"/>
        <w:bidi w:val="0"/>
        <w:spacing w:before="9" w:after="283"/>
        <w:jc w:val="left"/>
        <w:rPr/>
      </w:pPr>
      <w:r>
        <w:rPr/>
      </w:r>
    </w:p>
    <w:p>
      <w:pPr>
        <w:pStyle w:val="TextBody"/>
        <w:bidi w:val="0"/>
        <w:spacing w:lineRule="auto" w:line="285" w:before="0" w:after="0"/>
        <w:ind w:left="0" w:right="0" w:hanging="2"/>
        <w:jc w:val="left"/>
        <w:rPr/>
      </w:pPr>
      <w:r>
        <w:rPr>
          <w:rFonts w:ascii="Arial;sans-serif" w:hAnsi="Arial;sans-serif"/>
          <w:b w:val="false"/>
          <w:color w:val="000000"/>
          <w:sz w:val="16"/>
        </w:rPr>
        <w:t>The terms</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this</w:t>
      </w:r>
      <w:r>
        <w:rPr>
          <w:color w:val="000000"/>
        </w:rPr>
        <w:t xml:space="preserve"> </w:t>
      </w:r>
      <w:r>
        <w:rPr>
          <w:rFonts w:ascii="Arial;sans-serif" w:hAnsi="Arial;sans-serif"/>
          <w:b w:val="false"/>
          <w:color w:val="000000"/>
          <w:sz w:val="16"/>
        </w:rPr>
        <w:t>letter are strictly confidential. By signing and returning this letter, you</w:t>
      </w:r>
      <w:r>
        <w:rPr>
          <w:color w:val="000000"/>
        </w:rPr>
        <w:t xml:space="preserve"> </w:t>
      </w:r>
      <w:r>
        <w:rPr>
          <w:rFonts w:ascii="Arial;sans-serif" w:hAnsi="Arial;sans-serif"/>
          <w:b w:val="false"/>
          <w:color w:val="000000"/>
          <w:sz w:val="16"/>
        </w:rPr>
        <w:t>acknowledge and</w:t>
      </w:r>
      <w:r>
        <w:rPr>
          <w:color w:val="000000"/>
        </w:rPr>
        <w:t xml:space="preserve"> </w:t>
      </w:r>
      <w:r>
        <w:rPr>
          <w:rFonts w:ascii="Arial;sans-serif" w:hAnsi="Arial;sans-serif"/>
          <w:b w:val="false"/>
          <w:color w:val="000000"/>
          <w:sz w:val="16"/>
        </w:rPr>
        <w:t>agree to all</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the terms and conditions contained herein.</w:t>
      </w:r>
    </w:p>
    <w:p>
      <w:pPr>
        <w:pStyle w:val="TextBody"/>
        <w:bidi w:val="0"/>
        <w:spacing w:before="8" w:after="283"/>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Sincerely,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 JOSEPH A. BERQUIST</w:t>
      </w:r>
    </w:p>
    <w:p>
      <w:pPr>
        <w:pStyle w:val="TextBody"/>
        <w:bidi w:val="0"/>
        <w:spacing w:lineRule="auto" w:line="288" w:before="69" w:after="283"/>
        <w:jc w:val="left"/>
        <w:rPr/>
      </w:pPr>
      <w:r>
        <w:rPr>
          <w:rFonts w:ascii="Arial;sans-serif" w:hAnsi="Arial;sans-serif"/>
          <w:b w:val="false"/>
          <w:color w:val="000000"/>
          <w:sz w:val="16"/>
        </w:rPr>
        <w:t>Joseph</w:t>
      </w:r>
      <w:r>
        <w:rPr>
          <w:color w:val="000000"/>
        </w:rPr>
        <w:t xml:space="preserve"> </w:t>
      </w:r>
      <w:r>
        <w:rPr>
          <w:rFonts w:ascii="Arial;sans-serif" w:hAnsi="Arial;sans-serif"/>
          <w:b w:val="false"/>
          <w:color w:val="000000"/>
          <w:sz w:val="16"/>
        </w:rPr>
        <w:t>A.</w:t>
      </w:r>
      <w:r>
        <w:rPr>
          <w:color w:val="000000"/>
        </w:rPr>
        <w:t xml:space="preserve"> </w:t>
      </w:r>
      <w:r>
        <w:rPr>
          <w:rFonts w:ascii="Arial;sans-serif" w:hAnsi="Arial;sans-serif"/>
          <w:b w:val="false"/>
          <w:color w:val="000000"/>
          <w:sz w:val="16"/>
        </w:rPr>
        <w:t>Berquist</w:t>
      </w:r>
    </w:p>
    <w:p>
      <w:pPr>
        <w:pStyle w:val="TextBody"/>
        <w:bidi w:val="0"/>
        <w:spacing w:lineRule="auto" w:line="288" w:before="16" w:after="283"/>
        <w:jc w:val="left"/>
        <w:rPr/>
      </w:pPr>
      <w:r>
        <w:rPr>
          <w:rFonts w:ascii="Arial;sans-serif" w:hAnsi="Arial;sans-serif"/>
          <w:b w:val="false"/>
          <w:color w:val="000000"/>
          <w:sz w:val="16"/>
        </w:rPr>
        <w:t>Chief</w:t>
      </w:r>
      <w:r>
        <w:rPr>
          <w:color w:val="000000"/>
        </w:rPr>
        <w:t xml:space="preserve"> </w:t>
      </w:r>
      <w:r>
        <w:rPr>
          <w:rFonts w:ascii="Arial;sans-serif" w:hAnsi="Arial;sans-serif"/>
          <w:b w:val="false"/>
          <w:color w:val="000000"/>
          <w:sz w:val="16"/>
        </w:rPr>
        <w:t>Executive</w:t>
      </w:r>
      <w:r>
        <w:rPr>
          <w:color w:val="000000"/>
        </w:rPr>
        <w:t xml:space="preserve"> </w:t>
      </w:r>
      <w:r>
        <w:rPr>
          <w:rFonts w:ascii="Arial;sans-serif" w:hAnsi="Arial;sans-serif"/>
          <w:b w:val="false"/>
          <w:color w:val="000000"/>
          <w:sz w:val="16"/>
        </w:rPr>
        <w:t>Officer</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President</w:t>
      </w:r>
    </w:p>
    <w:p>
      <w:pPr>
        <w:pStyle w:val="TextBody"/>
        <w:bidi w:val="0"/>
        <w:spacing w:before="16" w:after="283"/>
        <w:jc w:val="left"/>
        <w:rPr/>
      </w:pPr>
      <w:r>
        <w:rPr/>
      </w:r>
    </w:p>
    <w:p>
      <w:pPr>
        <w:pStyle w:val="TextBody"/>
        <w:bidi w:val="0"/>
        <w:spacing w:lineRule="auto" w:line="288" w:before="16" w:after="283"/>
        <w:jc w:val="left"/>
        <w:rPr>
          <w:rFonts w:ascii="Arial;sans-serif" w:hAnsi="Arial;sans-serif"/>
          <w:b w:val="false"/>
          <w:color w:val="000000"/>
          <w:sz w:val="16"/>
        </w:rPr>
      </w:pPr>
      <w:r>
        <w:rPr>
          <w:rFonts w:ascii="Arial;sans-serif" w:hAnsi="Arial;sans-serif"/>
          <w:b w:val="false"/>
          <w:color w:val="000000"/>
          <w:sz w:val="16"/>
        </w:rPr>
        <w:t>ACKNOWLEDGED AND AGREED:</w:t>
      </w:r>
    </w:p>
    <w:p>
      <w:pPr>
        <w:pStyle w:val="TextBody"/>
        <w:bidi w:val="0"/>
        <w:spacing w:before="16" w:after="283"/>
        <w:jc w:val="left"/>
        <w:rPr/>
      </w:pPr>
      <w:r>
        <w:rPr/>
      </w:r>
    </w:p>
    <w:p>
      <w:pPr>
        <w:pStyle w:val="TextBody"/>
        <w:bidi w:val="0"/>
        <w:spacing w:lineRule="auto" w:line="288" w:before="16" w:after="283"/>
        <w:jc w:val="left"/>
        <w:rPr>
          <w:rFonts w:ascii="Arial;sans-serif" w:hAnsi="Arial;sans-serif"/>
          <w:b w:val="false"/>
          <w:color w:val="000000"/>
          <w:sz w:val="16"/>
          <w:u w:val="single"/>
        </w:rPr>
      </w:pPr>
      <w:r>
        <w:rPr>
          <w:rFonts w:ascii="Arial;sans-serif" w:hAnsi="Arial;sans-serif"/>
          <w:b w:val="false"/>
          <w:color w:val="000000"/>
          <w:sz w:val="16"/>
          <w:u w:val="single"/>
        </w:rPr>
        <w:t>/s/ KEVIN MEAGHER</w:t>
      </w:r>
    </w:p>
    <w:p>
      <w:pPr>
        <w:pStyle w:val="TextBody"/>
        <w:bidi w:val="0"/>
        <w:spacing w:lineRule="auto" w:line="288" w:before="16" w:after="283"/>
        <w:jc w:val="left"/>
        <w:rPr>
          <w:rFonts w:ascii="Arial;sans-serif" w:hAnsi="Arial;sans-serif"/>
          <w:b w:val="false"/>
          <w:color w:val="000000"/>
          <w:sz w:val="16"/>
        </w:rPr>
      </w:pPr>
      <w:r>
        <w:rPr>
          <w:rFonts w:ascii="Arial;sans-serif" w:hAnsi="Arial;sans-serif"/>
          <w:b w:val="false"/>
          <w:color w:val="000000"/>
          <w:sz w:val="16"/>
        </w:rPr>
        <w:t>Signature</w:t>
      </w:r>
    </w:p>
    <w:p>
      <w:pPr>
        <w:pStyle w:val="TextBody"/>
        <w:bidi w:val="0"/>
        <w:spacing w:before="16" w:after="283"/>
        <w:jc w:val="left"/>
        <w:rPr/>
      </w:pPr>
      <w:r>
        <w:rPr/>
      </w:r>
    </w:p>
    <w:p>
      <w:pPr>
        <w:pStyle w:val="TextBody"/>
        <w:bidi w:val="0"/>
        <w:spacing w:lineRule="auto" w:line="288" w:before="16" w:after="283"/>
        <w:jc w:val="left"/>
        <w:rPr>
          <w:rFonts w:ascii="Arial;sans-serif" w:hAnsi="Arial;sans-serif"/>
          <w:b w:val="false"/>
          <w:color w:val="000000"/>
          <w:sz w:val="16"/>
          <w:u w:val="single"/>
        </w:rPr>
      </w:pPr>
      <w:r>
        <w:rPr>
          <w:rFonts w:ascii="Arial;sans-serif" w:hAnsi="Arial;sans-serif"/>
          <w:b w:val="false"/>
          <w:color w:val="000000"/>
          <w:sz w:val="16"/>
          <w:u w:val="single"/>
        </w:rPr>
        <w:t>/s/ KEVIN MEAGHER</w:t>
      </w:r>
    </w:p>
    <w:p>
      <w:pPr>
        <w:pStyle w:val="TextBody"/>
        <w:bidi w:val="0"/>
        <w:spacing w:lineRule="auto" w:line="288" w:before="16" w:after="283"/>
        <w:jc w:val="left"/>
        <w:rPr>
          <w:rFonts w:ascii="Arial;sans-serif" w:hAnsi="Arial;sans-serif"/>
          <w:b w:val="false"/>
          <w:color w:val="000000"/>
          <w:sz w:val="16"/>
        </w:rPr>
      </w:pPr>
      <w:r>
        <w:rPr>
          <w:rFonts w:ascii="Arial;sans-serif" w:hAnsi="Arial;sans-serif"/>
          <w:b w:val="false"/>
          <w:color w:val="000000"/>
          <w:sz w:val="16"/>
        </w:rPr>
        <w:t>Name</w:t>
      </w:r>
    </w:p>
    <w:p>
      <w:pPr>
        <w:pStyle w:val="TextBody"/>
        <w:bidi w:val="0"/>
        <w:spacing w:before="16" w:after="283"/>
        <w:jc w:val="left"/>
        <w:rPr/>
      </w:pPr>
      <w:r>
        <w:rPr/>
      </w:r>
    </w:p>
    <w:p>
      <w:pPr>
        <w:pStyle w:val="TextBody"/>
        <w:bidi w:val="0"/>
        <w:spacing w:lineRule="auto" w:line="288" w:before="16" w:after="283"/>
        <w:jc w:val="left"/>
        <w:rPr>
          <w:rFonts w:ascii="Arial;sans-serif" w:hAnsi="Arial;sans-serif"/>
          <w:b w:val="false"/>
          <w:color w:val="000000"/>
          <w:sz w:val="16"/>
          <w:u w:val="single"/>
        </w:rPr>
      </w:pPr>
      <w:r>
        <w:rPr>
          <w:rFonts w:ascii="Arial;sans-serif" w:hAnsi="Arial;sans-serif"/>
          <w:b w:val="false"/>
          <w:color w:val="000000"/>
          <w:sz w:val="16"/>
          <w:u w:val="single"/>
        </w:rPr>
        <w:t>20 NOV 2025</w:t>
      </w:r>
    </w:p>
    <w:p>
      <w:pPr>
        <w:pStyle w:val="TextBody"/>
        <w:bidi w:val="0"/>
        <w:spacing w:lineRule="auto" w:line="288" w:before="16" w:after="283"/>
        <w:jc w:val="left"/>
        <w:rPr>
          <w:rFonts w:ascii="Arial;sans-serif" w:hAnsi="Arial;sans-serif"/>
          <w:b w:val="false"/>
          <w:color w:val="000000"/>
          <w:sz w:val="16"/>
        </w:rPr>
      </w:pPr>
      <w:r>
        <w:rPr>
          <w:rFonts w:ascii="Arial;sans-serif" w:hAnsi="Arial;sans-serif"/>
          <w:b w:val="false"/>
          <w:color w:val="000000"/>
          <w:sz w:val="16"/>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74015"/>
                <wp:effectExtent l="0" t="0" r="0" b="0"/>
                <wp:wrapNone/>
                <wp:docPr id="62" name="Frame61"/>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r>
                              <w:br w:type="page"/>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92" w:after="283"/>
        <w:jc w:val="center"/>
        <w:rPr/>
      </w:pPr>
      <w:r>
        <w:rPr>
          <w:rFonts w:ascii="Arial;sans-serif" w:hAnsi="Arial;sans-serif"/>
          <w:b w:val="false"/>
          <w:color w:val="000000"/>
          <w:sz w:val="18"/>
          <w:u w:val="single"/>
        </w:rPr>
        <w:t>APPENDIX</w:t>
      </w:r>
      <w:r>
        <w:rPr>
          <w:color w:val="000000"/>
          <w:u w:val="single"/>
        </w:rPr>
        <w:t xml:space="preserve"> </w:t>
      </w:r>
      <w:r>
        <w:rPr>
          <w:rFonts w:ascii="Arial;sans-serif" w:hAnsi="Arial;sans-serif"/>
          <w:b w:val="false"/>
          <w:color w:val="000000"/>
          <w:sz w:val="18"/>
          <w:u w:val="single"/>
        </w:rPr>
        <w:t>A</w:t>
      </w:r>
    </w:p>
    <w:p>
      <w:pPr>
        <w:pStyle w:val="TextBody"/>
        <w:bidi w:val="0"/>
        <w:spacing w:lineRule="auto" w:line="307" w:before="206" w:after="283"/>
        <w:ind w:left="0" w:right="0" w:hanging="3"/>
        <w:jc w:val="left"/>
        <w:rPr/>
      </w:pPr>
      <w:r>
        <w:rPr>
          <w:rFonts w:ascii="Arial;sans-serif" w:hAnsi="Arial;sans-serif"/>
          <w:b w:val="false"/>
          <w:color w:val="000000"/>
          <w:sz w:val="16"/>
        </w:rPr>
        <w:t>By signing this letter</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which</w:t>
      </w:r>
      <w:r>
        <w:rPr>
          <w:color w:val="000000"/>
        </w:rPr>
        <w:t xml:space="preserve"> </w:t>
      </w:r>
      <w:r>
        <w:rPr>
          <w:rFonts w:ascii="Arial;sans-serif" w:hAnsi="Arial;sans-serif"/>
          <w:b w:val="false"/>
          <w:color w:val="000000"/>
          <w:sz w:val="16"/>
        </w:rPr>
        <w:t>this</w:t>
      </w:r>
      <w:r>
        <w:rPr>
          <w:color w:val="000000"/>
        </w:rPr>
        <w:t xml:space="preserve"> </w:t>
      </w:r>
      <w:r>
        <w:rPr>
          <w:rFonts w:ascii="Arial;sans-serif" w:hAnsi="Arial;sans-serif"/>
          <w:b w:val="false"/>
          <w:color w:val="000000"/>
          <w:sz w:val="16"/>
        </w:rPr>
        <w:t>Appendix</w:t>
      </w:r>
      <w:r>
        <w:rPr>
          <w:color w:val="000000"/>
        </w:rPr>
        <w:t xml:space="preserve"> </w:t>
      </w:r>
      <w:r>
        <w:rPr>
          <w:rFonts w:ascii="Arial;sans-serif" w:hAnsi="Arial;sans-serif"/>
          <w:b w:val="false"/>
          <w:color w:val="000000"/>
          <w:sz w:val="16"/>
        </w:rPr>
        <w:t>A</w:t>
      </w:r>
      <w:r>
        <w:rPr>
          <w:color w:val="000000"/>
        </w:rPr>
        <w:t xml:space="preserve"> </w:t>
      </w:r>
      <w:r>
        <w:rPr>
          <w:rFonts w:ascii="Arial;sans-serif" w:hAnsi="Arial;sans-serif"/>
          <w:b w:val="false"/>
          <w:color w:val="000000"/>
          <w:sz w:val="16"/>
        </w:rPr>
        <w:t>is</w:t>
      </w:r>
      <w:r>
        <w:rPr>
          <w:color w:val="000000"/>
        </w:rPr>
        <w:t xml:space="preserve"> </w:t>
      </w:r>
      <w:r>
        <w:rPr>
          <w:rFonts w:ascii="Arial;sans-serif" w:hAnsi="Arial;sans-serif"/>
          <w:b w:val="false"/>
          <w:color w:val="000000"/>
          <w:sz w:val="16"/>
        </w:rPr>
        <w:t>attached,</w:t>
      </w:r>
      <w:r>
        <w:rPr>
          <w:color w:val="000000"/>
        </w:rPr>
        <w:t xml:space="preserve"> </w:t>
      </w:r>
      <w:r>
        <w:rPr>
          <w:rFonts w:ascii="Arial;sans-serif" w:hAnsi="Arial;sans-serif"/>
          <w:b w:val="false"/>
          <w:color w:val="000000"/>
          <w:sz w:val="16"/>
        </w:rPr>
        <w:t>you</w:t>
      </w:r>
      <w:r>
        <w:rPr>
          <w:color w:val="000000"/>
        </w:rPr>
        <w:t xml:space="preserve"> </w:t>
      </w:r>
      <w:r>
        <w:rPr>
          <w:rFonts w:ascii="Arial;sans-serif" w:hAnsi="Arial;sans-serif"/>
          <w:b w:val="false"/>
          <w:color w:val="000000"/>
          <w:sz w:val="16"/>
        </w:rPr>
        <w:t>agree to</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additional terms and</w:t>
      </w:r>
      <w:r>
        <w:rPr>
          <w:color w:val="000000"/>
        </w:rPr>
        <w:t xml:space="preserve"> </w:t>
      </w:r>
      <w:r>
        <w:rPr>
          <w:rFonts w:ascii="Arial;sans-serif" w:hAnsi="Arial;sans-serif"/>
          <w:b w:val="false"/>
          <w:color w:val="000000"/>
          <w:sz w:val="16"/>
        </w:rPr>
        <w:t>conditions</w:t>
      </w:r>
      <w:r>
        <w:rPr>
          <w:color w:val="000000"/>
        </w:rPr>
        <w:t xml:space="preserve"> </w:t>
      </w:r>
      <w:r>
        <w:rPr>
          <w:rFonts w:ascii="Arial;sans-serif" w:hAnsi="Arial;sans-serif"/>
          <w:b w:val="false"/>
          <w:color w:val="000000"/>
          <w:sz w:val="16"/>
        </w:rPr>
        <w:t>set</w:t>
      </w:r>
      <w:r>
        <w:rPr>
          <w:color w:val="000000"/>
        </w:rPr>
        <w:t xml:space="preserve"> </w:t>
      </w:r>
      <w:r>
        <w:rPr>
          <w:rFonts w:ascii="Arial;sans-serif" w:hAnsi="Arial;sans-serif"/>
          <w:b w:val="false"/>
          <w:color w:val="000000"/>
          <w:sz w:val="16"/>
        </w:rPr>
        <w:t>forth in this Appendix A. Capitalized terms</w:t>
      </w:r>
      <w:r>
        <w:rPr>
          <w:color w:val="000000"/>
        </w:rPr>
        <w:t xml:space="preserve"> </w:t>
      </w:r>
      <w:r>
        <w:rPr>
          <w:rFonts w:ascii="Arial;sans-serif" w:hAnsi="Arial;sans-serif"/>
          <w:b w:val="false"/>
          <w:color w:val="000000"/>
          <w:sz w:val="16"/>
        </w:rPr>
        <w:t>used</w:t>
      </w:r>
      <w:r>
        <w:rPr>
          <w:color w:val="000000"/>
        </w:rPr>
        <w:t xml:space="preserve"> </w:t>
      </w:r>
      <w:r>
        <w:rPr>
          <w:rFonts w:ascii="Arial;sans-serif" w:hAnsi="Arial;sans-serif"/>
          <w:b w:val="false"/>
          <w:color w:val="000000"/>
          <w:sz w:val="16"/>
        </w:rPr>
        <w:t>in this</w:t>
      </w:r>
      <w:r>
        <w:rPr>
          <w:color w:val="000000"/>
        </w:rPr>
        <w:t xml:space="preserve"> </w:t>
      </w:r>
      <w:r>
        <w:rPr>
          <w:rFonts w:ascii="Arial;sans-serif" w:hAnsi="Arial;sans-serif"/>
          <w:b w:val="false"/>
          <w:color w:val="000000"/>
          <w:sz w:val="16"/>
        </w:rPr>
        <w:t>Appendix</w:t>
      </w:r>
      <w:r>
        <w:rPr>
          <w:color w:val="000000"/>
        </w:rPr>
        <w:t xml:space="preserve"> </w:t>
      </w:r>
      <w:r>
        <w:rPr>
          <w:rFonts w:ascii="Arial;sans-serif" w:hAnsi="Arial;sans-serif"/>
          <w:b w:val="false"/>
          <w:color w:val="000000"/>
          <w:sz w:val="16"/>
        </w:rPr>
        <w:t>A shall</w:t>
      </w:r>
      <w:r>
        <w:rPr>
          <w:color w:val="000000"/>
        </w:rPr>
        <w:t xml:space="preserve"> </w:t>
      </w:r>
      <w:r>
        <w:rPr>
          <w:rFonts w:ascii="Arial;sans-serif" w:hAnsi="Arial;sans-serif"/>
          <w:b w:val="false"/>
          <w:color w:val="000000"/>
          <w:sz w:val="16"/>
        </w:rPr>
        <w:t>have</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meaning ascribed to such terms</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the Jetter.</w:t>
      </w:r>
    </w:p>
    <w:p>
      <w:pPr>
        <w:pStyle w:val="TextBody"/>
        <w:bidi w:val="0"/>
        <w:spacing w:lineRule="auto" w:line="285" w:before="193" w:after="283"/>
        <w:ind w:left="0" w:right="0" w:firstLine="4"/>
        <w:jc w:val="both"/>
        <w:rPr/>
      </w:pPr>
      <w:r>
        <w:rPr>
          <w:rFonts w:ascii="Arial;sans-serif" w:hAnsi="Arial;sans-serif"/>
          <w:b w:val="false"/>
          <w:i/>
          <w:color w:val="000000"/>
          <w:sz w:val="17"/>
          <w:u w:val="single"/>
        </w:rPr>
        <w:t>Data Collection and Usage</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Company and the subsidiary that will employ you (the</w:t>
      </w:r>
      <w:r>
        <w:rPr>
          <w:color w:val="000000"/>
        </w:rPr>
        <w:t xml:space="preserve"> </w:t>
      </w:r>
      <w:r>
        <w:rPr>
          <w:rFonts w:ascii="Arial;sans-serif" w:hAnsi="Arial;sans-serif"/>
          <w:b w:val="false"/>
          <w:i/>
          <w:color w:val="000000"/>
          <w:sz w:val="17"/>
          <w:u w:val="single"/>
        </w:rPr>
        <w:t>"employer'?</w:t>
      </w:r>
      <w:r>
        <w:rPr>
          <w:color w:val="000000"/>
        </w:rPr>
        <w:t xml:space="preserve"> </w:t>
      </w:r>
      <w:r>
        <w:rPr>
          <w:rFonts w:ascii="Arial;sans-serif" w:hAnsi="Arial;sans-serif"/>
          <w:b w:val="false"/>
          <w:i/>
          <w:color w:val="000000"/>
          <w:sz w:val="17"/>
        </w:rPr>
        <w:t xml:space="preserve">may collect, </w:t>
      </w:r>
      <w:r>
        <w:rPr>
          <w:rFonts w:ascii="Arial;sans-serif" w:hAnsi="Arial;sans-serif"/>
          <w:b w:val="false"/>
          <w:color w:val="000000"/>
          <w:sz w:val="17"/>
        </w:rPr>
        <w:t xml:space="preserve">process,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use</w:t>
      </w:r>
      <w:r>
        <w:rPr>
          <w:color w:val="000000"/>
        </w:rPr>
        <w:t xml:space="preserve"> </w:t>
      </w:r>
      <w:r>
        <w:rPr>
          <w:rFonts w:ascii="Arial;sans-serif" w:hAnsi="Arial;sans-serif"/>
          <w:b w:val="false"/>
          <w:i/>
          <w:color w:val="000000"/>
          <w:sz w:val="17"/>
        </w:rPr>
        <w:t>certain personal information about</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 xml:space="preserve">including, but not limited </w:t>
      </w:r>
      <w:r>
        <w:rPr>
          <w:rFonts w:ascii="Arial;sans-serif" w:hAnsi="Arial;sans-serif"/>
          <w:b w:val="false"/>
          <w:color w:val="000000"/>
          <w:sz w:val="17"/>
        </w:rPr>
        <w:t>to,</w:t>
      </w:r>
      <w:r>
        <w:rPr>
          <w:color w:val="000000"/>
        </w:rPr>
        <w:t xml:space="preserve"> </w:t>
      </w:r>
      <w:r>
        <w:rPr>
          <w:rFonts w:ascii="Arial;sans-serif" w:hAnsi="Arial;sans-serif"/>
          <w:b w:val="false"/>
          <w:i/>
          <w:color w:val="000000"/>
          <w:sz w:val="17"/>
        </w:rPr>
        <w:t>your name,</w:t>
      </w:r>
      <w:r>
        <w:rPr>
          <w:color w:val="000000"/>
        </w:rPr>
        <w:t xml:space="preserve"> </w:t>
      </w:r>
      <w:r>
        <w:rPr>
          <w:rFonts w:ascii="Arial;sans-serif" w:hAnsi="Arial;sans-serif"/>
          <w:b w:val="false"/>
          <w:i/>
          <w:color w:val="000000"/>
          <w:sz w:val="17"/>
        </w:rPr>
        <w:t>home</w:t>
      </w:r>
      <w:r>
        <w:rPr>
          <w:color w:val="000000"/>
        </w:rPr>
        <w:t xml:space="preserve"> </w:t>
      </w:r>
      <w:r>
        <w:rPr>
          <w:rFonts w:ascii="Arial;sans-serif" w:hAnsi="Arial;sans-serif"/>
          <w:b w:val="false"/>
          <w:i/>
          <w:color w:val="000000"/>
          <w:sz w:val="17"/>
        </w:rPr>
        <w:t>address, telephone number,</w:t>
      </w:r>
      <w:r>
        <w:rPr>
          <w:color w:val="000000"/>
        </w:rPr>
        <w:t xml:space="preserve"> </w:t>
      </w:r>
      <w:r>
        <w:rPr>
          <w:rFonts w:ascii="Arial;sans-serif" w:hAnsi="Arial;sans-serif"/>
          <w:b w:val="false"/>
          <w:i/>
          <w:color w:val="000000"/>
          <w:sz w:val="17"/>
        </w:rPr>
        <w:t>email</w:t>
      </w:r>
      <w:r>
        <w:rPr>
          <w:color w:val="000000"/>
        </w:rPr>
        <w:t xml:space="preserve"> </w:t>
      </w:r>
      <w:r>
        <w:rPr>
          <w:rFonts w:ascii="Arial;sans-serif" w:hAnsi="Arial;sans-serif"/>
          <w:b w:val="false"/>
          <w:i/>
          <w:color w:val="000000"/>
          <w:sz w:val="17"/>
        </w:rPr>
        <w:t>address, date of birth,</w:t>
      </w:r>
      <w:r>
        <w:rPr>
          <w:color w:val="000000"/>
        </w:rPr>
        <w:t xml:space="preserve"> </w:t>
      </w:r>
      <w:r>
        <w:rPr>
          <w:rFonts w:ascii="Arial;sans-serif" w:hAnsi="Arial;sans-serif"/>
          <w:b w:val="false"/>
          <w:i/>
          <w:color w:val="000000"/>
          <w:sz w:val="17"/>
        </w:rPr>
        <w:t>social</w:t>
      </w:r>
      <w:r>
        <w:rPr>
          <w:color w:val="000000"/>
        </w:rPr>
        <w:t xml:space="preserve"> </w:t>
      </w:r>
      <w:r>
        <w:rPr>
          <w:rFonts w:ascii="Arial;sans-serif" w:hAnsi="Arial;sans-serif"/>
          <w:b w:val="false"/>
          <w:i/>
          <w:color w:val="000000"/>
          <w:sz w:val="17"/>
        </w:rPr>
        <w:t>insurance number, passport or other identification</w:t>
      </w:r>
      <w:r>
        <w:rPr>
          <w:color w:val="000000"/>
        </w:rPr>
        <w:t xml:space="preserve"> </w:t>
      </w:r>
      <w:r>
        <w:rPr>
          <w:rFonts w:ascii="Arial;sans-serif" w:hAnsi="Arial;sans-serif"/>
          <w:b w:val="false"/>
          <w:i/>
          <w:color w:val="000000"/>
          <w:sz w:val="17"/>
        </w:rPr>
        <w:t>number, salary,</w:t>
      </w:r>
      <w:r>
        <w:rPr>
          <w:color w:val="000000"/>
        </w:rPr>
        <w:t xml:space="preserve"> </w:t>
      </w:r>
      <w:r>
        <w:rPr>
          <w:rFonts w:ascii="Arial;sans-serif" w:hAnsi="Arial;sans-serif"/>
          <w:b w:val="false"/>
          <w:i/>
          <w:color w:val="000000"/>
          <w:sz w:val="17"/>
        </w:rPr>
        <w:t>nationality,</w:t>
      </w:r>
      <w:r>
        <w:rPr>
          <w:color w:val="000000"/>
        </w:rPr>
        <w:t xml:space="preserve"> </w:t>
      </w:r>
      <w:r>
        <w:rPr>
          <w:rFonts w:ascii="Arial;sans-serif" w:hAnsi="Arial;sans-serif"/>
          <w:b w:val="false"/>
          <w:i/>
          <w:color w:val="000000"/>
          <w:sz w:val="17"/>
        </w:rPr>
        <w:t>job</w:t>
      </w:r>
      <w:r>
        <w:rPr>
          <w:color w:val="000000"/>
        </w:rPr>
        <w:t xml:space="preserve"> </w:t>
      </w:r>
      <w:r>
        <w:rPr>
          <w:rFonts w:ascii="Arial;sans-serif" w:hAnsi="Arial;sans-serif"/>
          <w:b w:val="false"/>
          <w:i/>
          <w:color w:val="000000"/>
          <w:sz w:val="17"/>
        </w:rPr>
        <w:t>title,</w:t>
      </w:r>
      <w:r>
        <w:rPr>
          <w:color w:val="000000"/>
        </w:rPr>
        <w:t xml:space="preserve"> </w:t>
      </w:r>
      <w:r>
        <w:rPr>
          <w:rFonts w:ascii="Arial;sans-serif" w:hAnsi="Arial;sans-serif"/>
          <w:b w:val="false"/>
          <w:i/>
          <w:color w:val="000000"/>
          <w:sz w:val="17"/>
        </w:rPr>
        <w:t>any</w:t>
      </w:r>
      <w:r>
        <w:rPr>
          <w:color w:val="000000"/>
        </w:rPr>
        <w:t xml:space="preserve"> </w:t>
      </w:r>
      <w:r>
        <w:rPr>
          <w:rFonts w:ascii="Arial;sans-serif" w:hAnsi="Arial;sans-serif"/>
          <w:b w:val="false"/>
          <w:i/>
          <w:color w:val="000000"/>
          <w:sz w:val="17"/>
        </w:rPr>
        <w:t>shares</w:t>
      </w:r>
      <w:r>
        <w:rPr>
          <w:color w:val="000000"/>
        </w:rPr>
        <w:t xml:space="preserve"> </w:t>
      </w:r>
      <w:r>
        <w:rPr>
          <w:rFonts w:ascii="Arial;sans-serif" w:hAnsi="Arial;sans-serif"/>
          <w:b w:val="false"/>
          <w:i/>
          <w:color w:val="000000"/>
          <w:sz w:val="17"/>
        </w:rPr>
        <w:t>of</w:t>
      </w:r>
      <w:r>
        <w:rPr>
          <w:color w:val="000000"/>
        </w:rPr>
        <w:t xml:space="preserve"> </w:t>
      </w:r>
      <w:r>
        <w:rPr>
          <w:rFonts w:ascii="Arial;sans-serif" w:hAnsi="Arial;sans-serif"/>
          <w:b w:val="false"/>
          <w:color w:val="000000"/>
          <w:sz w:val="17"/>
        </w:rPr>
        <w:t>common</w:t>
      </w:r>
      <w:r>
        <w:rPr>
          <w:color w:val="000000"/>
        </w:rPr>
        <w:t xml:space="preserve"> </w:t>
      </w:r>
      <w:r>
        <w:rPr>
          <w:rFonts w:ascii="Arial;sans-serif" w:hAnsi="Arial;sans-serif"/>
          <w:b w:val="false"/>
          <w:i/>
          <w:color w:val="000000"/>
          <w:sz w:val="17"/>
        </w:rPr>
        <w:t>stock</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directorships</w:t>
      </w:r>
      <w:r>
        <w:rPr>
          <w:color w:val="000000"/>
        </w:rPr>
        <w:t xml:space="preserve"> </w:t>
      </w:r>
      <w:r>
        <w:rPr>
          <w:rFonts w:ascii="Arial;sans-serif" w:hAnsi="Arial;sans-serif"/>
          <w:b w:val="false"/>
          <w:i/>
          <w:color w:val="000000"/>
          <w:sz w:val="17"/>
        </w:rPr>
        <w:t>held</w:t>
      </w:r>
      <w:r>
        <w:rPr>
          <w:color w:val="000000"/>
        </w:rPr>
        <w:t xml:space="preserve"> </w:t>
      </w:r>
      <w:r>
        <w:rPr>
          <w:rFonts w:ascii="Arial;sans-serif" w:hAnsi="Arial;sans-serif"/>
          <w:b w:val="false"/>
          <w:i/>
          <w:color w:val="000000"/>
          <w:sz w:val="17"/>
        </w:rPr>
        <w:t>in the</w:t>
      </w:r>
      <w:r>
        <w:rPr>
          <w:color w:val="000000"/>
        </w:rPr>
        <w:t xml:space="preserve"> </w:t>
      </w:r>
      <w:r>
        <w:rPr>
          <w:rFonts w:ascii="Arial;sans-serif" w:hAnsi="Arial;sans-serif"/>
          <w:b w:val="false"/>
          <w:i/>
          <w:color w:val="000000"/>
          <w:sz w:val="17"/>
        </w:rPr>
        <w:t>Company,</w:t>
      </w:r>
      <w:r>
        <w:rPr>
          <w:color w:val="000000"/>
        </w:rPr>
        <w:t xml:space="preserve"> </w:t>
      </w:r>
      <w:r>
        <w:rPr>
          <w:rFonts w:ascii="Arial;sans-serif" w:hAnsi="Arial;sans-serif"/>
          <w:b w:val="false"/>
          <w:i/>
          <w:color w:val="000000"/>
          <w:sz w:val="17"/>
        </w:rPr>
        <w:t>details of</w:t>
      </w:r>
      <w:r>
        <w:rPr>
          <w:color w:val="000000"/>
        </w:rPr>
        <w:t xml:space="preserve"> </w:t>
      </w:r>
      <w:r>
        <w:rPr>
          <w:rFonts w:ascii="Arial;sans-serif" w:hAnsi="Arial;sans-serif"/>
          <w:b w:val="false"/>
          <w:i/>
          <w:color w:val="000000"/>
          <w:sz w:val="17"/>
        </w:rPr>
        <w:t>aft</w:t>
      </w:r>
      <w:r>
        <w:rPr>
          <w:color w:val="000000"/>
        </w:rPr>
        <w:t xml:space="preserve"> </w:t>
      </w:r>
      <w:r>
        <w:rPr>
          <w:rFonts w:ascii="Arial;sans-serif" w:hAnsi="Arial;sans-serif"/>
          <w:b w:val="false"/>
          <w:i/>
          <w:color w:val="000000"/>
          <w:sz w:val="17"/>
        </w:rPr>
        <w:t>awards granted</w:t>
      </w:r>
      <w:r>
        <w:rPr>
          <w:color w:val="000000"/>
        </w:rPr>
        <w:t xml:space="preserve"> </w:t>
      </w:r>
      <w:r>
        <w:rPr>
          <w:rFonts w:ascii="Arial;sans-serif" w:hAnsi="Arial;sans-serif"/>
          <w:b w:val="false"/>
          <w:i/>
          <w:color w:val="000000"/>
          <w:sz w:val="17"/>
        </w:rPr>
        <w:t>under</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Plan</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any other</w:t>
      </w:r>
      <w:r>
        <w:rPr>
          <w:color w:val="000000"/>
        </w:rPr>
        <w:t xml:space="preserve"> </w:t>
      </w:r>
      <w:r>
        <w:rPr>
          <w:rFonts w:ascii="Arial;sans-serif" w:hAnsi="Arial;sans-serif"/>
          <w:b w:val="false"/>
          <w:i/>
          <w:color w:val="000000"/>
          <w:sz w:val="17"/>
        </w:rPr>
        <w:t>entitlement</w:t>
      </w:r>
      <w:r>
        <w:rPr>
          <w:color w:val="000000"/>
        </w:rPr>
        <w:t xml:space="preserve"> </w:t>
      </w:r>
      <w:r>
        <w:rPr>
          <w:rFonts w:ascii="Arial;sans-serif" w:hAnsi="Arial;sans-serif"/>
          <w:b w:val="false"/>
          <w:color w:val="000000"/>
          <w:sz w:val="17"/>
        </w:rPr>
        <w:t>to</w:t>
      </w:r>
      <w:r>
        <w:rPr>
          <w:color w:val="000000"/>
        </w:rPr>
        <w:t xml:space="preserve"> </w:t>
      </w:r>
      <w:r>
        <w:rPr>
          <w:rFonts w:ascii="Arial;sans-serif" w:hAnsi="Arial;sans-serif"/>
          <w:b w:val="false"/>
          <w:i/>
          <w:color w:val="000000"/>
          <w:sz w:val="17"/>
        </w:rPr>
        <w:t>shares</w:t>
      </w:r>
      <w:r>
        <w:rPr>
          <w:color w:val="000000"/>
        </w:rPr>
        <w:t xml:space="preserve"> </w:t>
      </w:r>
      <w:r>
        <w:rPr>
          <w:rFonts w:ascii="Arial;sans-serif" w:hAnsi="Arial;sans-serif"/>
          <w:b w:val="false"/>
          <w:i/>
          <w:color w:val="000000"/>
          <w:sz w:val="17"/>
        </w:rPr>
        <w:t xml:space="preserve">of </w:t>
      </w:r>
      <w:r>
        <w:rPr>
          <w:rFonts w:ascii="Arial;sans-serif" w:hAnsi="Arial;sans-serif"/>
          <w:b w:val="false"/>
          <w:color w:val="000000"/>
          <w:sz w:val="17"/>
        </w:rPr>
        <w:t>common</w:t>
      </w:r>
      <w:r>
        <w:rPr>
          <w:color w:val="000000"/>
        </w:rPr>
        <w:t xml:space="preserve"> </w:t>
      </w:r>
      <w:r>
        <w:rPr>
          <w:rFonts w:ascii="Arial;sans-serif" w:hAnsi="Arial;sans-serif"/>
          <w:b w:val="false"/>
          <w:i/>
          <w:color w:val="000000"/>
          <w:sz w:val="17"/>
        </w:rPr>
        <w:t>stock awarded,</w:t>
      </w:r>
      <w:r>
        <w:rPr>
          <w:color w:val="000000"/>
        </w:rPr>
        <w:t xml:space="preserve"> </w:t>
      </w:r>
      <w:r>
        <w:rPr>
          <w:rFonts w:ascii="Arial;sans-serif" w:hAnsi="Arial;sans-serif"/>
          <w:b w:val="false"/>
          <w:i/>
          <w:color w:val="000000"/>
          <w:sz w:val="17"/>
        </w:rPr>
        <w:t>canceled,</w:t>
      </w:r>
      <w:r>
        <w:rPr>
          <w:color w:val="000000"/>
        </w:rPr>
        <w:t xml:space="preserve"> </w:t>
      </w:r>
      <w:r>
        <w:rPr>
          <w:rFonts w:ascii="Arial;sans-serif" w:hAnsi="Arial;sans-serif"/>
          <w:b w:val="false"/>
          <w:i/>
          <w:color w:val="000000"/>
          <w:sz w:val="17"/>
        </w:rPr>
        <w:t>exercised,</w:t>
      </w:r>
      <w:r>
        <w:rPr>
          <w:color w:val="000000"/>
        </w:rPr>
        <w:t xml:space="preserve"> </w:t>
      </w:r>
      <w:r>
        <w:rPr>
          <w:rFonts w:ascii="Arial;sans-serif" w:hAnsi="Arial;sans-serif"/>
          <w:b w:val="false"/>
          <w:i/>
          <w:color w:val="000000"/>
          <w:sz w:val="17"/>
        </w:rPr>
        <w:t>vested, unvested</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outstanding</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favor</w:t>
      </w:r>
      <w:r>
        <w:rPr>
          <w:color w:val="000000"/>
        </w:rPr>
        <w:t xml:space="preserve"> </w:t>
      </w:r>
      <w:r>
        <w:rPr>
          <w:rFonts w:ascii="Arial;sans-serif" w:hAnsi="Arial;sans-serif"/>
          <w:b w:val="false"/>
          <w:i/>
          <w:color w:val="000000"/>
          <w:sz w:val="17"/>
          <w:u w:val="single"/>
        </w:rPr>
        <w:t>("Data')</w:t>
      </w:r>
      <w:r>
        <w:rPr>
          <w:rFonts w:ascii="Arial;sans-serif" w:hAnsi="Arial;sans-serif"/>
          <w:b w:val="false"/>
          <w:i/>
          <w:color w:val="000000"/>
          <w:sz w:val="17"/>
        </w:rPr>
        <w:t>, for purposes</w:t>
      </w:r>
      <w:r>
        <w:rPr>
          <w:color w:val="000000"/>
        </w:rPr>
        <w:t xml:space="preserve"> </w:t>
      </w:r>
      <w:r>
        <w:rPr>
          <w:rFonts w:ascii="Arial;sans-serif" w:hAnsi="Arial;sans-serif"/>
          <w:b w:val="false"/>
          <w:i/>
          <w:color w:val="000000"/>
          <w:sz w:val="17"/>
        </w:rPr>
        <w:t>of</w:t>
      </w:r>
      <w:r>
        <w:rPr>
          <w:color w:val="000000"/>
        </w:rPr>
        <w:t xml:space="preserve"> </w:t>
      </w:r>
      <w:r>
        <w:rPr>
          <w:rFonts w:ascii="Arial;sans-serif" w:hAnsi="Arial;sans-serif"/>
          <w:b w:val="false"/>
          <w:i/>
          <w:color w:val="000000"/>
          <w:sz w:val="17"/>
        </w:rPr>
        <w:t>Implementing,</w:t>
      </w:r>
      <w:r>
        <w:rPr>
          <w:color w:val="000000"/>
        </w:rPr>
        <w:t xml:space="preserve"> </w:t>
      </w:r>
      <w:r>
        <w:rPr>
          <w:rFonts w:ascii="Arial;sans-serif" w:hAnsi="Arial;sans-serif"/>
          <w:b w:val="false"/>
          <w:i/>
          <w:color w:val="000000"/>
          <w:sz w:val="17"/>
        </w:rPr>
        <w:t>administering</w:t>
      </w:r>
      <w:r>
        <w:rPr>
          <w:color w:val="000000"/>
        </w:rPr>
        <w:t xml:space="preserve"> </w:t>
      </w:r>
      <w:r>
        <w:rPr>
          <w:rFonts w:ascii="Arial;sans-serif" w:hAnsi="Arial;sans-serif"/>
          <w:b w:val="false"/>
          <w:i/>
          <w:color w:val="000000"/>
          <w:sz w:val="17"/>
        </w:rPr>
        <w:t>and managing</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Plan. The</w:t>
      </w:r>
      <w:r>
        <w:rPr>
          <w:color w:val="000000"/>
        </w:rPr>
        <w:t xml:space="preserve"> </w:t>
      </w:r>
      <w:r>
        <w:rPr>
          <w:rFonts w:ascii="Arial;sans-serif" w:hAnsi="Arial;sans-serif"/>
          <w:b w:val="false"/>
          <w:i/>
          <w:color w:val="000000"/>
          <w:sz w:val="17"/>
        </w:rPr>
        <w:t>legal</w:t>
      </w:r>
      <w:r>
        <w:rPr>
          <w:color w:val="000000"/>
        </w:rPr>
        <w:t xml:space="preserve"> </w:t>
      </w:r>
      <w:r>
        <w:rPr>
          <w:rFonts w:ascii="Arial;sans-serif" w:hAnsi="Arial;sans-serif"/>
          <w:b w:val="false"/>
          <w:i/>
          <w:color w:val="000000"/>
          <w:sz w:val="17"/>
        </w:rPr>
        <w:t>basis,</w:t>
      </w:r>
      <w:r>
        <w:rPr>
          <w:color w:val="000000"/>
        </w:rPr>
        <w:t xml:space="preserve"> </w:t>
      </w:r>
      <w:r>
        <w:rPr>
          <w:rFonts w:ascii="Arial;sans-serif" w:hAnsi="Arial;sans-serif"/>
          <w:b w:val="false"/>
          <w:i/>
          <w:color w:val="000000"/>
          <w:sz w:val="17"/>
        </w:rPr>
        <w:t>where</w:t>
      </w:r>
      <w:r>
        <w:rPr>
          <w:color w:val="000000"/>
        </w:rPr>
        <w:t xml:space="preserve"> </w:t>
      </w:r>
      <w:r>
        <w:rPr>
          <w:rFonts w:ascii="Arial;sans-serif" w:hAnsi="Arial;sans-serif"/>
          <w:b w:val="false"/>
          <w:i/>
          <w:color w:val="000000"/>
          <w:sz w:val="17"/>
        </w:rPr>
        <w:t>required,</w:t>
      </w:r>
      <w:r>
        <w:rPr>
          <w:color w:val="000000"/>
        </w:rPr>
        <w:t xml:space="preserve"> </w:t>
      </w:r>
      <w:r>
        <w:rPr>
          <w:rFonts w:ascii="Arial;sans-serif" w:hAnsi="Arial;sans-serif"/>
          <w:b w:val="false"/>
          <w:i/>
          <w:color w:val="000000"/>
          <w:sz w:val="17"/>
        </w:rPr>
        <w:t>for the</w:t>
      </w:r>
      <w:r>
        <w:rPr>
          <w:color w:val="000000"/>
        </w:rPr>
        <w:t xml:space="preserve"> </w:t>
      </w:r>
      <w:r>
        <w:rPr>
          <w:rFonts w:ascii="Arial;sans-serif" w:hAnsi="Arial;sans-serif"/>
          <w:b w:val="false"/>
          <w:color w:val="000000"/>
          <w:sz w:val="17"/>
        </w:rPr>
        <w:t>processing of</w:t>
      </w:r>
      <w:r>
        <w:rPr>
          <w:color w:val="000000"/>
        </w:rPr>
        <w:t xml:space="preserve"> </w:t>
      </w:r>
      <w:r>
        <w:rPr>
          <w:rFonts w:ascii="Arial;sans-serif" w:hAnsi="Arial;sans-serif"/>
          <w:b w:val="false"/>
          <w:i/>
          <w:color w:val="000000"/>
          <w:sz w:val="17"/>
        </w:rPr>
        <w:t>Data</w:t>
      </w:r>
      <w:r>
        <w:rPr>
          <w:color w:val="000000"/>
        </w:rPr>
        <w:t xml:space="preserve"> </w:t>
      </w:r>
      <w:r>
        <w:rPr>
          <w:rFonts w:ascii="Arial;sans-serif" w:hAnsi="Arial;sans-serif"/>
          <w:b w:val="false"/>
          <w:i/>
          <w:color w:val="000000"/>
          <w:sz w:val="17"/>
        </w:rPr>
        <w:t>is your consent.</w:t>
      </w:r>
    </w:p>
    <w:p>
      <w:pPr>
        <w:pStyle w:val="TextBody"/>
        <w:bidi w:val="0"/>
        <w:spacing w:before="3" w:after="283"/>
        <w:jc w:val="left"/>
        <w:rPr/>
      </w:pPr>
      <w:r>
        <w:rPr/>
      </w:r>
    </w:p>
    <w:p>
      <w:pPr>
        <w:pStyle w:val="TextBody"/>
        <w:bidi w:val="0"/>
        <w:spacing w:lineRule="auto" w:line="292" w:before="0" w:after="0"/>
        <w:ind w:left="0" w:right="0" w:firstLine="3"/>
        <w:jc w:val="both"/>
        <w:rPr/>
      </w:pPr>
      <w:r>
        <w:rPr>
          <w:rFonts w:ascii="Arial;sans-serif" w:hAnsi="Arial;sans-serif"/>
          <w:b w:val="false"/>
          <w:color w:val="000000"/>
          <w:sz w:val="16"/>
          <w:u w:val="single"/>
        </w:rPr>
        <w:t xml:space="preserve">Stock Plan Administration Service Providers. </w:t>
      </w:r>
      <w:r>
        <w:rPr>
          <w:rFonts w:ascii="Arial;sans-serif" w:hAnsi="Arial;sans-serif"/>
          <w:b w:val="false"/>
          <w:i/>
          <w:color w:val="000000"/>
          <w:sz w:val="17"/>
        </w:rPr>
        <w:t>The Company may transfer Data or part thereof to ShareWorks by</w:t>
      </w:r>
      <w:r>
        <w:rPr>
          <w:color w:val="000000"/>
          <w:u w:val="single"/>
        </w:rPr>
        <w:t xml:space="preserve"> </w:t>
      </w:r>
      <w:r>
        <w:rPr>
          <w:rFonts w:ascii="Arial;sans-serif" w:hAnsi="Arial;sans-serif"/>
          <w:b w:val="false"/>
          <w:i/>
          <w:color w:val="000000"/>
          <w:sz w:val="17"/>
        </w:rPr>
        <w:t xml:space="preserve">Morgan Stanley and certain </w:t>
      </w:r>
      <w:r>
        <w:rPr>
          <w:rFonts w:ascii="Arial;sans-serif" w:hAnsi="Arial;sans-serif"/>
          <w:b w:val="false"/>
          <w:color w:val="000000"/>
          <w:sz w:val="17"/>
        </w:rPr>
        <w:t xml:space="preserve">of </w:t>
      </w:r>
      <w:r>
        <w:rPr>
          <w:rFonts w:ascii="Arial;sans-serif" w:hAnsi="Arial;sans-serif"/>
          <w:b w:val="false"/>
          <w:i/>
          <w:color w:val="000000"/>
          <w:sz w:val="17"/>
        </w:rPr>
        <w:t>its affiliated companies (“ShareWorks”), which is assisting the Company with the implementation, administration and management</w:t>
      </w:r>
      <w:r>
        <w:rPr>
          <w:color w:val="000000"/>
        </w:rPr>
        <w:t xml:space="preserve"> </w:t>
      </w:r>
      <w:r>
        <w:rPr>
          <w:rFonts w:ascii="Arial;sans-serif" w:hAnsi="Arial;sans-serif"/>
          <w:b w:val="false"/>
          <w:i/>
          <w:color w:val="000000"/>
          <w:sz w:val="17"/>
        </w:rPr>
        <w:t>of the Plan, You may be asked to agree on separate terms and data processing</w:t>
      </w:r>
      <w:r>
        <w:rPr>
          <w:color w:val="000000"/>
        </w:rPr>
        <w:t xml:space="preserve"> </w:t>
      </w:r>
      <w:r>
        <w:rPr>
          <w:rFonts w:ascii="Arial;sans-serif" w:hAnsi="Arial;sans-serif"/>
          <w:b w:val="false"/>
          <w:i/>
          <w:color w:val="000000"/>
          <w:sz w:val="17"/>
        </w:rPr>
        <w:t>practices</w:t>
      </w:r>
      <w:r>
        <w:rPr>
          <w:color w:val="000000"/>
        </w:rPr>
        <w:t xml:space="preserve"> </w:t>
      </w:r>
      <w:r>
        <w:rPr>
          <w:rFonts w:ascii="Arial;sans-serif" w:hAnsi="Arial;sans-serif"/>
          <w:b w:val="false"/>
          <w:i/>
          <w:color w:val="000000"/>
          <w:sz w:val="17"/>
        </w:rPr>
        <w:t>with</w:t>
      </w:r>
      <w:r>
        <w:rPr>
          <w:color w:val="000000"/>
        </w:rPr>
        <w:t xml:space="preserve"> </w:t>
      </w:r>
      <w:r>
        <w:rPr>
          <w:rFonts w:ascii="Arial;sans-serif" w:hAnsi="Arial;sans-serif"/>
          <w:b w:val="false"/>
          <w:i/>
          <w:color w:val="000000"/>
          <w:sz w:val="17"/>
        </w:rPr>
        <w:t>ShareWorks,</w:t>
      </w:r>
      <w:r>
        <w:rPr>
          <w:color w:val="000000"/>
        </w:rPr>
        <w:t xml:space="preserve"> </w:t>
      </w:r>
      <w:r>
        <w:rPr>
          <w:rFonts w:ascii="Arial;sans-serif" w:hAnsi="Arial;sans-serif"/>
          <w:b w:val="false"/>
          <w:i/>
          <w:color w:val="000000"/>
          <w:sz w:val="17"/>
        </w:rPr>
        <w:t>with</w:t>
      </w:r>
      <w:r>
        <w:rPr>
          <w:color w:val="000000"/>
        </w:rPr>
        <w:t xml:space="preserve"> </w:t>
      </w:r>
      <w:r>
        <w:rPr>
          <w:rFonts w:ascii="Arial;sans-serif" w:hAnsi="Arial;sans-serif"/>
          <w:b w:val="false"/>
          <w:i/>
          <w:color w:val="000000"/>
          <w:sz w:val="17"/>
        </w:rPr>
        <w:t>such</w:t>
      </w:r>
      <w:r>
        <w:rPr>
          <w:color w:val="000000"/>
        </w:rPr>
        <w:t xml:space="preserve"> </w:t>
      </w:r>
      <w:r>
        <w:rPr>
          <w:rFonts w:ascii="Arial;sans-serif" w:hAnsi="Arial;sans-serif"/>
          <w:b w:val="false"/>
          <w:i/>
          <w:color w:val="000000"/>
          <w:sz w:val="17"/>
        </w:rPr>
        <w:t>agreement</w:t>
      </w:r>
      <w:r>
        <w:rPr>
          <w:color w:val="000000"/>
        </w:rPr>
        <w:t xml:space="preserve"> </w:t>
      </w:r>
      <w:r>
        <w:rPr>
          <w:rFonts w:ascii="Arial;sans-serif" w:hAnsi="Arial;sans-serif"/>
          <w:b w:val="false"/>
          <w:i/>
          <w:color w:val="000000"/>
          <w:sz w:val="17"/>
        </w:rPr>
        <w:t>being</w:t>
      </w:r>
      <w:r>
        <w:rPr>
          <w:color w:val="000000"/>
        </w:rPr>
        <w:t xml:space="preserve"> </w:t>
      </w:r>
      <w:r>
        <w:rPr>
          <w:rFonts w:ascii="Arial;sans-serif" w:hAnsi="Arial;sans-serif"/>
          <w:b w:val="false"/>
          <w:i/>
          <w:color w:val="000000"/>
          <w:sz w:val="17"/>
        </w:rPr>
        <w:t>a</w:t>
      </w:r>
      <w:r>
        <w:rPr>
          <w:color w:val="000000"/>
        </w:rPr>
        <w:t xml:space="preserve"> </w:t>
      </w:r>
      <w:r>
        <w:rPr>
          <w:rFonts w:ascii="Arial;sans-serif" w:hAnsi="Arial;sans-serif"/>
          <w:b w:val="false"/>
          <w:i/>
          <w:color w:val="000000"/>
          <w:sz w:val="17"/>
        </w:rPr>
        <w:t>condition</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ability</w:t>
      </w:r>
      <w:r>
        <w:rPr>
          <w:color w:val="000000"/>
        </w:rPr>
        <w:t xml:space="preserve"> </w:t>
      </w:r>
      <w:r>
        <w:rPr>
          <w:rFonts w:ascii="Arial;sans-serif" w:hAnsi="Arial;sans-serif"/>
          <w:b w:val="false"/>
          <w:i/>
          <w:color w:val="000000"/>
          <w:sz w:val="17"/>
        </w:rPr>
        <w:t>to</w:t>
      </w:r>
      <w:r>
        <w:rPr>
          <w:color w:val="000000"/>
        </w:rPr>
        <w:t xml:space="preserve"> </w:t>
      </w:r>
      <w:r>
        <w:rPr>
          <w:rFonts w:ascii="Arial;sans-serif" w:hAnsi="Arial;sans-serif"/>
          <w:b w:val="false"/>
          <w:i/>
          <w:color w:val="000000"/>
          <w:sz w:val="17"/>
        </w:rPr>
        <w:t>participate</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Plan.</w:t>
      </w:r>
    </w:p>
    <w:p>
      <w:pPr>
        <w:pStyle w:val="TextBody"/>
        <w:bidi w:val="0"/>
        <w:spacing w:before="5" w:after="283"/>
        <w:jc w:val="left"/>
        <w:rPr/>
      </w:pPr>
      <w:r>
        <w:rPr/>
      </w:r>
    </w:p>
    <w:p>
      <w:pPr>
        <w:pStyle w:val="TextBody"/>
        <w:bidi w:val="0"/>
        <w:spacing w:lineRule="auto" w:line="288" w:before="0" w:after="0"/>
        <w:jc w:val="left"/>
        <w:rPr/>
      </w:pPr>
      <w:r>
        <w:rPr>
          <w:rFonts w:ascii="Arial;sans-serif" w:hAnsi="Arial;sans-serif"/>
          <w:b w:val="false"/>
          <w:i/>
          <w:color w:val="000000"/>
          <w:sz w:val="17"/>
          <w:u w:val="single"/>
        </w:rPr>
        <w:t>International</w:t>
      </w:r>
      <w:r>
        <w:rPr>
          <w:color w:val="000000"/>
        </w:rPr>
        <w:t xml:space="preserve"> </w:t>
      </w:r>
      <w:r>
        <w:rPr>
          <w:rFonts w:ascii="Arial;sans-serif" w:hAnsi="Arial;sans-serif"/>
          <w:b w:val="false"/>
          <w:i/>
          <w:color w:val="000000"/>
          <w:sz w:val="17"/>
          <w:u w:val="single"/>
        </w:rPr>
        <w:t>Data</w:t>
      </w:r>
      <w:r>
        <w:rPr>
          <w:color w:val="000000"/>
          <w:u w:val="single"/>
        </w:rPr>
        <w:t xml:space="preserve"> </w:t>
      </w:r>
      <w:r>
        <w:rPr>
          <w:rFonts w:ascii="Arial;sans-serif" w:hAnsi="Arial;sans-serif"/>
          <w:b w:val="false"/>
          <w:i/>
          <w:color w:val="000000"/>
          <w:sz w:val="17"/>
          <w:u w:val="single"/>
        </w:rPr>
        <w:t>Transfers</w:t>
      </w:r>
      <w:r>
        <w:rPr>
          <w:rFonts w:ascii="Arial;sans-serif" w:hAnsi="Arial;sans-serif"/>
          <w:b w:val="false"/>
          <w:i/>
          <w:color w:val="000000"/>
          <w:sz w:val="17"/>
        </w:rPr>
        <w:t>.</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Company</w:t>
      </w:r>
      <w:r>
        <w:rPr>
          <w:color w:val="000000"/>
        </w:rPr>
        <w:t xml:space="preserve"> </w:t>
      </w:r>
      <w:r>
        <w:rPr>
          <w:rFonts w:ascii="Arial;sans-serif" w:hAnsi="Arial;sans-serif"/>
          <w:b w:val="false"/>
          <w:i/>
          <w:color w:val="000000"/>
          <w:sz w:val="17"/>
        </w:rPr>
        <w:t>is</w:t>
      </w:r>
      <w:r>
        <w:rPr>
          <w:color w:val="000000"/>
        </w:rPr>
        <w:t xml:space="preserve"> </w:t>
      </w:r>
      <w:r>
        <w:rPr>
          <w:rFonts w:ascii="Arial;sans-serif" w:hAnsi="Arial;sans-serif"/>
          <w:b w:val="false"/>
          <w:i/>
          <w:color w:val="000000"/>
          <w:sz w:val="17"/>
        </w:rPr>
        <w:t>based</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United</w:t>
      </w:r>
      <w:r>
        <w:rPr>
          <w:color w:val="000000"/>
        </w:rPr>
        <w:t xml:space="preserve"> </w:t>
      </w:r>
      <w:r>
        <w:rPr>
          <w:rFonts w:ascii="Arial;sans-serif" w:hAnsi="Arial;sans-serif"/>
          <w:b w:val="false"/>
          <w:i/>
          <w:color w:val="000000"/>
          <w:sz w:val="17"/>
        </w:rPr>
        <w:t>States.</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country</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jurisdiction</w:t>
      </w:r>
      <w:r>
        <w:rPr>
          <w:color w:val="000000"/>
        </w:rPr>
        <w:t xml:space="preserve"> </w:t>
      </w:r>
      <w:r>
        <w:rPr>
          <w:rFonts w:ascii="Arial;sans-serif" w:hAnsi="Arial;sans-serif"/>
          <w:b w:val="false"/>
          <w:i/>
          <w:color w:val="000000"/>
          <w:sz w:val="17"/>
        </w:rPr>
        <w:t>may</w:t>
      </w:r>
      <w:r>
        <w:rPr>
          <w:color w:val="000000"/>
        </w:rPr>
        <w:t xml:space="preserve"> </w:t>
      </w:r>
      <w:r>
        <w:rPr>
          <w:rFonts w:ascii="Arial;sans-serif" w:hAnsi="Arial;sans-serif"/>
          <w:b w:val="false"/>
          <w:i/>
          <w:color w:val="000000"/>
          <w:sz w:val="17"/>
        </w:rPr>
        <w:t>have</w:t>
      </w:r>
    </w:p>
    <w:p>
      <w:pPr>
        <w:pStyle w:val="TextBody"/>
        <w:bidi w:val="0"/>
        <w:spacing w:lineRule="auto" w:line="192" w:before="47" w:after="283"/>
        <w:ind w:left="0" w:right="0" w:hanging="801"/>
        <w:jc w:val="left"/>
        <w:rPr/>
      </w:pPr>
      <w:r>
        <w:rPr>
          <w:color w:val="000000"/>
        </w:rPr>
        <w:t>        </w:t>
      </w:r>
      <w:r>
        <w:rPr>
          <w:rFonts w:ascii="Arial;sans-serif" w:hAnsi="Arial;sans-serif"/>
          <w:b w:val="false"/>
          <w:i/>
          <w:color w:val="000000"/>
          <w:sz w:val="17"/>
        </w:rPr>
        <w:t>different data</w:t>
      </w:r>
      <w:r>
        <w:rPr>
          <w:color w:val="000000"/>
        </w:rPr>
        <w:t xml:space="preserve"> </w:t>
      </w:r>
      <w:r>
        <w:rPr>
          <w:rFonts w:ascii="Arial;sans-serif" w:hAnsi="Arial;sans-serif"/>
          <w:b w:val="false"/>
          <w:i/>
          <w:color w:val="000000"/>
          <w:sz w:val="17"/>
        </w:rPr>
        <w:t>privacy laws</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protections</w:t>
      </w:r>
      <w:r>
        <w:rPr>
          <w:color w:val="000000"/>
        </w:rPr>
        <w:t xml:space="preserve"> </w:t>
      </w:r>
      <w:r>
        <w:rPr>
          <w:rFonts w:ascii="Arial;sans-serif" w:hAnsi="Arial;sans-serif"/>
          <w:b w:val="false"/>
          <w:i/>
          <w:color w:val="000000"/>
          <w:sz w:val="17"/>
        </w:rPr>
        <w:t>than the United</w:t>
      </w:r>
      <w:r>
        <w:rPr>
          <w:color w:val="000000"/>
        </w:rPr>
        <w:t xml:space="preserve"> </w:t>
      </w:r>
      <w:r>
        <w:rPr>
          <w:rFonts w:ascii="Arial;sans-serif" w:hAnsi="Arial;sans-serif"/>
          <w:b w:val="false"/>
          <w:i/>
          <w:color w:val="000000"/>
          <w:sz w:val="17"/>
        </w:rPr>
        <w:t>States.</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Company's legal</w:t>
      </w:r>
      <w:r>
        <w:rPr>
          <w:color w:val="000000"/>
        </w:rPr>
        <w:t xml:space="preserve"> </w:t>
      </w:r>
      <w:r>
        <w:rPr>
          <w:rFonts w:ascii="Arial;sans-serif" w:hAnsi="Arial;sans-serif"/>
          <w:b w:val="false"/>
          <w:i/>
          <w:color w:val="000000"/>
          <w:sz w:val="17"/>
        </w:rPr>
        <w:t xml:space="preserve">basis for the transfer </w:t>
      </w:r>
      <w:r>
        <w:rPr>
          <w:rFonts w:ascii="Arial;sans-serif" w:hAnsi="Arial;sans-serif"/>
          <w:b w:val="false"/>
          <w:color w:val="000000"/>
          <w:sz w:val="17"/>
        </w:rPr>
        <w:t>of</w:t>
      </w:r>
      <w:r>
        <w:rPr>
          <w:color w:val="000000"/>
        </w:rPr>
        <w:t xml:space="preserve"> </w:t>
      </w:r>
      <w:r>
        <w:rPr>
          <w:rFonts w:ascii="Arial;sans-serif" w:hAnsi="Arial;sans-serif"/>
          <w:b w:val="false"/>
          <w:i/>
          <w:color w:val="000000"/>
          <w:sz w:val="17"/>
        </w:rPr>
        <w:t>Data, where required, is your consent.</w:t>
      </w:r>
    </w:p>
    <w:p>
      <w:pPr>
        <w:pStyle w:val="TextBody"/>
        <w:bidi w:val="0"/>
        <w:spacing w:before="44" w:after="283"/>
        <w:jc w:val="left"/>
        <w:rPr/>
      </w:pPr>
      <w:r>
        <w:rPr/>
      </w:r>
    </w:p>
    <w:p>
      <w:pPr>
        <w:pStyle w:val="TextBody"/>
        <w:bidi w:val="0"/>
        <w:spacing w:lineRule="auto" w:line="259" w:before="0" w:after="0"/>
        <w:ind w:left="0" w:right="0" w:firstLine="2"/>
        <w:jc w:val="both"/>
        <w:rPr/>
      </w:pPr>
      <w:r>
        <w:rPr>
          <w:rFonts w:ascii="Arial;sans-serif" w:hAnsi="Arial;sans-serif"/>
          <w:b w:val="false"/>
          <w:i/>
          <w:color w:val="000000"/>
          <w:sz w:val="17"/>
          <w:u w:val="single"/>
        </w:rPr>
        <w:t>Data Retention.</w:t>
      </w:r>
      <w:r>
        <w:rPr>
          <w:color w:val="000000"/>
        </w:rPr>
        <w:t xml:space="preserve"> </w:t>
      </w:r>
      <w:r>
        <w:rPr>
          <w:rFonts w:ascii="Arial;sans-serif" w:hAnsi="Arial;sans-serif"/>
          <w:b w:val="false"/>
          <w:i/>
          <w:color w:val="000000"/>
          <w:sz w:val="17"/>
        </w:rPr>
        <w:t>The Company will hold</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use</w:t>
      </w:r>
      <w:r>
        <w:rPr>
          <w:color w:val="000000"/>
        </w:rPr>
        <w:t xml:space="preserve"> </w:t>
      </w:r>
      <w:r>
        <w:rPr>
          <w:rFonts w:ascii="Arial;sans-serif" w:hAnsi="Arial;sans-serif"/>
          <w:b w:val="false"/>
          <w:i/>
          <w:color w:val="000000"/>
          <w:sz w:val="17"/>
        </w:rPr>
        <w:t xml:space="preserve">Data only </w:t>
      </w:r>
      <w:r>
        <w:rPr>
          <w:rFonts w:ascii="Arial;sans-serif" w:hAnsi="Arial;sans-serif"/>
          <w:b w:val="false"/>
          <w:color w:val="000000"/>
          <w:sz w:val="17"/>
        </w:rPr>
        <w:t>as</w:t>
      </w:r>
      <w:r>
        <w:rPr>
          <w:color w:val="000000"/>
        </w:rPr>
        <w:t xml:space="preserve"> </w:t>
      </w:r>
      <w:r>
        <w:rPr>
          <w:rFonts w:ascii="Arial;sans-serif" w:hAnsi="Arial;sans-serif"/>
          <w:b w:val="false"/>
          <w:i/>
          <w:color w:val="000000"/>
          <w:sz w:val="17"/>
        </w:rPr>
        <w:t>long</w:t>
      </w:r>
      <w:r>
        <w:rPr>
          <w:color w:val="000000"/>
        </w:rPr>
        <w:t xml:space="preserve"> </w:t>
      </w:r>
      <w:r>
        <w:rPr>
          <w:rFonts w:ascii="Arial;sans-serif" w:hAnsi="Arial;sans-serif"/>
          <w:b w:val="false"/>
          <w:color w:val="000000"/>
          <w:sz w:val="17"/>
        </w:rPr>
        <w:t>as</w:t>
      </w:r>
      <w:r>
        <w:rPr>
          <w:color w:val="000000"/>
        </w:rPr>
        <w:t xml:space="preserve"> </w:t>
      </w:r>
      <w:r>
        <w:rPr>
          <w:rFonts w:ascii="Arial;sans-serif" w:hAnsi="Arial;sans-serif"/>
          <w:b w:val="false"/>
          <w:color w:val="000000"/>
          <w:sz w:val="17"/>
        </w:rPr>
        <w:t xml:space="preserve">is </w:t>
      </w:r>
      <w:r>
        <w:rPr>
          <w:rFonts w:ascii="Arial;sans-serif" w:hAnsi="Arial;sans-serif"/>
          <w:b w:val="false"/>
          <w:i/>
          <w:color w:val="000000"/>
          <w:sz w:val="17"/>
        </w:rPr>
        <w:t>necessary to implement, administer and manage</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participation</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Plan,</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as</w:t>
      </w:r>
      <w:r>
        <w:rPr>
          <w:color w:val="000000"/>
        </w:rPr>
        <w:t xml:space="preserve"> </w:t>
      </w:r>
      <w:r>
        <w:rPr>
          <w:rFonts w:ascii="Arial;sans-serif" w:hAnsi="Arial;sans-serif"/>
          <w:b w:val="false"/>
          <w:i/>
          <w:color w:val="000000"/>
          <w:sz w:val="17"/>
        </w:rPr>
        <w:t>required to</w:t>
      </w:r>
      <w:r>
        <w:rPr>
          <w:color w:val="000000"/>
        </w:rPr>
        <w:t xml:space="preserve"> </w:t>
      </w:r>
      <w:r>
        <w:rPr>
          <w:rFonts w:ascii="Arial;sans-serif" w:hAnsi="Arial;sans-serif"/>
          <w:b w:val="false"/>
          <w:i/>
          <w:color w:val="000000"/>
          <w:sz w:val="17"/>
        </w:rPr>
        <w:t>comply</w:t>
      </w:r>
      <w:r>
        <w:rPr>
          <w:color w:val="000000"/>
        </w:rPr>
        <w:t xml:space="preserve"> </w:t>
      </w:r>
      <w:r>
        <w:rPr>
          <w:rFonts w:ascii="Arial;sans-serif" w:hAnsi="Arial;sans-serif"/>
          <w:b w:val="false"/>
          <w:i/>
          <w:color w:val="000000"/>
          <w:sz w:val="17"/>
        </w:rPr>
        <w:t>with</w:t>
      </w:r>
      <w:r>
        <w:rPr>
          <w:color w:val="000000"/>
        </w:rPr>
        <w:t xml:space="preserve"> </w:t>
      </w:r>
      <w:r>
        <w:rPr>
          <w:rFonts w:ascii="Arial;sans-serif" w:hAnsi="Arial;sans-serif"/>
          <w:b w:val="false"/>
          <w:i/>
          <w:color w:val="000000"/>
          <w:sz w:val="17"/>
        </w:rPr>
        <w:t>legal</w:t>
      </w:r>
      <w:r>
        <w:rPr>
          <w:color w:val="000000"/>
        </w:rPr>
        <w:t xml:space="preserve"> </w:t>
      </w:r>
      <w:r>
        <w:rPr>
          <w:rFonts w:ascii="Times New Roman;serif" w:hAnsi="Times New Roman;serif"/>
          <w:b w:val="false"/>
          <w:color w:val="000000"/>
          <w:sz w:val="20"/>
        </w:rPr>
        <w:t>or</w:t>
      </w:r>
      <w:r>
        <w:rPr>
          <w:color w:val="000000"/>
        </w:rPr>
        <w:t xml:space="preserve"> </w:t>
      </w:r>
      <w:r>
        <w:rPr>
          <w:rFonts w:ascii="Arial;sans-serif" w:hAnsi="Arial;sans-serif"/>
          <w:b w:val="false"/>
          <w:i/>
          <w:color w:val="000000"/>
          <w:sz w:val="17"/>
        </w:rPr>
        <w:t>regulatory</w:t>
      </w:r>
      <w:r>
        <w:rPr>
          <w:color w:val="000000"/>
        </w:rPr>
        <w:t xml:space="preserve"> </w:t>
      </w:r>
      <w:r>
        <w:rPr>
          <w:rFonts w:ascii="Arial;sans-serif" w:hAnsi="Arial;sans-serif"/>
          <w:b w:val="false"/>
          <w:i/>
          <w:color w:val="000000"/>
          <w:sz w:val="17"/>
        </w:rPr>
        <w:t>obligations,</w:t>
      </w:r>
      <w:r>
        <w:rPr>
          <w:color w:val="000000"/>
        </w:rPr>
        <w:t xml:space="preserve"> </w:t>
      </w:r>
      <w:r>
        <w:rPr>
          <w:rFonts w:ascii="Arial;sans-serif" w:hAnsi="Arial;sans-serif"/>
          <w:b w:val="false"/>
          <w:i/>
          <w:color w:val="000000"/>
          <w:sz w:val="17"/>
        </w:rPr>
        <w:t>including</w:t>
      </w:r>
      <w:r>
        <w:rPr>
          <w:color w:val="000000"/>
        </w:rPr>
        <w:t xml:space="preserve"> </w:t>
      </w:r>
      <w:r>
        <w:rPr>
          <w:rFonts w:ascii="Arial;sans-serif" w:hAnsi="Arial;sans-serif"/>
          <w:b w:val="false"/>
          <w:i/>
          <w:color w:val="000000"/>
          <w:sz w:val="17"/>
        </w:rPr>
        <w:t>under tax and security laws.</w:t>
      </w:r>
    </w:p>
    <w:p>
      <w:pPr>
        <w:pStyle w:val="TextBody"/>
        <w:bidi w:val="0"/>
        <w:spacing w:before="31" w:after="283"/>
        <w:jc w:val="left"/>
        <w:rPr/>
      </w:pPr>
      <w:r>
        <w:rPr/>
      </w:r>
    </w:p>
    <w:p>
      <w:pPr>
        <w:pStyle w:val="TextBody"/>
        <w:bidi w:val="0"/>
        <w:spacing w:lineRule="auto" w:line="266" w:before="0" w:after="0"/>
        <w:ind w:left="0" w:right="0" w:firstLine="5"/>
        <w:jc w:val="both"/>
        <w:rPr/>
      </w:pPr>
      <w:r>
        <w:rPr>
          <w:rFonts w:ascii="Arial;sans-serif" w:hAnsi="Arial;sans-serif"/>
          <w:b w:val="false"/>
          <w:i/>
          <w:color w:val="000000"/>
          <w:sz w:val="17"/>
          <w:u w:val="single"/>
        </w:rPr>
        <w:t>Voluntariness and Consequences</w:t>
      </w:r>
      <w:r>
        <w:rPr>
          <w:color w:val="000000"/>
          <w:u w:val="single"/>
        </w:rPr>
        <w:t xml:space="preserve"> </w:t>
      </w:r>
      <w:r>
        <w:rPr>
          <w:rFonts w:ascii="Arial;sans-serif" w:hAnsi="Arial;sans-serif"/>
          <w:b w:val="false"/>
          <w:i/>
          <w:color w:val="000000"/>
          <w:sz w:val="17"/>
          <w:u w:val="single"/>
        </w:rPr>
        <w:t>of Consent Denial or Withdrawal</w:t>
      </w:r>
      <w:r>
        <w:rPr>
          <w:rFonts w:ascii="Arial;sans-serif" w:hAnsi="Arial;sans-serif"/>
          <w:b w:val="false"/>
          <w:i/>
          <w:color w:val="000000"/>
          <w:sz w:val="17"/>
        </w:rPr>
        <w:t>.</w:t>
      </w:r>
      <w:r>
        <w:rPr>
          <w:color w:val="000000"/>
        </w:rPr>
        <w:t xml:space="preserve"> </w:t>
      </w:r>
      <w:r>
        <w:rPr>
          <w:rFonts w:ascii="Arial;sans-serif" w:hAnsi="Arial;sans-serif"/>
          <w:b w:val="false"/>
          <w:i/>
          <w:color w:val="000000"/>
          <w:sz w:val="17"/>
        </w:rPr>
        <w:t xml:space="preserve">Participation in the Plan </w:t>
      </w:r>
      <w:r>
        <w:rPr>
          <w:rFonts w:ascii="Arial;sans-serif" w:hAnsi="Arial;sans-serif"/>
          <w:b w:val="false"/>
          <w:color w:val="000000"/>
          <w:sz w:val="17"/>
        </w:rPr>
        <w:t xml:space="preserve">is </w:t>
      </w:r>
      <w:r>
        <w:rPr>
          <w:rFonts w:ascii="Arial;sans-serif" w:hAnsi="Arial;sans-serif"/>
          <w:b w:val="false"/>
          <w:i/>
          <w:color w:val="000000"/>
          <w:sz w:val="17"/>
        </w:rPr>
        <w:t>voluntary and you are providing</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consents</w:t>
      </w:r>
      <w:r>
        <w:rPr>
          <w:color w:val="000000"/>
        </w:rPr>
        <w:t xml:space="preserve"> </w:t>
      </w:r>
      <w:r>
        <w:rPr>
          <w:rFonts w:ascii="Arial;sans-serif" w:hAnsi="Arial;sans-serif"/>
          <w:b w:val="false"/>
          <w:i/>
          <w:color w:val="000000"/>
          <w:sz w:val="17"/>
        </w:rPr>
        <w:t>herein</w:t>
      </w:r>
      <w:r>
        <w:rPr>
          <w:color w:val="000000"/>
        </w:rPr>
        <w:t xml:space="preserve"> </w:t>
      </w:r>
      <w:r>
        <w:rPr>
          <w:rFonts w:ascii="Arial;sans-serif" w:hAnsi="Arial;sans-serif"/>
          <w:b w:val="false"/>
          <w:i/>
          <w:color w:val="000000"/>
          <w:sz w:val="17"/>
        </w:rPr>
        <w:t>on</w:t>
      </w:r>
      <w:r>
        <w:rPr>
          <w:color w:val="000000"/>
        </w:rPr>
        <w:t xml:space="preserve"> </w:t>
      </w:r>
      <w:r>
        <w:rPr>
          <w:rFonts w:ascii="Arial;sans-serif" w:hAnsi="Arial;sans-serif"/>
          <w:b w:val="false"/>
          <w:i/>
          <w:color w:val="000000"/>
          <w:sz w:val="17"/>
        </w:rPr>
        <w:t>a</w:t>
      </w:r>
      <w:r>
        <w:rPr>
          <w:color w:val="000000"/>
        </w:rPr>
        <w:t xml:space="preserve"> </w:t>
      </w:r>
      <w:r>
        <w:rPr>
          <w:rFonts w:ascii="Arial;sans-serif" w:hAnsi="Arial;sans-serif"/>
          <w:b w:val="false"/>
          <w:i/>
          <w:color w:val="000000"/>
          <w:sz w:val="17"/>
        </w:rPr>
        <w:t>purely</w:t>
      </w:r>
      <w:r>
        <w:rPr>
          <w:color w:val="000000"/>
        </w:rPr>
        <w:t xml:space="preserve"> </w:t>
      </w:r>
      <w:r>
        <w:rPr>
          <w:rFonts w:ascii="Arial;sans-serif" w:hAnsi="Arial;sans-serif"/>
          <w:b w:val="false"/>
          <w:i/>
          <w:color w:val="000000"/>
          <w:sz w:val="17"/>
        </w:rPr>
        <w:t>voluntary basis.</w:t>
      </w:r>
      <w:r>
        <w:rPr>
          <w:color w:val="000000"/>
        </w:rPr>
        <w:t xml:space="preserve"> </w:t>
      </w:r>
      <w:r>
        <w:rPr>
          <w:rFonts w:ascii="Arial;sans-serif" w:hAnsi="Arial;sans-serif"/>
          <w:b w:val="false"/>
          <w:i/>
          <w:color w:val="000000"/>
          <w:sz w:val="17"/>
        </w:rPr>
        <w:t>If you</w:t>
      </w:r>
      <w:r>
        <w:rPr>
          <w:color w:val="000000"/>
        </w:rPr>
        <w:t xml:space="preserve"> </w:t>
      </w:r>
      <w:r>
        <w:rPr>
          <w:rFonts w:ascii="Arial;sans-serif" w:hAnsi="Arial;sans-serif"/>
          <w:b w:val="false"/>
          <w:i/>
          <w:color w:val="000000"/>
          <w:sz w:val="17"/>
        </w:rPr>
        <w:t>do</w:t>
      </w:r>
      <w:r>
        <w:rPr>
          <w:color w:val="000000"/>
        </w:rPr>
        <w:t xml:space="preserve"> </w:t>
      </w:r>
      <w:r>
        <w:rPr>
          <w:rFonts w:ascii="Arial;sans-serif" w:hAnsi="Arial;sans-serif"/>
          <w:b w:val="false"/>
          <w:i/>
          <w:color w:val="000000"/>
          <w:sz w:val="17"/>
        </w:rPr>
        <w:t>not</w:t>
      </w:r>
      <w:r>
        <w:rPr>
          <w:color w:val="000000"/>
        </w:rPr>
        <w:t xml:space="preserve"> </w:t>
      </w:r>
      <w:r>
        <w:rPr>
          <w:rFonts w:ascii="Arial;sans-serif" w:hAnsi="Arial;sans-serif"/>
          <w:b w:val="false"/>
          <w:i/>
          <w:color w:val="000000"/>
          <w:sz w:val="17"/>
        </w:rPr>
        <w:t>consent,</w:t>
      </w:r>
      <w:r>
        <w:rPr>
          <w:color w:val="000000"/>
        </w:rPr>
        <w:t xml:space="preserve"> </w:t>
      </w:r>
      <w:r>
        <w:rPr>
          <w:rFonts w:ascii="Times New Roman;serif" w:hAnsi="Times New Roman;serif"/>
          <w:b w:val="false"/>
          <w:color w:val="000000"/>
          <w:sz w:val="20"/>
        </w:rPr>
        <w:t>or</w:t>
      </w:r>
      <w:r>
        <w:rPr>
          <w:color w:val="000000"/>
        </w:rPr>
        <w:t xml:space="preserve"> </w:t>
      </w:r>
      <w:r>
        <w:rPr>
          <w:rFonts w:ascii="Arial;sans-serif" w:hAnsi="Arial;sans-serif"/>
          <w:b w:val="false"/>
          <w:i/>
          <w:color w:val="000000"/>
          <w:sz w:val="17"/>
        </w:rPr>
        <w:t>if you later</w:t>
      </w:r>
      <w:r>
        <w:rPr>
          <w:color w:val="000000"/>
        </w:rPr>
        <w:t xml:space="preserve"> </w:t>
      </w:r>
      <w:r>
        <w:rPr>
          <w:rFonts w:ascii="Arial;sans-serif" w:hAnsi="Arial;sans-serif"/>
          <w:b w:val="false"/>
          <w:i/>
          <w:color w:val="000000"/>
          <w:sz w:val="17"/>
        </w:rPr>
        <w:t xml:space="preserve">seek </w:t>
      </w:r>
      <w:r>
        <w:rPr>
          <w:rFonts w:ascii="Arial;sans-serif" w:hAnsi="Arial;sans-serif"/>
          <w:b w:val="false"/>
          <w:color w:val="000000"/>
          <w:sz w:val="16"/>
        </w:rPr>
        <w:t xml:space="preserve">to </w:t>
      </w:r>
      <w:r>
        <w:rPr>
          <w:rFonts w:ascii="Arial;sans-serif" w:hAnsi="Arial;sans-serif"/>
          <w:b w:val="false"/>
          <w:i/>
          <w:color w:val="000000"/>
          <w:sz w:val="17"/>
        </w:rPr>
        <w:t>revoke</w:t>
      </w:r>
      <w:r>
        <w:rPr>
          <w:color w:val="000000"/>
        </w:rPr>
        <w:t xml:space="preserve"> </w:t>
      </w:r>
      <w:r>
        <w:rPr>
          <w:rFonts w:ascii="Arial;sans-serif" w:hAnsi="Arial;sans-serif"/>
          <w:b w:val="false"/>
          <w:i/>
          <w:color w:val="000000"/>
          <w:sz w:val="17"/>
        </w:rPr>
        <w:t>your consent,</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salary</w:t>
      </w:r>
      <w:r>
        <w:rPr>
          <w:color w:val="000000"/>
        </w:rPr>
        <w:t xml:space="preserve"> </w:t>
      </w:r>
      <w:r>
        <w:rPr>
          <w:rFonts w:ascii="Arial;sans-serif" w:hAnsi="Arial;sans-serif"/>
          <w:b w:val="false"/>
          <w:i/>
          <w:color w:val="000000"/>
          <w:sz w:val="17"/>
        </w:rPr>
        <w:t xml:space="preserve">from </w:t>
      </w:r>
      <w:r>
        <w:rPr>
          <w:rFonts w:ascii="Arial;sans-serif" w:hAnsi="Arial;sans-serif"/>
          <w:b w:val="false"/>
          <w:color w:val="000000"/>
          <w:sz w:val="17"/>
        </w:rPr>
        <w:t xml:space="preserve">or </w:t>
      </w:r>
      <w:r>
        <w:rPr>
          <w:rFonts w:ascii="Arial;sans-serif" w:hAnsi="Arial;sans-serif"/>
          <w:b w:val="false"/>
          <w:i/>
          <w:color w:val="000000"/>
          <w:sz w:val="17"/>
        </w:rPr>
        <w:t>employment</w:t>
      </w:r>
      <w:r>
        <w:rPr>
          <w:color w:val="000000"/>
        </w:rPr>
        <w:t xml:space="preserve"> </w:t>
      </w:r>
      <w:r>
        <w:rPr>
          <w:rFonts w:ascii="Arial;sans-serif" w:hAnsi="Arial;sans-serif"/>
          <w:b w:val="false"/>
          <w:i/>
          <w:color w:val="000000"/>
          <w:sz w:val="17"/>
        </w:rPr>
        <w:t>relationship</w:t>
      </w:r>
      <w:r>
        <w:rPr>
          <w:color w:val="000000"/>
        </w:rPr>
        <w:t xml:space="preserve"> </w:t>
      </w:r>
      <w:r>
        <w:rPr>
          <w:rFonts w:ascii="Arial;sans-serif" w:hAnsi="Arial;sans-serif"/>
          <w:b w:val="false"/>
          <w:i/>
          <w:color w:val="000000"/>
          <w:sz w:val="17"/>
        </w:rPr>
        <w:t>with</w:t>
      </w:r>
      <w:r>
        <w:rPr>
          <w:color w:val="000000"/>
        </w:rPr>
        <w:t xml:space="preserve"> </w:t>
      </w:r>
      <w:r>
        <w:rPr>
          <w:rFonts w:ascii="Arial;sans-serif" w:hAnsi="Arial;sans-serif"/>
          <w:b w:val="false"/>
          <w:i/>
          <w:color w:val="000000"/>
          <w:sz w:val="17"/>
        </w:rPr>
        <w:t>your employer will</w:t>
      </w:r>
      <w:r>
        <w:rPr>
          <w:color w:val="000000"/>
        </w:rPr>
        <w:t xml:space="preserve"> </w:t>
      </w:r>
      <w:r>
        <w:rPr>
          <w:rFonts w:ascii="Arial;sans-serif" w:hAnsi="Arial;sans-serif"/>
          <w:b w:val="false"/>
          <w:i/>
          <w:color w:val="000000"/>
          <w:sz w:val="17"/>
        </w:rPr>
        <w:t>not</w:t>
      </w:r>
      <w:r>
        <w:rPr>
          <w:color w:val="000000"/>
        </w:rPr>
        <w:t xml:space="preserve"> </w:t>
      </w:r>
      <w:r>
        <w:rPr>
          <w:rFonts w:ascii="Arial;sans-serif" w:hAnsi="Arial;sans-serif"/>
          <w:b w:val="false"/>
          <w:i/>
          <w:color w:val="000000"/>
          <w:sz w:val="17"/>
        </w:rPr>
        <w:t>be</w:t>
      </w:r>
      <w:r>
        <w:rPr>
          <w:color w:val="000000"/>
        </w:rPr>
        <w:t xml:space="preserve"> </w:t>
      </w:r>
      <w:r>
        <w:rPr>
          <w:rFonts w:ascii="Arial;sans-serif" w:hAnsi="Arial;sans-serif"/>
          <w:b w:val="false"/>
          <w:i/>
          <w:color w:val="000000"/>
          <w:sz w:val="17"/>
        </w:rPr>
        <w:t>affected. The only</w:t>
      </w:r>
      <w:r>
        <w:rPr>
          <w:color w:val="000000"/>
        </w:rPr>
        <w:t xml:space="preserve"> </w:t>
      </w:r>
      <w:r>
        <w:rPr>
          <w:rFonts w:ascii="Arial;sans-serif" w:hAnsi="Arial;sans-serif"/>
          <w:b w:val="false"/>
          <w:i/>
          <w:color w:val="000000"/>
          <w:sz w:val="17"/>
        </w:rPr>
        <w:t>consequence of</w:t>
      </w:r>
      <w:r>
        <w:rPr>
          <w:color w:val="000000"/>
        </w:rPr>
        <w:t xml:space="preserve"> </w:t>
      </w:r>
      <w:r>
        <w:rPr>
          <w:rFonts w:ascii="Arial;sans-serif" w:hAnsi="Arial;sans-serif"/>
          <w:b w:val="false"/>
          <w:i/>
          <w:color w:val="000000"/>
          <w:sz w:val="17"/>
        </w:rPr>
        <w:t>refusing</w:t>
      </w:r>
      <w:r>
        <w:rPr>
          <w:color w:val="000000"/>
        </w:rPr>
        <w:t xml:space="preserve"> </w:t>
      </w:r>
      <w:r>
        <w:rPr>
          <w:rFonts w:ascii="Arial;sans-serif" w:hAnsi="Arial;sans-serif"/>
          <w:b w:val="false"/>
          <w:i/>
          <w:color w:val="000000"/>
          <w:sz w:val="17"/>
        </w:rPr>
        <w:t>or withdrawing consent</w:t>
      </w:r>
      <w:r>
        <w:rPr>
          <w:color w:val="000000"/>
        </w:rPr>
        <w:t xml:space="preserve"> </w:t>
      </w:r>
      <w:r>
        <w:rPr>
          <w:rFonts w:ascii="Arial;sans-serif" w:hAnsi="Arial;sans-serif"/>
          <w:b w:val="false"/>
          <w:i/>
          <w:color w:val="000000"/>
          <w:sz w:val="17"/>
        </w:rPr>
        <w:t>is</w:t>
      </w:r>
      <w:r>
        <w:rPr>
          <w:color w:val="000000"/>
        </w:rPr>
        <w:t xml:space="preserve"> </w:t>
      </w:r>
      <w:r>
        <w:rPr>
          <w:rFonts w:ascii="Arial;sans-serif" w:hAnsi="Arial;sans-serif"/>
          <w:b w:val="false"/>
          <w:i/>
          <w:color w:val="000000"/>
          <w:sz w:val="17"/>
        </w:rPr>
        <w:t>that the</w:t>
      </w:r>
      <w:r>
        <w:rPr>
          <w:color w:val="000000"/>
        </w:rPr>
        <w:t xml:space="preserve"> </w:t>
      </w:r>
      <w:r>
        <w:rPr>
          <w:rFonts w:ascii="Arial;sans-serif" w:hAnsi="Arial;sans-serif"/>
          <w:b w:val="false"/>
          <w:i/>
          <w:color w:val="000000"/>
          <w:sz w:val="17"/>
        </w:rPr>
        <w:t>Company</w:t>
      </w:r>
      <w:r>
        <w:rPr>
          <w:color w:val="000000"/>
        </w:rPr>
        <w:t xml:space="preserve"> </w:t>
      </w:r>
      <w:r>
        <w:rPr>
          <w:rFonts w:ascii="Arial;sans-serif" w:hAnsi="Arial;sans-serif"/>
          <w:b w:val="false"/>
          <w:i/>
          <w:color w:val="000000"/>
          <w:sz w:val="17"/>
        </w:rPr>
        <w:t>would</w:t>
      </w:r>
      <w:r>
        <w:rPr>
          <w:color w:val="000000"/>
        </w:rPr>
        <w:t xml:space="preserve"> </w:t>
      </w:r>
      <w:r>
        <w:rPr>
          <w:rFonts w:ascii="Arial;sans-serif" w:hAnsi="Arial;sans-serif"/>
          <w:b w:val="false"/>
          <w:i/>
          <w:color w:val="000000"/>
          <w:sz w:val="17"/>
        </w:rPr>
        <w:t>not</w:t>
      </w:r>
      <w:r>
        <w:rPr>
          <w:color w:val="000000"/>
        </w:rPr>
        <w:t xml:space="preserve"> </w:t>
      </w:r>
      <w:r>
        <w:rPr>
          <w:rFonts w:ascii="Arial;sans-serif" w:hAnsi="Arial;sans-serif"/>
          <w:b w:val="false"/>
          <w:i/>
          <w:color w:val="000000"/>
          <w:sz w:val="17"/>
        </w:rPr>
        <w:t>be able</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i/>
          <w:color w:val="000000"/>
          <w:sz w:val="17"/>
        </w:rPr>
        <w:t>grant</w:t>
      </w:r>
      <w:r>
        <w:rPr>
          <w:color w:val="000000"/>
        </w:rPr>
        <w:t xml:space="preserve"> </w:t>
      </w:r>
      <w:r>
        <w:rPr>
          <w:rFonts w:ascii="Arial;sans-serif" w:hAnsi="Arial;sans-serif"/>
          <w:b w:val="false"/>
          <w:i/>
          <w:color w:val="000000"/>
          <w:sz w:val="17"/>
        </w:rPr>
        <w:t>the RSU</w:t>
      </w:r>
      <w:r>
        <w:rPr>
          <w:color w:val="000000"/>
        </w:rPr>
        <w:t xml:space="preserve"> </w:t>
      </w:r>
      <w:r>
        <w:rPr>
          <w:rFonts w:ascii="Times New Roman;serif" w:hAnsi="Times New Roman;serif"/>
          <w:b w:val="false"/>
          <w:color w:val="000000"/>
          <w:sz w:val="20"/>
        </w:rPr>
        <w:t>or</w:t>
      </w:r>
      <w:r>
        <w:rPr>
          <w:color w:val="000000"/>
        </w:rPr>
        <w:t xml:space="preserve"> </w:t>
      </w:r>
      <w:r>
        <w:rPr>
          <w:rFonts w:ascii="Arial;sans-serif" w:hAnsi="Arial;sans-serif"/>
          <w:b w:val="false"/>
          <w:i/>
          <w:color w:val="000000"/>
          <w:sz w:val="17"/>
        </w:rPr>
        <w:t>other</w:t>
      </w:r>
      <w:r>
        <w:rPr>
          <w:color w:val="000000"/>
        </w:rPr>
        <w:t xml:space="preserve"> </w:t>
      </w:r>
      <w:r>
        <w:rPr>
          <w:rFonts w:ascii="Arial;sans-serif" w:hAnsi="Arial;sans-serif"/>
          <w:b w:val="false"/>
          <w:i/>
          <w:color w:val="000000"/>
          <w:sz w:val="17"/>
        </w:rPr>
        <w:t>awards</w:t>
      </w:r>
      <w:r>
        <w:rPr>
          <w:color w:val="000000"/>
        </w:rPr>
        <w:t xml:space="preserve"> </w:t>
      </w:r>
      <w:r>
        <w:rPr>
          <w:rFonts w:ascii="Arial;sans-serif" w:hAnsi="Arial;sans-serif"/>
          <w:b w:val="false"/>
          <w:i/>
          <w:color w:val="000000"/>
          <w:sz w:val="17"/>
        </w:rPr>
        <w:t>under</w:t>
      </w:r>
      <w:r>
        <w:rPr>
          <w:color w:val="000000"/>
        </w:rPr>
        <w:t xml:space="preserve"> </w:t>
      </w:r>
      <w:r>
        <w:rPr>
          <w:rFonts w:ascii="Arial;sans-serif" w:hAnsi="Arial;sans-serif"/>
          <w:b w:val="false"/>
          <w:i/>
          <w:color w:val="000000"/>
          <w:sz w:val="17"/>
        </w:rPr>
        <w:t>the Plan or administer or maintain such awards.</w:t>
      </w:r>
    </w:p>
    <w:p>
      <w:pPr>
        <w:pStyle w:val="TextBody"/>
        <w:bidi w:val="0"/>
        <w:spacing w:before="18" w:after="283"/>
        <w:jc w:val="left"/>
        <w:rPr/>
      </w:pPr>
      <w:r>
        <w:rPr/>
      </w:r>
    </w:p>
    <w:p>
      <w:pPr>
        <w:pStyle w:val="TextBody"/>
        <w:bidi w:val="0"/>
        <w:spacing w:lineRule="auto" w:line="261" w:before="1" w:after="283"/>
        <w:jc w:val="both"/>
        <w:rPr/>
      </w:pPr>
      <w:r>
        <w:rPr>
          <w:rFonts w:ascii="Arial;sans-serif" w:hAnsi="Arial;sans-serif"/>
          <w:b w:val="false"/>
          <w:i/>
          <w:color w:val="000000"/>
          <w:sz w:val="17"/>
          <w:u w:val="single"/>
        </w:rPr>
        <w:t>Data</w:t>
      </w:r>
      <w:r>
        <w:rPr>
          <w:color w:val="000000"/>
          <w:u w:val="single"/>
        </w:rPr>
        <w:t xml:space="preserve"> </w:t>
      </w:r>
      <w:r>
        <w:rPr>
          <w:rFonts w:ascii="Arial;sans-serif" w:hAnsi="Arial;sans-serif"/>
          <w:b w:val="false"/>
          <w:i/>
          <w:color w:val="000000"/>
          <w:sz w:val="17"/>
          <w:u w:val="single"/>
        </w:rPr>
        <w:t>Subject</w:t>
      </w:r>
      <w:r>
        <w:rPr>
          <w:color w:val="000000"/>
          <w:u w:val="single"/>
        </w:rPr>
        <w:t xml:space="preserve"> </w:t>
      </w:r>
      <w:r>
        <w:rPr>
          <w:rFonts w:ascii="Arial;sans-serif" w:hAnsi="Arial;sans-serif"/>
          <w:b w:val="false"/>
          <w:i/>
          <w:color w:val="000000"/>
          <w:sz w:val="17"/>
          <w:u w:val="single"/>
        </w:rPr>
        <w:t>Rights.</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may</w:t>
      </w:r>
      <w:r>
        <w:rPr>
          <w:color w:val="000000"/>
        </w:rPr>
        <w:t xml:space="preserve"> </w:t>
      </w:r>
      <w:r>
        <w:rPr>
          <w:rFonts w:ascii="Arial;sans-serif" w:hAnsi="Arial;sans-serif"/>
          <w:b w:val="false"/>
          <w:i/>
          <w:color w:val="000000"/>
          <w:sz w:val="17"/>
        </w:rPr>
        <w:t>have</w:t>
      </w:r>
      <w:r>
        <w:rPr>
          <w:color w:val="000000"/>
        </w:rPr>
        <w:t xml:space="preserve"> </w:t>
      </w:r>
      <w:r>
        <w:rPr>
          <w:rFonts w:ascii="Times New Roman;serif" w:hAnsi="Times New Roman;serif"/>
          <w:b w:val="false"/>
          <w:color w:val="000000"/>
          <w:sz w:val="18"/>
        </w:rPr>
        <w:t xml:space="preserve">a </w:t>
      </w:r>
      <w:r>
        <w:rPr>
          <w:rFonts w:ascii="Arial;sans-serif" w:hAnsi="Arial;sans-serif"/>
          <w:b w:val="false"/>
          <w:i/>
          <w:color w:val="000000"/>
          <w:sz w:val="17"/>
        </w:rPr>
        <w:t>number of rights</w:t>
      </w:r>
      <w:r>
        <w:rPr>
          <w:color w:val="000000"/>
        </w:rPr>
        <w:t xml:space="preserve"> </w:t>
      </w:r>
      <w:r>
        <w:rPr>
          <w:rFonts w:ascii="Arial;sans-serif" w:hAnsi="Arial;sans-serif"/>
          <w:b w:val="false"/>
          <w:i/>
          <w:color w:val="000000"/>
          <w:sz w:val="17"/>
        </w:rPr>
        <w:t>under</w:t>
      </w:r>
      <w:r>
        <w:rPr>
          <w:color w:val="000000"/>
        </w:rPr>
        <w:t xml:space="preserve"> </w:t>
      </w:r>
      <w:r>
        <w:rPr>
          <w:rFonts w:ascii="Arial;sans-serif" w:hAnsi="Arial;sans-serif"/>
          <w:b w:val="false"/>
          <w:i/>
          <w:color w:val="000000"/>
          <w:sz w:val="17"/>
        </w:rPr>
        <w:t>data</w:t>
      </w:r>
      <w:r>
        <w:rPr>
          <w:color w:val="000000"/>
        </w:rPr>
        <w:t xml:space="preserve"> </w:t>
      </w:r>
      <w:r>
        <w:rPr>
          <w:rFonts w:ascii="Arial;sans-serif" w:hAnsi="Arial;sans-serif"/>
          <w:b w:val="false"/>
          <w:i/>
          <w:color w:val="000000"/>
          <w:sz w:val="17"/>
        </w:rPr>
        <w:t>privacy laws</w:t>
      </w:r>
      <w:r>
        <w:rPr>
          <w:color w:val="000000"/>
        </w:rPr>
        <w:t xml:space="preserve"> </w:t>
      </w:r>
      <w:r>
        <w:rPr>
          <w:rFonts w:ascii="Arial;sans-serif" w:hAnsi="Arial;sans-serif"/>
          <w:b w:val="false"/>
          <w:i/>
          <w:color w:val="000000"/>
          <w:sz w:val="17"/>
        </w:rPr>
        <w:t>in your</w:t>
      </w:r>
      <w:r>
        <w:rPr>
          <w:color w:val="000000"/>
        </w:rPr>
        <w:t xml:space="preserve"> </w:t>
      </w:r>
      <w:r>
        <w:rPr>
          <w:rFonts w:ascii="Arial;sans-serif" w:hAnsi="Arial;sans-serif"/>
          <w:b w:val="false"/>
          <w:i/>
          <w:color w:val="000000"/>
          <w:sz w:val="17"/>
        </w:rPr>
        <w:t>jurisdiction. Depending on where you are based, such rights may include the</w:t>
      </w:r>
      <w:r>
        <w:rPr>
          <w:color w:val="000000"/>
        </w:rPr>
        <w:t xml:space="preserve"> </w:t>
      </w:r>
      <w:r>
        <w:rPr>
          <w:rFonts w:ascii="Arial;sans-serif" w:hAnsi="Arial;sans-serif"/>
          <w:b w:val="false"/>
          <w:i/>
          <w:color w:val="000000"/>
          <w:sz w:val="17"/>
        </w:rPr>
        <w:t>right to (i)</w:t>
      </w:r>
      <w:r>
        <w:rPr>
          <w:color w:val="000000"/>
        </w:rPr>
        <w:t xml:space="preserve"> </w:t>
      </w:r>
      <w:r>
        <w:rPr>
          <w:rFonts w:ascii="Arial;sans-serif" w:hAnsi="Arial;sans-serif"/>
          <w:b w:val="false"/>
          <w:i/>
          <w:color w:val="000000"/>
          <w:sz w:val="17"/>
        </w:rPr>
        <w:t xml:space="preserve">request access to </w:t>
      </w:r>
      <w:r>
        <w:rPr>
          <w:rFonts w:ascii="Times New Roman;serif" w:hAnsi="Times New Roman;serif"/>
          <w:b w:val="false"/>
          <w:color w:val="000000"/>
          <w:sz w:val="20"/>
        </w:rPr>
        <w:t xml:space="preserve">or </w:t>
      </w:r>
      <w:r>
        <w:rPr>
          <w:rFonts w:ascii="Arial;sans-serif" w:hAnsi="Arial;sans-serif"/>
          <w:b w:val="false"/>
          <w:i/>
          <w:color w:val="000000"/>
          <w:sz w:val="17"/>
        </w:rPr>
        <w:t>copies of Data the Company processes,</w:t>
      </w:r>
      <w:r>
        <w:rPr>
          <w:color w:val="000000"/>
        </w:rPr>
        <w:t xml:space="preserve"> </w:t>
      </w:r>
      <w:r>
        <w:rPr>
          <w:rFonts w:ascii="Arial;sans-serif" w:hAnsi="Arial;sans-serif"/>
          <w:b w:val="false"/>
          <w:i/>
          <w:color w:val="000000"/>
          <w:sz w:val="17"/>
        </w:rPr>
        <w:t>(ii)</w:t>
      </w:r>
      <w:r>
        <w:rPr>
          <w:color w:val="000000"/>
        </w:rPr>
        <w:t xml:space="preserve"> </w:t>
      </w:r>
      <w:r>
        <w:rPr>
          <w:rFonts w:ascii="Arial;sans-serif" w:hAnsi="Arial;sans-serif"/>
          <w:b w:val="false"/>
          <w:i/>
          <w:color w:val="000000"/>
          <w:sz w:val="17"/>
        </w:rPr>
        <w:t>rectify</w:t>
      </w:r>
      <w:r>
        <w:rPr>
          <w:color w:val="000000"/>
        </w:rPr>
        <w:t xml:space="preserve"> </w:t>
      </w:r>
      <w:r>
        <w:rPr>
          <w:rFonts w:ascii="Arial;sans-serif" w:hAnsi="Arial;sans-serif"/>
          <w:b w:val="false"/>
          <w:i/>
          <w:color w:val="000000"/>
          <w:sz w:val="17"/>
        </w:rPr>
        <w:t>incorrect</w:t>
      </w:r>
      <w:r>
        <w:rPr>
          <w:color w:val="000000"/>
        </w:rPr>
        <w:t xml:space="preserve"> </w:t>
      </w:r>
      <w:r>
        <w:rPr>
          <w:rFonts w:ascii="Arial;sans-serif" w:hAnsi="Arial;sans-serif"/>
          <w:b w:val="false"/>
          <w:i/>
          <w:color w:val="000000"/>
          <w:sz w:val="17"/>
        </w:rPr>
        <w:t>Data,</w:t>
      </w:r>
      <w:r>
        <w:rPr>
          <w:color w:val="000000"/>
        </w:rPr>
        <w:t xml:space="preserve"> </w:t>
      </w:r>
      <w:r>
        <w:rPr>
          <w:rFonts w:ascii="Arial;sans-serif" w:hAnsi="Arial;sans-serif"/>
          <w:b w:val="false"/>
          <w:i/>
          <w:color w:val="000000"/>
          <w:sz w:val="17"/>
        </w:rPr>
        <w:t>(iii)</w:t>
      </w:r>
      <w:r>
        <w:rPr>
          <w:color w:val="000000"/>
        </w:rPr>
        <w:t xml:space="preserve"> </w:t>
      </w:r>
      <w:r>
        <w:rPr>
          <w:rFonts w:ascii="Arial;sans-serif" w:hAnsi="Arial;sans-serif"/>
          <w:b w:val="false"/>
          <w:i/>
          <w:color w:val="000000"/>
          <w:sz w:val="17"/>
        </w:rPr>
        <w:t>delete</w:t>
      </w:r>
      <w:r>
        <w:rPr>
          <w:color w:val="000000"/>
        </w:rPr>
        <w:t xml:space="preserve"> </w:t>
      </w:r>
      <w:r>
        <w:rPr>
          <w:rFonts w:ascii="Arial;sans-serif" w:hAnsi="Arial;sans-serif"/>
          <w:b w:val="false"/>
          <w:i/>
          <w:color w:val="000000"/>
          <w:sz w:val="17"/>
        </w:rPr>
        <w:t>Data,</w:t>
      </w:r>
      <w:r>
        <w:rPr>
          <w:color w:val="000000"/>
        </w:rPr>
        <w:t xml:space="preserve"> </w:t>
      </w:r>
      <w:r>
        <w:rPr>
          <w:rFonts w:ascii="Arial;sans-serif" w:hAnsi="Arial;sans-serif"/>
          <w:b w:val="false"/>
          <w:i/>
          <w:color w:val="000000"/>
          <w:sz w:val="17"/>
        </w:rPr>
        <w:t>(iv)</w:t>
      </w:r>
      <w:r>
        <w:rPr>
          <w:color w:val="000000"/>
        </w:rPr>
        <w:t xml:space="preserve"> </w:t>
      </w:r>
      <w:r>
        <w:rPr>
          <w:rFonts w:ascii="Arial;sans-serif" w:hAnsi="Arial;sans-serif"/>
          <w:b w:val="false"/>
          <w:i/>
          <w:color w:val="000000"/>
          <w:sz w:val="17"/>
        </w:rPr>
        <w:t>restrict</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processing</w:t>
      </w:r>
      <w:r>
        <w:rPr>
          <w:color w:val="000000"/>
        </w:rPr>
        <w:t xml:space="preserve"> </w:t>
      </w:r>
      <w:r>
        <w:rPr>
          <w:rFonts w:ascii="Arial;sans-serif" w:hAnsi="Arial;sans-serif"/>
          <w:b w:val="false"/>
          <w:i/>
          <w:color w:val="000000"/>
          <w:sz w:val="17"/>
        </w:rPr>
        <w:t>of Data,</w:t>
      </w:r>
      <w:r>
        <w:rPr>
          <w:color w:val="000000"/>
        </w:rPr>
        <w:t xml:space="preserve"> </w:t>
      </w:r>
      <w:r>
        <w:rPr>
          <w:rFonts w:ascii="Arial;sans-serif" w:hAnsi="Arial;sans-serif"/>
          <w:b w:val="false"/>
          <w:i/>
          <w:color w:val="000000"/>
          <w:sz w:val="17"/>
        </w:rPr>
        <w:t>(v)</w:t>
      </w:r>
      <w:r>
        <w:rPr>
          <w:color w:val="000000"/>
        </w:rPr>
        <w:t xml:space="preserve"> </w:t>
      </w:r>
      <w:r>
        <w:rPr>
          <w:rFonts w:ascii="Arial;sans-serif" w:hAnsi="Arial;sans-serif"/>
          <w:b w:val="false"/>
          <w:i/>
          <w:color w:val="000000"/>
          <w:sz w:val="17"/>
        </w:rPr>
        <w:t>restrict</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portability</w:t>
      </w:r>
      <w:r>
        <w:rPr>
          <w:color w:val="000000"/>
        </w:rPr>
        <w:t xml:space="preserve"> </w:t>
      </w:r>
      <w:r>
        <w:rPr>
          <w:rFonts w:ascii="Arial;sans-serif" w:hAnsi="Arial;sans-serif"/>
          <w:b w:val="false"/>
          <w:i/>
          <w:color w:val="000000"/>
          <w:sz w:val="17"/>
        </w:rPr>
        <w:t>of Data,</w:t>
      </w:r>
      <w:r>
        <w:rPr>
          <w:color w:val="000000"/>
        </w:rPr>
        <w:t xml:space="preserve"> </w:t>
      </w:r>
      <w:r>
        <w:rPr>
          <w:rFonts w:ascii="Arial;sans-serif" w:hAnsi="Arial;sans-serif"/>
          <w:b w:val="false"/>
          <w:i/>
          <w:color w:val="000000"/>
          <w:sz w:val="17"/>
        </w:rPr>
        <w:t>(vi)</w:t>
      </w:r>
      <w:r>
        <w:rPr>
          <w:color w:val="000000"/>
        </w:rPr>
        <w:t xml:space="preserve"> </w:t>
      </w:r>
      <w:r>
        <w:rPr>
          <w:rFonts w:ascii="Arial;sans-serif" w:hAnsi="Arial;sans-serif"/>
          <w:b w:val="false"/>
          <w:i/>
          <w:color w:val="000000"/>
          <w:sz w:val="17"/>
        </w:rPr>
        <w:t>lodge</w:t>
      </w:r>
      <w:r>
        <w:rPr>
          <w:color w:val="000000"/>
        </w:rPr>
        <w:t xml:space="preserve"> </w:t>
      </w:r>
      <w:r>
        <w:rPr>
          <w:rFonts w:ascii="Arial;sans-serif" w:hAnsi="Arial;sans-serif"/>
          <w:b w:val="false"/>
          <w:i/>
          <w:color w:val="000000"/>
          <w:sz w:val="17"/>
        </w:rPr>
        <w:t>complaints with</w:t>
      </w:r>
      <w:r>
        <w:rPr>
          <w:color w:val="000000"/>
        </w:rPr>
        <w:t xml:space="preserve"> </w:t>
      </w:r>
      <w:r>
        <w:rPr>
          <w:rFonts w:ascii="Arial;sans-serif" w:hAnsi="Arial;sans-serif"/>
          <w:b w:val="false"/>
          <w:i/>
          <w:color w:val="000000"/>
          <w:sz w:val="17"/>
        </w:rPr>
        <w:t>competent authorities in your</w:t>
      </w:r>
      <w:r>
        <w:rPr>
          <w:color w:val="000000"/>
        </w:rPr>
        <w:t xml:space="preserve"> </w:t>
      </w:r>
      <w:r>
        <w:rPr>
          <w:rFonts w:ascii="Arial;sans-serif" w:hAnsi="Arial;sans-serif"/>
          <w:b w:val="false"/>
          <w:i/>
          <w:color w:val="000000"/>
          <w:sz w:val="17"/>
        </w:rPr>
        <w:t>jurisdiction, and/or (vii)</w:t>
      </w:r>
      <w:r>
        <w:rPr>
          <w:color w:val="000000"/>
        </w:rPr>
        <w:t xml:space="preserve"> </w:t>
      </w:r>
      <w:r>
        <w:rPr>
          <w:rFonts w:ascii="Arial;sans-serif" w:hAnsi="Arial;sans-serif"/>
          <w:b w:val="false"/>
          <w:i/>
          <w:color w:val="000000"/>
          <w:sz w:val="17"/>
        </w:rPr>
        <w:t xml:space="preserve">receive </w:t>
      </w:r>
      <w:r>
        <w:rPr>
          <w:rFonts w:ascii="Times New Roman;serif" w:hAnsi="Times New Roman;serif"/>
          <w:b w:val="false"/>
          <w:color w:val="000000"/>
          <w:sz w:val="18"/>
        </w:rPr>
        <w:t xml:space="preserve">a </w:t>
      </w:r>
      <w:r>
        <w:rPr>
          <w:rFonts w:ascii="Arial;sans-serif" w:hAnsi="Arial;sans-serif"/>
          <w:b w:val="false"/>
          <w:i/>
          <w:color w:val="000000"/>
          <w:sz w:val="17"/>
        </w:rPr>
        <w:t>list</w:t>
      </w:r>
      <w:r>
        <w:rPr>
          <w:color w:val="000000"/>
        </w:rPr>
        <w:t xml:space="preserve"> </w:t>
      </w:r>
      <w:r>
        <w:rPr>
          <w:rFonts w:ascii="Arial;sans-serif" w:hAnsi="Arial;sans-serif"/>
          <w:b w:val="false"/>
          <w:i/>
          <w:color w:val="000000"/>
          <w:sz w:val="17"/>
        </w:rPr>
        <w:t>with the</w:t>
      </w:r>
      <w:r>
        <w:rPr>
          <w:color w:val="000000"/>
        </w:rPr>
        <w:t xml:space="preserve"> </w:t>
      </w:r>
      <w:r>
        <w:rPr>
          <w:rFonts w:ascii="Arial;sans-serif" w:hAnsi="Arial;sans-serif"/>
          <w:b w:val="false"/>
          <w:i/>
          <w:color w:val="000000"/>
          <w:sz w:val="17"/>
        </w:rPr>
        <w:t>names and</w:t>
      </w:r>
      <w:r>
        <w:rPr>
          <w:color w:val="000000"/>
        </w:rPr>
        <w:t xml:space="preserve"> </w:t>
      </w:r>
      <w:r>
        <w:rPr>
          <w:rFonts w:ascii="Arial;sans-serif" w:hAnsi="Arial;sans-serif"/>
          <w:b w:val="false"/>
          <w:i/>
          <w:color w:val="000000"/>
          <w:sz w:val="17"/>
        </w:rPr>
        <w:t>addresses</w:t>
      </w:r>
      <w:r>
        <w:rPr>
          <w:color w:val="000000"/>
        </w:rPr>
        <w:t xml:space="preserve"> </w:t>
      </w:r>
      <w:r>
        <w:rPr>
          <w:rFonts w:ascii="Arial;sans-serif" w:hAnsi="Arial;sans-serif"/>
          <w:b w:val="false"/>
          <w:color w:val="000000"/>
          <w:sz w:val="17"/>
        </w:rPr>
        <w:t>of</w:t>
      </w:r>
      <w:r>
        <w:rPr>
          <w:color w:val="000000"/>
        </w:rPr>
        <w:t xml:space="preserve"> </w:t>
      </w:r>
      <w:r>
        <w:rPr>
          <w:rFonts w:ascii="Arial;sans-serif" w:hAnsi="Arial;sans-serif"/>
          <w:b w:val="false"/>
          <w:i/>
          <w:color w:val="000000"/>
          <w:sz w:val="17"/>
        </w:rPr>
        <w:t>any</w:t>
      </w:r>
      <w:r>
        <w:rPr>
          <w:color w:val="000000"/>
        </w:rPr>
        <w:t xml:space="preserve"> </w:t>
      </w:r>
      <w:r>
        <w:rPr>
          <w:rFonts w:ascii="Arial;sans-serif" w:hAnsi="Arial;sans-serif"/>
          <w:b w:val="false"/>
          <w:i/>
          <w:color w:val="000000"/>
          <w:sz w:val="17"/>
        </w:rPr>
        <w:t>potential</w:t>
      </w:r>
      <w:r>
        <w:rPr>
          <w:color w:val="000000"/>
        </w:rPr>
        <w:t xml:space="preserve"> </w:t>
      </w:r>
      <w:r>
        <w:rPr>
          <w:rFonts w:ascii="Arial;sans-serif" w:hAnsi="Arial;sans-serif"/>
          <w:b w:val="false"/>
          <w:i/>
          <w:color w:val="000000"/>
          <w:sz w:val="17"/>
        </w:rPr>
        <w:t>recipients</w:t>
      </w:r>
      <w:r>
        <w:rPr>
          <w:color w:val="000000"/>
        </w:rPr>
        <w:t xml:space="preserve"> </w:t>
      </w:r>
      <w:r>
        <w:rPr>
          <w:rFonts w:ascii="Arial;sans-serif" w:hAnsi="Arial;sans-serif"/>
          <w:b w:val="false"/>
          <w:color w:val="000000"/>
          <w:sz w:val="17"/>
        </w:rPr>
        <w:t>of</w:t>
      </w:r>
      <w:r>
        <w:rPr>
          <w:color w:val="000000"/>
        </w:rPr>
        <w:t xml:space="preserve"> </w:t>
      </w:r>
      <w:r>
        <w:rPr>
          <w:rFonts w:ascii="Arial;sans-serif" w:hAnsi="Arial;sans-serif"/>
          <w:b w:val="false"/>
          <w:i/>
          <w:color w:val="000000"/>
          <w:sz w:val="17"/>
        </w:rPr>
        <w:t>Data.</w:t>
      </w:r>
      <w:r>
        <w:rPr>
          <w:color w:val="000000"/>
        </w:rPr>
        <w:t xml:space="preserve"> </w:t>
      </w:r>
      <w:r>
        <w:rPr>
          <w:rFonts w:ascii="Times New Roman;serif" w:hAnsi="Times New Roman;serif"/>
          <w:b w:val="false"/>
          <w:color w:val="000000"/>
          <w:sz w:val="20"/>
        </w:rPr>
        <w:t>To</w:t>
      </w:r>
      <w:r>
        <w:rPr>
          <w:color w:val="000000"/>
        </w:rPr>
        <w:t xml:space="preserve"> </w:t>
      </w:r>
      <w:r>
        <w:rPr>
          <w:rFonts w:ascii="Arial;sans-serif" w:hAnsi="Arial;sans-serif"/>
          <w:b w:val="false"/>
          <w:i/>
          <w:color w:val="000000"/>
          <w:sz w:val="17"/>
        </w:rPr>
        <w:t>receive</w:t>
      </w:r>
      <w:r>
        <w:rPr>
          <w:color w:val="000000"/>
        </w:rPr>
        <w:t xml:space="preserve"> </w:t>
      </w:r>
      <w:r>
        <w:rPr>
          <w:rFonts w:ascii="Arial;sans-serif" w:hAnsi="Arial;sans-serif"/>
          <w:b w:val="false"/>
          <w:i/>
          <w:color w:val="000000"/>
          <w:sz w:val="17"/>
        </w:rPr>
        <w:t>clarification</w:t>
      </w:r>
      <w:r>
        <w:rPr>
          <w:color w:val="000000"/>
        </w:rPr>
        <w:t xml:space="preserve"> </w:t>
      </w:r>
      <w:r>
        <w:rPr>
          <w:rFonts w:ascii="Arial;sans-serif" w:hAnsi="Arial;sans-serif"/>
          <w:b w:val="false"/>
          <w:i/>
          <w:color w:val="000000"/>
          <w:sz w:val="17"/>
        </w:rPr>
        <w:t>regarding</w:t>
      </w:r>
      <w:r>
        <w:rPr>
          <w:color w:val="000000"/>
        </w:rPr>
        <w:t xml:space="preserve"> </w:t>
      </w:r>
      <w:r>
        <w:rPr>
          <w:rFonts w:ascii="Arial;sans-serif" w:hAnsi="Arial;sans-serif"/>
          <w:b w:val="false"/>
          <w:i/>
          <w:color w:val="000000"/>
          <w:sz w:val="17"/>
        </w:rPr>
        <w:t>these</w:t>
      </w:r>
      <w:r>
        <w:rPr>
          <w:color w:val="000000"/>
        </w:rPr>
        <w:t xml:space="preserve"> </w:t>
      </w:r>
      <w:r>
        <w:rPr>
          <w:rFonts w:ascii="Arial;sans-serif" w:hAnsi="Arial;sans-serif"/>
          <w:b w:val="false"/>
          <w:i/>
          <w:color w:val="000000"/>
          <w:sz w:val="17"/>
        </w:rPr>
        <w:t>rights</w:t>
      </w:r>
      <w:r>
        <w:rPr>
          <w:color w:val="000000"/>
        </w:rPr>
        <w:t xml:space="preserve"> </w:t>
      </w:r>
      <w:r>
        <w:rPr>
          <w:rFonts w:ascii="Arial;sans-serif" w:hAnsi="Arial;sans-serif"/>
          <w:b w:val="false"/>
          <w:color w:val="000000"/>
          <w:sz w:val="17"/>
        </w:rPr>
        <w:t>or</w:t>
      </w:r>
      <w:r>
        <w:rPr>
          <w:color w:val="000000"/>
        </w:rPr>
        <w:t xml:space="preserve"> </w:t>
      </w:r>
      <w:r>
        <w:rPr>
          <w:rFonts w:ascii="Arial;sans-serif" w:hAnsi="Arial;sans-serif"/>
          <w:b w:val="false"/>
          <w:i/>
          <w:color w:val="000000"/>
          <w:sz w:val="17"/>
        </w:rPr>
        <w:t>to</w:t>
      </w:r>
      <w:r>
        <w:rPr>
          <w:color w:val="000000"/>
        </w:rPr>
        <w:t xml:space="preserve"> </w:t>
      </w:r>
      <w:r>
        <w:rPr>
          <w:rFonts w:ascii="Arial;sans-serif" w:hAnsi="Arial;sans-serif"/>
          <w:b w:val="false"/>
          <w:i/>
          <w:color w:val="000000"/>
          <w:sz w:val="17"/>
        </w:rPr>
        <w:t>exercise</w:t>
      </w:r>
      <w:r>
        <w:rPr>
          <w:color w:val="000000"/>
        </w:rPr>
        <w:t xml:space="preserve"> </w:t>
      </w:r>
      <w:r>
        <w:rPr>
          <w:rFonts w:ascii="Arial;sans-serif" w:hAnsi="Arial;sans-serif"/>
          <w:b w:val="false"/>
          <w:i/>
          <w:color w:val="000000"/>
          <w:sz w:val="17"/>
        </w:rPr>
        <w:t>these</w:t>
      </w:r>
    </w:p>
    <w:p>
      <w:pPr>
        <w:pStyle w:val="TextBody"/>
        <w:bidi w:val="0"/>
        <w:spacing w:lineRule="auto" w:line="288" w:before="4" w:after="283"/>
        <w:jc w:val="both"/>
        <w:rPr/>
      </w:pPr>
      <w:r>
        <w:rPr>
          <w:rFonts w:ascii="Arial;sans-serif" w:hAnsi="Arial;sans-serif"/>
          <w:b w:val="false"/>
          <w:i/>
          <w:color w:val="000000"/>
          <w:sz w:val="17"/>
        </w:rPr>
        <w:t>rights,</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can</w:t>
      </w:r>
      <w:r>
        <w:rPr>
          <w:color w:val="000000"/>
        </w:rPr>
        <w:t xml:space="preserve"> </w:t>
      </w:r>
      <w:r>
        <w:rPr>
          <w:rFonts w:ascii="Arial;sans-serif" w:hAnsi="Arial;sans-serif"/>
          <w:b w:val="false"/>
          <w:i/>
          <w:color w:val="000000"/>
          <w:sz w:val="17"/>
        </w:rPr>
        <w:t>contact the</w:t>
      </w:r>
      <w:r>
        <w:rPr>
          <w:color w:val="000000"/>
        </w:rPr>
        <w:t xml:space="preserve"> </w:t>
      </w:r>
      <w:r>
        <w:rPr>
          <w:rFonts w:ascii="Arial;sans-serif" w:hAnsi="Arial;sans-serif"/>
          <w:b w:val="false"/>
          <w:i/>
          <w:color w:val="000000"/>
          <w:sz w:val="17"/>
        </w:rPr>
        <w:t>local</w:t>
      </w:r>
      <w:r>
        <w:rPr>
          <w:color w:val="000000"/>
        </w:rPr>
        <w:t xml:space="preserve"> </w:t>
      </w:r>
      <w:r>
        <w:rPr>
          <w:rFonts w:ascii="Arial;sans-serif" w:hAnsi="Arial;sans-serif"/>
          <w:b w:val="false"/>
          <w:i/>
          <w:color w:val="000000"/>
          <w:sz w:val="17"/>
        </w:rPr>
        <w:t>human</w:t>
      </w:r>
      <w:r>
        <w:rPr>
          <w:color w:val="000000"/>
        </w:rPr>
        <w:t xml:space="preserve"> </w:t>
      </w:r>
      <w:r>
        <w:rPr>
          <w:rFonts w:ascii="Arial;sans-serif" w:hAnsi="Arial;sans-serif"/>
          <w:b w:val="false"/>
          <w:i/>
          <w:color w:val="000000"/>
          <w:sz w:val="17"/>
        </w:rPr>
        <w:t>resources</w:t>
      </w:r>
      <w:r>
        <w:rPr>
          <w:color w:val="000000"/>
        </w:rPr>
        <w:t xml:space="preserve"> </w:t>
      </w:r>
      <w:r>
        <w:rPr>
          <w:rFonts w:ascii="Arial;sans-serif" w:hAnsi="Arial;sans-serif"/>
          <w:b w:val="false"/>
          <w:i/>
          <w:color w:val="000000"/>
          <w:sz w:val="17"/>
        </w:rPr>
        <w:t>representative</w:t>
      </w:r>
      <w:r>
        <w:rPr>
          <w:color w:val="000000"/>
        </w:rPr>
        <w:t xml:space="preserve"> </w:t>
      </w:r>
      <w:r>
        <w:rPr>
          <w:rFonts w:ascii="Arial;sans-serif" w:hAnsi="Arial;sans-serif"/>
          <w:b w:val="false"/>
          <w:color w:val="000000"/>
          <w:sz w:val="17"/>
        </w:rPr>
        <w:t>of</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employer.</w:t>
      </w:r>
    </w:p>
    <w:p>
      <w:pPr>
        <w:pStyle w:val="TextBody"/>
        <w:bidi w:val="0"/>
        <w:spacing w:before="14" w:after="283"/>
        <w:jc w:val="left"/>
        <w:rPr/>
      </w:pPr>
      <w:r>
        <w:rPr/>
      </w:r>
    </w:p>
    <w:p>
      <w:pPr>
        <w:pStyle w:val="TextBody"/>
        <w:bidi w:val="0"/>
        <w:spacing w:lineRule="auto" w:line="295" w:before="0" w:after="0"/>
        <w:ind w:left="0" w:right="0" w:hanging="10"/>
        <w:jc w:val="both"/>
        <w:rPr/>
      </w:pPr>
      <w:r>
        <w:rPr>
          <w:rFonts w:ascii="Arial;sans-serif" w:hAnsi="Arial;sans-serif"/>
          <w:b w:val="false"/>
          <w:i/>
          <w:color w:val="000000"/>
          <w:sz w:val="17"/>
          <w:u w:val="single"/>
        </w:rPr>
        <w:t>Additional</w:t>
      </w:r>
      <w:r>
        <w:rPr>
          <w:color w:val="000000"/>
          <w:u w:val="single"/>
        </w:rPr>
        <w:t xml:space="preserve"> </w:t>
      </w:r>
      <w:r>
        <w:rPr>
          <w:rFonts w:ascii="Arial;sans-serif" w:hAnsi="Arial;sans-serif"/>
          <w:b w:val="false"/>
          <w:i/>
          <w:color w:val="000000"/>
          <w:sz w:val="17"/>
          <w:u w:val="single"/>
        </w:rPr>
        <w:t>Consents</w:t>
      </w:r>
      <w:r>
        <w:rPr>
          <w:rFonts w:ascii="Arial;sans-serif" w:hAnsi="Arial;sans-serif"/>
          <w:b w:val="false"/>
          <w:i/>
          <w:color w:val="000000"/>
          <w:sz w:val="17"/>
        </w:rPr>
        <w:t>.</w:t>
      </w:r>
      <w:r>
        <w:rPr>
          <w:color w:val="000000"/>
        </w:rPr>
        <w:t xml:space="preserve"> </w:t>
      </w:r>
      <w:r>
        <w:rPr>
          <w:rFonts w:ascii="Arial;sans-serif" w:hAnsi="Arial;sans-serif"/>
          <w:b w:val="false"/>
          <w:i/>
          <w:color w:val="000000"/>
          <w:sz w:val="17"/>
        </w:rPr>
        <w:t>Upon</w:t>
      </w:r>
      <w:r>
        <w:rPr>
          <w:color w:val="000000"/>
        </w:rPr>
        <w:t xml:space="preserve"> </w:t>
      </w:r>
      <w:r>
        <w:rPr>
          <w:rFonts w:ascii="Arial;sans-serif" w:hAnsi="Arial;sans-serif"/>
          <w:b w:val="false"/>
          <w:i/>
          <w:color w:val="000000"/>
          <w:sz w:val="17"/>
        </w:rPr>
        <w:t>request</w:t>
      </w:r>
      <w:r>
        <w:rPr>
          <w:color w:val="000000"/>
        </w:rPr>
        <w:t xml:space="preserve"> </w:t>
      </w:r>
      <w:r>
        <w:rPr>
          <w:rFonts w:ascii="Arial;sans-serif" w:hAnsi="Arial;sans-serif"/>
          <w:b w:val="false"/>
          <w:i/>
          <w:color w:val="000000"/>
          <w:sz w:val="17"/>
        </w:rPr>
        <w:t>of</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Company</w:t>
      </w:r>
      <w:r>
        <w:rPr>
          <w:color w:val="000000"/>
        </w:rPr>
        <w:t xml:space="preserve"> </w:t>
      </w:r>
      <w:r>
        <w:rPr>
          <w:rFonts w:ascii="Arial;sans-serif" w:hAnsi="Arial;sans-serif"/>
          <w:b w:val="false"/>
          <w:color w:val="000000"/>
          <w:sz w:val="17"/>
        </w:rPr>
        <w:t>or</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employer,</w:t>
      </w:r>
      <w:r>
        <w:rPr>
          <w:color w:val="000000"/>
        </w:rPr>
        <w:t xml:space="preserve"> </w:t>
      </w:r>
      <w:r>
        <w:rPr>
          <w:rFonts w:ascii="Arial;sans-serif" w:hAnsi="Arial;sans-serif"/>
          <w:b w:val="false"/>
          <w:i/>
          <w:color w:val="000000"/>
          <w:sz w:val="17"/>
        </w:rPr>
        <w:t>you agree</w:t>
      </w:r>
      <w:r>
        <w:rPr>
          <w:color w:val="000000"/>
        </w:rPr>
        <w:t xml:space="preserve"> </w:t>
      </w:r>
      <w:r>
        <w:rPr>
          <w:rFonts w:ascii="Arial;sans-serif" w:hAnsi="Arial;sans-serif"/>
          <w:b w:val="false"/>
          <w:i/>
          <w:color w:val="000000"/>
          <w:sz w:val="17"/>
        </w:rPr>
        <w:t>to</w:t>
      </w:r>
      <w:r>
        <w:rPr>
          <w:color w:val="000000"/>
        </w:rPr>
        <w:t xml:space="preserve"> </w:t>
      </w:r>
      <w:r>
        <w:rPr>
          <w:rFonts w:ascii="Arial;sans-serif" w:hAnsi="Arial;sans-serif"/>
          <w:b w:val="false"/>
          <w:i/>
          <w:color w:val="000000"/>
          <w:sz w:val="17"/>
        </w:rPr>
        <w:t>provide</w:t>
      </w:r>
      <w:r>
        <w:rPr>
          <w:color w:val="000000"/>
        </w:rPr>
        <w:t xml:space="preserve"> </w:t>
      </w:r>
      <w:r>
        <w:rPr>
          <w:rFonts w:ascii="Arial;sans-serif" w:hAnsi="Arial;sans-serif"/>
          <w:b w:val="false"/>
          <w:i/>
          <w:color w:val="000000"/>
          <w:sz w:val="17"/>
        </w:rPr>
        <w:t>an</w:t>
      </w:r>
      <w:r>
        <w:rPr>
          <w:color w:val="000000"/>
        </w:rPr>
        <w:t xml:space="preserve"> </w:t>
      </w:r>
      <w:r>
        <w:rPr>
          <w:rFonts w:ascii="Arial;sans-serif" w:hAnsi="Arial;sans-serif"/>
          <w:b w:val="false"/>
          <w:i/>
          <w:color w:val="000000"/>
          <w:sz w:val="17"/>
        </w:rPr>
        <w:t>executed data</w:t>
      </w:r>
      <w:r>
        <w:rPr>
          <w:color w:val="000000"/>
        </w:rPr>
        <w:t xml:space="preserve"> </w:t>
      </w:r>
      <w:r>
        <w:rPr>
          <w:rFonts w:ascii="Arial;sans-serif" w:hAnsi="Arial;sans-serif"/>
          <w:b w:val="false"/>
          <w:i/>
          <w:color w:val="000000"/>
          <w:sz w:val="17"/>
        </w:rPr>
        <w:t>privacy consent form to the Company and/or the employer (or any other agreements or consents that may be required by the Company</w:t>
      </w:r>
      <w:r>
        <w:rPr>
          <w:color w:val="000000"/>
        </w:rPr>
        <w:t xml:space="preserve"> </w:t>
      </w:r>
      <w:r>
        <w:rPr>
          <w:rFonts w:ascii="Arial;sans-serif" w:hAnsi="Arial;sans-serif"/>
          <w:b w:val="false"/>
          <w:i/>
          <w:color w:val="000000"/>
          <w:sz w:val="17"/>
        </w:rPr>
        <w:t>and/or</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employer)</w:t>
      </w:r>
      <w:r>
        <w:rPr>
          <w:color w:val="000000"/>
        </w:rPr>
        <w:t xml:space="preserve"> </w:t>
      </w:r>
      <w:r>
        <w:rPr>
          <w:rFonts w:ascii="Arial;sans-serif" w:hAnsi="Arial;sans-serif"/>
          <w:b w:val="false"/>
          <w:i/>
          <w:color w:val="000000"/>
          <w:sz w:val="17"/>
        </w:rPr>
        <w:t>that</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Company</w:t>
      </w:r>
      <w:r>
        <w:rPr>
          <w:color w:val="000000"/>
        </w:rPr>
        <w:t xml:space="preserve"> </w:t>
      </w:r>
      <w:r>
        <w:rPr>
          <w:rFonts w:ascii="Arial;sans-serif" w:hAnsi="Arial;sans-serif"/>
          <w:b w:val="false"/>
          <w:i/>
          <w:color w:val="000000"/>
          <w:sz w:val="17"/>
        </w:rPr>
        <w:t>and/or</w:t>
      </w:r>
      <w:r>
        <w:rPr>
          <w:color w:val="000000"/>
        </w:rPr>
        <w:t xml:space="preserve"> </w:t>
      </w:r>
      <w:r>
        <w:rPr>
          <w:rFonts w:ascii="Arial;sans-serif" w:hAnsi="Arial;sans-serif"/>
          <w:b w:val="false"/>
          <w:i/>
          <w:color w:val="000000"/>
          <w:sz w:val="17"/>
        </w:rPr>
        <w:t>your</w:t>
      </w:r>
      <w:r>
        <w:rPr>
          <w:color w:val="000000"/>
        </w:rPr>
        <w:t xml:space="preserve"> </w:t>
      </w:r>
      <w:r>
        <w:rPr>
          <w:rFonts w:ascii="Arial;sans-serif" w:hAnsi="Arial;sans-serif"/>
          <w:b w:val="false"/>
          <w:i/>
          <w:color w:val="000000"/>
          <w:sz w:val="17"/>
        </w:rPr>
        <w:t>employer</w:t>
      </w:r>
      <w:r>
        <w:rPr>
          <w:color w:val="000000"/>
        </w:rPr>
        <w:t xml:space="preserve"> </w:t>
      </w:r>
      <w:r>
        <w:rPr>
          <w:rFonts w:ascii="Arial;sans-serif" w:hAnsi="Arial;sans-serif"/>
          <w:b w:val="false"/>
          <w:i/>
          <w:color w:val="000000"/>
          <w:sz w:val="17"/>
        </w:rPr>
        <w:t>may</w:t>
      </w:r>
      <w:r>
        <w:rPr>
          <w:color w:val="000000"/>
        </w:rPr>
        <w:t xml:space="preserve"> </w:t>
      </w:r>
      <w:r>
        <w:rPr>
          <w:rFonts w:ascii="Arial;sans-serif" w:hAnsi="Arial;sans-serif"/>
          <w:b w:val="false"/>
          <w:i/>
          <w:color w:val="000000"/>
          <w:sz w:val="17"/>
        </w:rPr>
        <w:t>deem</w:t>
      </w:r>
      <w:r>
        <w:rPr>
          <w:color w:val="000000"/>
        </w:rPr>
        <w:t xml:space="preserve"> </w:t>
      </w:r>
      <w:r>
        <w:rPr>
          <w:rFonts w:ascii="Arial;sans-serif" w:hAnsi="Arial;sans-serif"/>
          <w:b w:val="false"/>
          <w:i/>
          <w:color w:val="000000"/>
          <w:sz w:val="17"/>
        </w:rPr>
        <w:t>necessary</w:t>
      </w:r>
      <w:r>
        <w:rPr>
          <w:color w:val="000000"/>
        </w:rPr>
        <w:t xml:space="preserve"> </w:t>
      </w:r>
      <w:r>
        <w:rPr>
          <w:rFonts w:ascii="Arial;sans-serif" w:hAnsi="Arial;sans-serif"/>
          <w:b w:val="false"/>
          <w:color w:val="000000"/>
          <w:sz w:val="17"/>
        </w:rPr>
        <w:t>to</w:t>
      </w:r>
      <w:r>
        <w:rPr>
          <w:color w:val="000000"/>
        </w:rPr>
        <w:t xml:space="preserve"> </w:t>
      </w:r>
      <w:r>
        <w:rPr>
          <w:rFonts w:ascii="Arial;sans-serif" w:hAnsi="Arial;sans-serif"/>
          <w:b w:val="false"/>
          <w:i/>
          <w:color w:val="000000"/>
          <w:sz w:val="17"/>
        </w:rPr>
        <w:t>obtain</w:t>
      </w:r>
      <w:r>
        <w:rPr>
          <w:color w:val="000000"/>
        </w:rPr>
        <w:t xml:space="preserve"> </w:t>
      </w:r>
      <w:r>
        <w:rPr>
          <w:rFonts w:ascii="Arial;sans-serif" w:hAnsi="Arial;sans-serif"/>
          <w:b w:val="false"/>
          <w:i/>
          <w:color w:val="000000"/>
          <w:sz w:val="17"/>
        </w:rPr>
        <w:t>from</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for</w:t>
      </w:r>
    </w:p>
    <w:p>
      <w:pPr>
        <w:pStyle w:val="TextBody"/>
        <w:bidi w:val="0"/>
        <w:spacing w:lineRule="auto" w:line="268" w:before="0" w:after="0"/>
        <w:ind w:left="0" w:right="0" w:hanging="828"/>
        <w:jc w:val="both"/>
        <w:rPr/>
      </w:pPr>
      <w:r>
        <w:rPr>
          <w:color w:val="000000"/>
        </w:rPr>
        <w:t>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purpose of administering your participation</w:t>
      </w:r>
      <w:r>
        <w:rPr>
          <w:color w:val="000000"/>
        </w:rPr>
        <w:t xml:space="preserve"> </w:t>
      </w:r>
      <w:r>
        <w:rPr>
          <w:rFonts w:ascii="Arial;sans-serif" w:hAnsi="Arial;sans-serif"/>
          <w:b w:val="false"/>
          <w:i/>
          <w:color w:val="000000"/>
          <w:sz w:val="17"/>
        </w:rPr>
        <w:t>in the Plan</w:t>
      </w:r>
      <w:r>
        <w:rPr>
          <w:color w:val="000000"/>
        </w:rPr>
        <w:t xml:space="preserve"> </w:t>
      </w:r>
      <w:r>
        <w:rPr>
          <w:rFonts w:ascii="Arial;sans-serif" w:hAnsi="Arial;sans-serif"/>
          <w:b w:val="false"/>
          <w:i/>
          <w:color w:val="000000"/>
          <w:sz w:val="17"/>
        </w:rPr>
        <w:t>in compliance with</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applicable data</w:t>
      </w:r>
      <w:r>
        <w:rPr>
          <w:color w:val="000000"/>
        </w:rPr>
        <w:t xml:space="preserve"> </w:t>
      </w:r>
      <w:r>
        <w:rPr>
          <w:rFonts w:ascii="Arial;sans-serif" w:hAnsi="Arial;sans-serif"/>
          <w:b w:val="false"/>
          <w:i/>
          <w:color w:val="000000"/>
          <w:sz w:val="17"/>
        </w:rPr>
        <w:t>privacy Jaws,</w:t>
      </w:r>
      <w:r>
        <w:rPr>
          <w:color w:val="000000"/>
        </w:rPr>
        <w:t xml:space="preserve"> </w:t>
      </w:r>
      <w:r>
        <w:rPr>
          <w:rFonts w:ascii="Arial;sans-serif" w:hAnsi="Arial;sans-serif"/>
          <w:b w:val="false"/>
          <w:i/>
          <w:color w:val="000000"/>
          <w:sz w:val="17"/>
        </w:rPr>
        <w:t>either now</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future.</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understand</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agree</w:t>
      </w:r>
      <w:r>
        <w:rPr>
          <w:color w:val="000000"/>
        </w:rPr>
        <w:t xml:space="preserve"> </w:t>
      </w:r>
      <w:r>
        <w:rPr>
          <w:rFonts w:ascii="Arial;sans-serif" w:hAnsi="Arial;sans-serif"/>
          <w:b w:val="false"/>
          <w:i/>
          <w:color w:val="000000"/>
          <w:sz w:val="17"/>
        </w:rPr>
        <w:t>that</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will</w:t>
      </w:r>
      <w:r>
        <w:rPr>
          <w:color w:val="000000"/>
        </w:rPr>
        <w:t xml:space="preserve"> </w:t>
      </w:r>
      <w:r>
        <w:rPr>
          <w:rFonts w:ascii="Arial;sans-serif" w:hAnsi="Arial;sans-serif"/>
          <w:b w:val="false"/>
          <w:i/>
          <w:color w:val="000000"/>
          <w:sz w:val="17"/>
        </w:rPr>
        <w:t>not</w:t>
      </w:r>
      <w:r>
        <w:rPr>
          <w:color w:val="000000"/>
        </w:rPr>
        <w:t xml:space="preserve"> </w:t>
      </w:r>
      <w:r>
        <w:rPr>
          <w:rFonts w:ascii="Arial;sans-serif" w:hAnsi="Arial;sans-serif"/>
          <w:b w:val="false"/>
          <w:i/>
          <w:color w:val="000000"/>
          <w:sz w:val="17"/>
        </w:rPr>
        <w:t>be</w:t>
      </w:r>
      <w:r>
        <w:rPr>
          <w:color w:val="000000"/>
        </w:rPr>
        <w:t xml:space="preserve"> </w:t>
      </w:r>
      <w:r>
        <w:rPr>
          <w:rFonts w:ascii="Arial;sans-serif" w:hAnsi="Arial;sans-serif"/>
          <w:b w:val="false"/>
          <w:i/>
          <w:color w:val="000000"/>
          <w:sz w:val="17"/>
        </w:rPr>
        <w:t>able</w:t>
      </w:r>
      <w:r>
        <w:rPr>
          <w:color w:val="000000"/>
        </w:rPr>
        <w:t xml:space="preserve"> </w:t>
      </w:r>
      <w:r>
        <w:rPr>
          <w:rFonts w:ascii="Arial;sans-serif" w:hAnsi="Arial;sans-serif"/>
          <w:b w:val="false"/>
          <w:i/>
          <w:color w:val="000000"/>
          <w:sz w:val="17"/>
        </w:rPr>
        <w:t>to</w:t>
      </w:r>
      <w:r>
        <w:rPr>
          <w:color w:val="000000"/>
        </w:rPr>
        <w:t xml:space="preserve"> </w:t>
      </w:r>
      <w:r>
        <w:rPr>
          <w:rFonts w:ascii="Arial;sans-serif" w:hAnsi="Arial;sans-serif"/>
          <w:b w:val="false"/>
          <w:i/>
          <w:color w:val="000000"/>
          <w:sz w:val="17"/>
        </w:rPr>
        <w:t>participate</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Plan</w:t>
      </w:r>
      <w:r>
        <w:rPr>
          <w:color w:val="000000"/>
        </w:rPr>
        <w:t xml:space="preserve"> </w:t>
      </w:r>
      <w:r>
        <w:rPr>
          <w:rFonts w:ascii="Arial;sans-serif" w:hAnsi="Arial;sans-serif"/>
          <w:b w:val="false"/>
          <w:i/>
          <w:color w:val="000000"/>
          <w:sz w:val="17"/>
        </w:rPr>
        <w:t>if</w:t>
      </w:r>
      <w:r>
        <w:rPr>
          <w:color w:val="000000"/>
        </w:rPr>
        <w:t xml:space="preserve"> </w:t>
      </w:r>
      <w:r>
        <w:rPr>
          <w:rFonts w:ascii="Arial;sans-serif" w:hAnsi="Arial;sans-serif"/>
          <w:b w:val="false"/>
          <w:i/>
          <w:color w:val="000000"/>
          <w:sz w:val="17"/>
        </w:rPr>
        <w:t>you</w:t>
      </w:r>
      <w:r>
        <w:rPr>
          <w:color w:val="000000"/>
        </w:rPr>
        <w:t xml:space="preserve"> </w:t>
      </w:r>
      <w:r>
        <w:rPr>
          <w:rFonts w:ascii="Arial;sans-serif" w:hAnsi="Arial;sans-serif"/>
          <w:b w:val="false"/>
          <w:i/>
          <w:color w:val="000000"/>
          <w:sz w:val="17"/>
        </w:rPr>
        <w:t>fail</w:t>
      </w:r>
      <w:r>
        <w:rPr>
          <w:color w:val="000000"/>
        </w:rPr>
        <w:t xml:space="preserve"> </w:t>
      </w:r>
      <w:r>
        <w:rPr>
          <w:rFonts w:ascii="Arial;sans-serif" w:hAnsi="Arial;sans-serif"/>
          <w:b w:val="false"/>
          <w:i/>
          <w:color w:val="000000"/>
          <w:sz w:val="17"/>
        </w:rPr>
        <w:t>to</w:t>
      </w:r>
      <w:r>
        <w:rPr>
          <w:color w:val="000000"/>
        </w:rPr>
        <w:t xml:space="preserve"> </w:t>
      </w:r>
      <w:r>
        <w:rPr>
          <w:rFonts w:ascii="Arial;sans-serif" w:hAnsi="Arial;sans-serif"/>
          <w:b w:val="false"/>
          <w:i/>
          <w:color w:val="000000"/>
          <w:sz w:val="17"/>
        </w:rPr>
        <w:t>provide any</w:t>
      </w:r>
      <w:r>
        <w:rPr>
          <w:color w:val="000000"/>
        </w:rPr>
        <w:t xml:space="preserve"> </w:t>
      </w:r>
      <w:r>
        <w:rPr>
          <w:rFonts w:ascii="Arial;sans-serif" w:hAnsi="Arial;sans-serif"/>
          <w:b w:val="false"/>
          <w:i/>
          <w:color w:val="000000"/>
          <w:sz w:val="17"/>
        </w:rPr>
        <w:t>such</w:t>
      </w:r>
      <w:r>
        <w:rPr>
          <w:color w:val="000000"/>
        </w:rPr>
        <w:t xml:space="preserve"> </w:t>
      </w:r>
      <w:r>
        <w:rPr>
          <w:rFonts w:ascii="Arial;sans-serif" w:hAnsi="Arial;sans-serif"/>
          <w:b w:val="false"/>
          <w:i/>
          <w:color w:val="000000"/>
          <w:sz w:val="17"/>
        </w:rPr>
        <w:t>consent</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agreement</w:t>
      </w:r>
      <w:r>
        <w:rPr>
          <w:color w:val="000000"/>
        </w:rPr>
        <w:t xml:space="preserve"> </w:t>
      </w:r>
      <w:r>
        <w:rPr>
          <w:rFonts w:ascii="Arial;sans-serif" w:hAnsi="Arial;sans-serif"/>
          <w:b w:val="false"/>
          <w:i/>
          <w:color w:val="000000"/>
          <w:sz w:val="17"/>
        </w:rPr>
        <w:t>requested</w:t>
      </w:r>
      <w:r>
        <w:rPr>
          <w:color w:val="000000"/>
        </w:rPr>
        <w:t xml:space="preserve"> </w:t>
      </w:r>
      <w:r>
        <w:rPr>
          <w:rFonts w:ascii="Arial;sans-serif" w:hAnsi="Arial;sans-serif"/>
          <w:b w:val="false"/>
          <w:i/>
          <w:color w:val="000000"/>
          <w:sz w:val="17"/>
        </w:rPr>
        <w:t>by the</w:t>
      </w:r>
      <w:r>
        <w:rPr>
          <w:color w:val="000000"/>
        </w:rPr>
        <w:t xml:space="preserve"> </w:t>
      </w:r>
      <w:r>
        <w:rPr>
          <w:rFonts w:ascii="Arial;sans-serif" w:hAnsi="Arial;sans-serif"/>
          <w:b w:val="false"/>
          <w:i/>
          <w:color w:val="000000"/>
          <w:sz w:val="17"/>
        </w:rPr>
        <w:t>Company and/or your employer.</w:t>
      </w:r>
    </w:p>
    <w:p>
      <w:pPr>
        <w:pStyle w:val="TextBody"/>
        <w:bidi w:val="0"/>
        <w:spacing w:before="15" w:after="283"/>
        <w:jc w:val="left"/>
        <w:rPr/>
      </w:pPr>
      <w:r>
        <w:rPr/>
      </w:r>
    </w:p>
    <w:p>
      <w:pPr>
        <w:pStyle w:val="TextBody"/>
        <w:bidi w:val="0"/>
        <w:spacing w:lineRule="auto" w:line="285" w:before="0" w:after="0"/>
        <w:ind w:left="0" w:right="0" w:hanging="8"/>
        <w:jc w:val="both"/>
        <w:rPr/>
      </w:pPr>
      <w:r>
        <w:rPr>
          <w:rFonts w:ascii="Arial;sans-serif" w:hAnsi="Arial;sans-serif"/>
          <w:b w:val="false"/>
          <w:i/>
          <w:color w:val="000000"/>
          <w:sz w:val="17"/>
        </w:rPr>
        <w:t>By providing an additional signature below, you are declaring that you agree with the data processing practices described</w:t>
      </w:r>
      <w:r>
        <w:rPr>
          <w:color w:val="000000"/>
        </w:rPr>
        <w:t xml:space="preserve"> </w:t>
      </w:r>
      <w:r>
        <w:rPr>
          <w:rFonts w:ascii="Arial;sans-serif" w:hAnsi="Arial;sans-serif"/>
          <w:b w:val="false"/>
          <w:i/>
          <w:color w:val="000000"/>
          <w:sz w:val="17"/>
        </w:rPr>
        <w:t>herein</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consent</w:t>
      </w:r>
      <w:r>
        <w:rPr>
          <w:color w:val="000000"/>
        </w:rPr>
        <w:t xml:space="preserve"> </w:t>
      </w:r>
      <w:r>
        <w:rPr>
          <w:rFonts w:ascii="Arial;sans-serif" w:hAnsi="Arial;sans-serif"/>
          <w:b w:val="false"/>
          <w:i/>
          <w:color w:val="000000"/>
          <w:sz w:val="17"/>
        </w:rPr>
        <w:t>to</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collection,</w:t>
      </w:r>
      <w:r>
        <w:rPr>
          <w:color w:val="000000"/>
        </w:rPr>
        <w:t xml:space="preserve"> </w:t>
      </w:r>
      <w:r>
        <w:rPr>
          <w:rFonts w:ascii="Arial;sans-serif" w:hAnsi="Arial;sans-serif"/>
          <w:b w:val="false"/>
          <w:i/>
          <w:color w:val="000000"/>
          <w:sz w:val="17"/>
        </w:rPr>
        <w:t>processing</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use</w:t>
      </w:r>
      <w:r>
        <w:rPr>
          <w:color w:val="000000"/>
        </w:rPr>
        <w:t xml:space="preserve"> </w:t>
      </w:r>
      <w:r>
        <w:rPr>
          <w:rFonts w:ascii="Arial;sans-serif" w:hAnsi="Arial;sans-serif"/>
          <w:b w:val="false"/>
          <w:color w:val="000000"/>
          <w:sz w:val="17"/>
        </w:rPr>
        <w:t>of</w:t>
      </w:r>
      <w:r>
        <w:rPr>
          <w:color w:val="000000"/>
        </w:rPr>
        <w:t xml:space="preserve"> </w:t>
      </w:r>
      <w:r>
        <w:rPr>
          <w:rFonts w:ascii="Arial;sans-serif" w:hAnsi="Arial;sans-serif"/>
          <w:b w:val="false"/>
          <w:i/>
          <w:color w:val="000000"/>
          <w:sz w:val="17"/>
        </w:rPr>
        <w:t>Data</w:t>
      </w:r>
      <w:r>
        <w:rPr>
          <w:color w:val="000000"/>
        </w:rPr>
        <w:t xml:space="preserve"> </w:t>
      </w:r>
      <w:r>
        <w:rPr>
          <w:rFonts w:ascii="Arial;sans-serif" w:hAnsi="Arial;sans-serif"/>
          <w:b w:val="false"/>
          <w:i/>
          <w:color w:val="000000"/>
          <w:sz w:val="17"/>
        </w:rPr>
        <w:t>by</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Company</w:t>
      </w:r>
      <w:r>
        <w:rPr>
          <w:color w:val="000000"/>
        </w:rPr>
        <w:t xml:space="preserve"> </w:t>
      </w:r>
      <w:r>
        <w:rPr>
          <w:rFonts w:ascii="Arial;sans-serif" w:hAnsi="Arial;sans-serif"/>
          <w:b w:val="false"/>
          <w:i/>
          <w:color w:val="000000"/>
          <w:sz w:val="17"/>
        </w:rPr>
        <w:t>and</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transfer</w:t>
      </w:r>
      <w:r>
        <w:rPr>
          <w:color w:val="000000"/>
        </w:rPr>
        <w:t xml:space="preserve"> </w:t>
      </w:r>
      <w:r>
        <w:rPr>
          <w:rFonts w:ascii="Arial;sans-serif" w:hAnsi="Arial;sans-serif"/>
          <w:b w:val="false"/>
          <w:i/>
          <w:color w:val="000000"/>
          <w:sz w:val="17"/>
        </w:rPr>
        <w:t>of</w:t>
      </w:r>
      <w:r>
        <w:rPr>
          <w:color w:val="000000"/>
        </w:rPr>
        <w:t xml:space="preserve"> </w:t>
      </w:r>
      <w:r>
        <w:rPr>
          <w:rFonts w:ascii="Arial;sans-serif" w:hAnsi="Arial;sans-serif"/>
          <w:b w:val="false"/>
          <w:i/>
          <w:color w:val="000000"/>
          <w:sz w:val="17"/>
        </w:rPr>
        <w:t>Data to</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recipients</w:t>
      </w:r>
      <w:r>
        <w:rPr>
          <w:color w:val="000000"/>
        </w:rPr>
        <w:t xml:space="preserve"> </w:t>
      </w:r>
      <w:r>
        <w:rPr>
          <w:rFonts w:ascii="Arial;sans-serif" w:hAnsi="Arial;sans-serif"/>
          <w:b w:val="false"/>
          <w:i/>
          <w:color w:val="000000"/>
          <w:sz w:val="17"/>
        </w:rPr>
        <w:t>mentioned</w:t>
      </w:r>
      <w:r>
        <w:rPr>
          <w:color w:val="000000"/>
        </w:rPr>
        <w:t xml:space="preserve"> </w:t>
      </w:r>
      <w:r>
        <w:rPr>
          <w:rFonts w:ascii="Arial;sans-serif" w:hAnsi="Arial;sans-serif"/>
          <w:b w:val="false"/>
          <w:i/>
          <w:color w:val="000000"/>
          <w:sz w:val="17"/>
        </w:rPr>
        <w:t>above,</w:t>
      </w:r>
      <w:r>
        <w:rPr>
          <w:color w:val="000000"/>
        </w:rPr>
        <w:t xml:space="preserve"> </w:t>
      </w:r>
      <w:r>
        <w:rPr>
          <w:rFonts w:ascii="Arial;sans-serif" w:hAnsi="Arial;sans-serif"/>
          <w:b w:val="false"/>
          <w:i/>
          <w:color w:val="000000"/>
          <w:sz w:val="17"/>
        </w:rPr>
        <w:t>including</w:t>
      </w:r>
      <w:r>
        <w:rPr>
          <w:color w:val="000000"/>
        </w:rPr>
        <w:t xml:space="preserve"> </w:t>
      </w:r>
      <w:r>
        <w:rPr>
          <w:rFonts w:ascii="Arial;sans-serif" w:hAnsi="Arial;sans-serif"/>
          <w:b w:val="false"/>
          <w:i/>
          <w:color w:val="000000"/>
          <w:sz w:val="17"/>
        </w:rPr>
        <w:t>recipients</w:t>
      </w:r>
      <w:r>
        <w:rPr>
          <w:color w:val="000000"/>
        </w:rPr>
        <w:t xml:space="preserve"> </w:t>
      </w:r>
      <w:r>
        <w:rPr>
          <w:rFonts w:ascii="Arial;sans-serif" w:hAnsi="Arial;sans-serif"/>
          <w:b w:val="false"/>
          <w:i/>
          <w:color w:val="000000"/>
          <w:sz w:val="17"/>
        </w:rPr>
        <w:t>located</w:t>
      </w:r>
      <w:r>
        <w:rPr>
          <w:color w:val="000000"/>
        </w:rPr>
        <w:t xml:space="preserve"> </w:t>
      </w:r>
      <w:r>
        <w:rPr>
          <w:rFonts w:ascii="Arial;sans-serif" w:hAnsi="Arial;sans-serif"/>
          <w:b w:val="false"/>
          <w:i/>
          <w:color w:val="000000"/>
          <w:sz w:val="17"/>
        </w:rPr>
        <w:t>in</w:t>
      </w:r>
      <w:r>
        <w:rPr>
          <w:color w:val="000000"/>
        </w:rPr>
        <w:t xml:space="preserve"> </w:t>
      </w:r>
      <w:r>
        <w:rPr>
          <w:rFonts w:ascii="Arial;sans-serif" w:hAnsi="Arial;sans-serif"/>
          <w:b w:val="false"/>
          <w:i/>
          <w:color w:val="000000"/>
          <w:sz w:val="17"/>
        </w:rPr>
        <w:t>countries</w:t>
      </w:r>
      <w:r>
        <w:rPr>
          <w:color w:val="000000"/>
        </w:rPr>
        <w:t xml:space="preserve"> </w:t>
      </w:r>
      <w:r>
        <w:rPr>
          <w:rFonts w:ascii="Arial;sans-serif" w:hAnsi="Arial;sans-serif"/>
          <w:b w:val="false"/>
          <w:i/>
          <w:color w:val="000000"/>
          <w:sz w:val="17"/>
        </w:rPr>
        <w:t>which</w:t>
      </w:r>
      <w:r>
        <w:rPr>
          <w:color w:val="000000"/>
        </w:rPr>
        <w:t xml:space="preserve"> </w:t>
      </w:r>
      <w:r>
        <w:rPr>
          <w:rFonts w:ascii="Arial;sans-serif" w:hAnsi="Arial;sans-serif"/>
          <w:b w:val="false"/>
          <w:color w:val="000000"/>
          <w:sz w:val="17"/>
        </w:rPr>
        <w:t>do</w:t>
      </w:r>
      <w:r>
        <w:rPr>
          <w:color w:val="000000"/>
        </w:rPr>
        <w:t xml:space="preserve"> </w:t>
      </w:r>
      <w:r>
        <w:rPr>
          <w:rFonts w:ascii="Arial;sans-serif" w:hAnsi="Arial;sans-serif"/>
          <w:b w:val="false"/>
          <w:color w:val="000000"/>
          <w:sz w:val="17"/>
        </w:rPr>
        <w:t>not</w:t>
      </w:r>
      <w:r>
        <w:rPr>
          <w:color w:val="000000"/>
        </w:rPr>
        <w:t xml:space="preserve"> </w:t>
      </w:r>
      <w:r>
        <w:rPr>
          <w:rFonts w:ascii="Arial;sans-serif" w:hAnsi="Arial;sans-serif"/>
          <w:b w:val="false"/>
          <w:i/>
          <w:color w:val="000000"/>
          <w:sz w:val="17"/>
        </w:rPr>
        <w:t>provide</w:t>
      </w:r>
      <w:r>
        <w:rPr>
          <w:color w:val="000000"/>
        </w:rPr>
        <w:t xml:space="preserve"> </w:t>
      </w:r>
      <w:r>
        <w:rPr>
          <w:rFonts w:ascii="Arial;sans-serif" w:hAnsi="Arial;sans-serif"/>
          <w:b w:val="false"/>
          <w:i/>
          <w:color w:val="000000"/>
          <w:sz w:val="17"/>
        </w:rPr>
        <w:t>an</w:t>
      </w:r>
      <w:r>
        <w:rPr>
          <w:color w:val="000000"/>
        </w:rPr>
        <w:t xml:space="preserve"> </w:t>
      </w:r>
      <w:r>
        <w:rPr>
          <w:rFonts w:ascii="Arial;sans-serif" w:hAnsi="Arial;sans-serif"/>
          <w:b w:val="false"/>
          <w:i/>
          <w:color w:val="000000"/>
          <w:sz w:val="17"/>
        </w:rPr>
        <w:t>adequate</w:t>
      </w:r>
      <w:r>
        <w:rPr>
          <w:color w:val="000000"/>
        </w:rPr>
        <w:t xml:space="preserve"> </w:t>
      </w:r>
      <w:r>
        <w:rPr>
          <w:rFonts w:ascii="Arial;sans-serif" w:hAnsi="Arial;sans-serif"/>
          <w:b w:val="false"/>
          <w:i/>
          <w:color w:val="000000"/>
          <w:sz w:val="17"/>
        </w:rPr>
        <w:t xml:space="preserve">level </w:t>
      </w:r>
      <w:r>
        <w:rPr>
          <w:rFonts w:ascii="Arial;sans-serif" w:hAnsi="Arial;sans-serif"/>
          <w:b w:val="false"/>
          <w:color w:val="000000"/>
          <w:sz w:val="17"/>
        </w:rPr>
        <w:t>of</w:t>
      </w:r>
      <w:r>
        <w:rPr>
          <w:color w:val="000000"/>
        </w:rPr>
        <w:t xml:space="preserve"> </w:t>
      </w:r>
      <w:r>
        <w:rPr>
          <w:rFonts w:ascii="Arial;sans-serif" w:hAnsi="Arial;sans-serif"/>
          <w:b w:val="false"/>
          <w:i/>
          <w:color w:val="000000"/>
          <w:sz w:val="17"/>
        </w:rPr>
        <w:t>protection</w:t>
      </w:r>
      <w:r>
        <w:rPr>
          <w:color w:val="000000"/>
        </w:rPr>
        <w:t xml:space="preserve"> </w:t>
      </w:r>
      <w:r>
        <w:rPr>
          <w:rFonts w:ascii="Arial;sans-serif" w:hAnsi="Arial;sans-serif"/>
          <w:b w:val="false"/>
          <w:color w:val="000000"/>
          <w:sz w:val="17"/>
        </w:rPr>
        <w:t>from</w:t>
      </w:r>
      <w:r>
        <w:rPr>
          <w:color w:val="000000"/>
        </w:rPr>
        <w:t xml:space="preserve"> </w:t>
      </w:r>
      <w:r>
        <w:rPr>
          <w:rFonts w:ascii="Arial;sans-serif" w:hAnsi="Arial;sans-serif"/>
          <w:b w:val="false"/>
          <w:i/>
          <w:color w:val="000000"/>
          <w:sz w:val="17"/>
        </w:rPr>
        <w:t>a</w:t>
      </w:r>
      <w:r>
        <w:rPr>
          <w:color w:val="000000"/>
        </w:rPr>
        <w:t xml:space="preserve"> </w:t>
      </w:r>
      <w:r>
        <w:rPr>
          <w:rFonts w:ascii="Arial;sans-serif" w:hAnsi="Arial;sans-serif"/>
          <w:b w:val="false"/>
          <w:i/>
          <w:color w:val="000000"/>
          <w:sz w:val="17"/>
        </w:rPr>
        <w:t>European</w:t>
      </w:r>
      <w:r>
        <w:rPr>
          <w:color w:val="000000"/>
        </w:rPr>
        <w:t xml:space="preserve"> </w:t>
      </w:r>
      <w:r>
        <w:rPr>
          <w:rFonts w:ascii="Arial;sans-serif" w:hAnsi="Arial;sans-serif"/>
          <w:b w:val="false"/>
          <w:i/>
          <w:color w:val="000000"/>
          <w:sz w:val="17"/>
        </w:rPr>
        <w:t>(or</w:t>
      </w:r>
      <w:r>
        <w:rPr>
          <w:color w:val="000000"/>
        </w:rPr>
        <w:t xml:space="preserve"> </w:t>
      </w:r>
      <w:r>
        <w:rPr>
          <w:rFonts w:ascii="Arial;sans-serif" w:hAnsi="Arial;sans-serif"/>
          <w:b w:val="false"/>
          <w:i/>
          <w:color w:val="000000"/>
          <w:sz w:val="17"/>
        </w:rPr>
        <w:t>other</w:t>
      </w:r>
      <w:r>
        <w:rPr>
          <w:color w:val="000000"/>
        </w:rPr>
        <w:t xml:space="preserve"> </w:t>
      </w:r>
      <w:r>
        <w:rPr>
          <w:rFonts w:ascii="Arial;sans-serif" w:hAnsi="Arial;sans-serif"/>
          <w:b w:val="false"/>
          <w:i/>
          <w:color w:val="000000"/>
          <w:sz w:val="17"/>
        </w:rPr>
        <w:t>non-U.S.)</w:t>
      </w:r>
      <w:r>
        <w:rPr>
          <w:color w:val="000000"/>
        </w:rPr>
        <w:t xml:space="preserve"> </w:t>
      </w:r>
      <w:r>
        <w:rPr>
          <w:rFonts w:ascii="Arial;sans-serif" w:hAnsi="Arial;sans-serif"/>
          <w:b w:val="false"/>
          <w:i/>
          <w:color w:val="000000"/>
          <w:sz w:val="17"/>
        </w:rPr>
        <w:t>data</w:t>
      </w:r>
      <w:r>
        <w:rPr>
          <w:color w:val="000000"/>
        </w:rPr>
        <w:t xml:space="preserve"> </w:t>
      </w:r>
      <w:r>
        <w:rPr>
          <w:rFonts w:ascii="Arial;sans-serif" w:hAnsi="Arial;sans-serif"/>
          <w:b w:val="false"/>
          <w:i/>
          <w:color w:val="000000"/>
          <w:sz w:val="17"/>
        </w:rPr>
        <w:t>protection</w:t>
      </w:r>
      <w:r>
        <w:rPr>
          <w:color w:val="000000"/>
        </w:rPr>
        <w:t xml:space="preserve"> </w:t>
      </w:r>
      <w:r>
        <w:rPr>
          <w:rFonts w:ascii="Arial;sans-serif" w:hAnsi="Arial;sans-serif"/>
          <w:b w:val="false"/>
          <w:i/>
          <w:color w:val="000000"/>
          <w:sz w:val="17"/>
        </w:rPr>
        <w:t>law</w:t>
      </w:r>
      <w:r>
        <w:rPr>
          <w:color w:val="000000"/>
        </w:rPr>
        <w:t xml:space="preserve"> </w:t>
      </w:r>
      <w:r>
        <w:rPr>
          <w:rFonts w:ascii="Arial;sans-serif" w:hAnsi="Arial;sans-serif"/>
          <w:b w:val="false"/>
          <w:i/>
          <w:color w:val="000000"/>
          <w:sz w:val="17"/>
        </w:rPr>
        <w:t>perspective,</w:t>
      </w:r>
      <w:r>
        <w:rPr>
          <w:color w:val="000000"/>
        </w:rPr>
        <w:t xml:space="preserve"> </w:t>
      </w:r>
      <w:r>
        <w:rPr>
          <w:rFonts w:ascii="Arial;sans-serif" w:hAnsi="Arial;sans-serif"/>
          <w:b w:val="false"/>
          <w:i/>
          <w:color w:val="000000"/>
          <w:sz w:val="17"/>
        </w:rPr>
        <w:t>for</w:t>
      </w:r>
      <w:r>
        <w:rPr>
          <w:color w:val="000000"/>
        </w:rPr>
        <w:t xml:space="preserve"> </w:t>
      </w:r>
      <w:r>
        <w:rPr>
          <w:rFonts w:ascii="Arial;sans-serif" w:hAnsi="Arial;sans-serif"/>
          <w:b w:val="false"/>
          <w:i/>
          <w:color w:val="000000"/>
          <w:sz w:val="17"/>
        </w:rPr>
        <w:t>the</w:t>
      </w:r>
      <w:r>
        <w:rPr>
          <w:color w:val="000000"/>
        </w:rPr>
        <w:t xml:space="preserve"> </w:t>
      </w:r>
      <w:r>
        <w:rPr>
          <w:rFonts w:ascii="Arial;sans-serif" w:hAnsi="Arial;sans-serif"/>
          <w:b w:val="false"/>
          <w:i/>
          <w:color w:val="000000"/>
          <w:sz w:val="17"/>
        </w:rPr>
        <w:t>purpose</w:t>
      </w:r>
      <w:r>
        <w:rPr>
          <w:color w:val="000000"/>
        </w:rPr>
        <w:t xml:space="preserve"> </w:t>
      </w:r>
      <w:r>
        <w:rPr>
          <w:rFonts w:ascii="Arial;sans-serif" w:hAnsi="Arial;sans-serif"/>
          <w:b w:val="false"/>
          <w:i/>
          <w:color w:val="000000"/>
          <w:sz w:val="17"/>
        </w:rPr>
        <w:t>described</w:t>
      </w:r>
      <w:r>
        <w:rPr>
          <w:color w:val="000000"/>
        </w:rPr>
        <w:t xml:space="preserve"> </w:t>
      </w:r>
      <w:r>
        <w:rPr>
          <w:rFonts w:ascii="Arial;sans-serif" w:hAnsi="Arial;sans-serif"/>
          <w:b w:val="false"/>
          <w:i/>
          <w:color w:val="000000"/>
          <w:sz w:val="17"/>
        </w:rPr>
        <w:t>above.</w:t>
      </w:r>
    </w:p>
    <w:p>
      <w:pPr>
        <w:pStyle w:val="TextBody"/>
        <w:bidi w:val="0"/>
        <w:spacing w:before="0" w:after="0"/>
        <w:ind w:left="0" w:right="0" w:hanging="8"/>
        <w:jc w:val="both"/>
        <w:rPr/>
      </w:pPr>
      <w:r>
        <w:rPr/>
      </w:r>
    </w:p>
    <w:p>
      <w:pPr>
        <w:pStyle w:val="TextBody"/>
        <w:bidi w:val="0"/>
        <w:spacing w:lineRule="auto" w:line="288" w:before="187" w:after="283"/>
        <w:jc w:val="both"/>
        <w:rPr/>
      </w:pPr>
      <w:r>
        <w:rPr>
          <w:rFonts w:ascii="Arial;sans-serif" w:hAnsi="Arial;sans-serif"/>
          <w:b w:val="false"/>
          <w:color w:val="000000"/>
          <w:sz w:val="18"/>
        </w:rPr>
        <w:t>ACKNOWLEDGED</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AGREED</w:t>
      </w:r>
    </w:p>
    <w:p>
      <w:pPr>
        <w:pStyle w:val="TextBody"/>
        <w:bidi w:val="0"/>
        <w:spacing w:before="187" w:after="283"/>
        <w:jc w:val="both"/>
        <w:rPr/>
      </w:pPr>
      <w:r>
        <w:rPr/>
      </w:r>
    </w:p>
    <w:p>
      <w:pPr>
        <w:pStyle w:val="TextBody"/>
        <w:bidi w:val="0"/>
        <w:spacing w:lineRule="auto" w:line="288" w:before="35" w:after="283"/>
        <w:jc w:val="left"/>
        <w:rPr>
          <w:rFonts w:ascii="Arial;sans-serif" w:hAnsi="Arial;sans-serif"/>
          <w:b w:val="false"/>
          <w:color w:val="000000"/>
          <w:sz w:val="16"/>
          <w:u w:val="single"/>
        </w:rPr>
      </w:pPr>
      <w:r>
        <w:rPr>
          <w:rFonts w:ascii="Arial;sans-serif" w:hAnsi="Arial;sans-serif"/>
          <w:b w:val="false"/>
          <w:color w:val="000000"/>
          <w:sz w:val="16"/>
          <w:u w:val="single"/>
        </w:rPr>
        <w:t>/s/ KEVIN MEAGHER</w:t>
      </w:r>
    </w:p>
    <w:p>
      <w:pPr>
        <w:pStyle w:val="TextBody"/>
        <w:bidi w:val="0"/>
        <w:spacing w:lineRule="auto" w:line="288" w:before="35" w:after="283"/>
        <w:jc w:val="left"/>
        <w:rPr>
          <w:rFonts w:ascii="Arial;sans-serif" w:hAnsi="Arial;sans-serif"/>
          <w:b w:val="false"/>
          <w:color w:val="000000"/>
          <w:sz w:val="16"/>
        </w:rPr>
      </w:pPr>
      <w:r>
        <w:rPr>
          <w:rFonts w:ascii="Arial;sans-serif" w:hAnsi="Arial;sans-serif"/>
          <w:b w:val="false"/>
          <w:color w:val="000000"/>
          <w:sz w:val="16"/>
        </w:rPr>
        <w:t>Name</w:t>
      </w:r>
    </w:p>
    <w:p>
      <w:pPr>
        <w:pStyle w:val="TextBody"/>
        <w:bidi w:val="0"/>
        <w:spacing w:before="35" w:after="283"/>
        <w:jc w:val="left"/>
        <w:rPr/>
      </w:pPr>
      <w:r>
        <w:rPr/>
      </w:r>
    </w:p>
    <w:p>
      <w:pPr>
        <w:pStyle w:val="TextBody"/>
        <w:bidi w:val="0"/>
        <w:spacing w:lineRule="auto" w:line="288" w:before="35" w:after="283"/>
        <w:jc w:val="left"/>
        <w:rPr>
          <w:rFonts w:ascii="Arial;sans-serif" w:hAnsi="Arial;sans-serif"/>
          <w:b w:val="false"/>
          <w:color w:val="000000"/>
          <w:sz w:val="16"/>
          <w:u w:val="single"/>
        </w:rPr>
      </w:pPr>
      <w:r>
        <w:rPr>
          <w:rFonts w:ascii="Arial;sans-serif" w:hAnsi="Arial;sans-serif"/>
          <w:b w:val="false"/>
          <w:color w:val="000000"/>
          <w:sz w:val="16"/>
          <w:u w:val="single"/>
        </w:rPr>
        <w:t>20 NOV 2025</w:t>
      </w:r>
    </w:p>
    <w:p>
      <w:pPr>
        <w:pStyle w:val="TextBody"/>
        <w:bidi w:val="0"/>
        <w:spacing w:lineRule="auto" w:line="288" w:before="35" w:after="283"/>
        <w:jc w:val="left"/>
        <w:rPr>
          <w:rFonts w:ascii="Arial;sans-serif" w:hAnsi="Arial;sans-serif"/>
          <w:b w:val="false"/>
          <w:color w:val="000000"/>
          <w:sz w:val="16"/>
        </w:rPr>
      </w:pPr>
      <w:r>
        <w:rPr>
          <w:rFonts w:ascii="Arial;sans-serif" w:hAnsi="Arial;sans-serif"/>
          <w:b w:val="false"/>
          <w:color w:val="000000"/>
          <w:sz w:val="16"/>
        </w:rPr>
        <w:t>Date</w:t>
      </w:r>
    </w:p>
    <w:p>
      <w:pPr>
        <w:pStyle w:val="TextBody"/>
        <w:bidi w:val="0"/>
        <w:spacing w:before="3"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74015"/>
                <wp:effectExtent l="0" t="0" r="0" b="0"/>
                <wp:wrapNone/>
                <wp:docPr id="63" name="Frame62"/>
                <a:graphic xmlns:a="http://schemas.openxmlformats.org/drawingml/2006/main">
                  <a:graphicData uri="http://schemas.microsoft.com/office/word/2010/wordprocessingShape">
                    <wps:wsp>
                      <wps:cNvSpPr txBox="1"/>
                      <wps:spPr>
                        <a:xfrm>
                          <a:off x="0" y="0"/>
                          <a:ext cx="6480175" cy="374015"/>
                        </a:xfrm>
                        <a:prstGeom prst="rect"/>
                        <a:solidFill>
                          <a:srgbClr val="FFFFFF"/>
                        </a:solidFill>
                      </wps:spPr>
                      <wps:txb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center"/>
                        <w:rPr>
                          <w:rFonts w:ascii="Arial;sans-serif" w:hAnsi="Arial;sans-serif"/>
                          <w:b/>
                          <w:color w:val="000000"/>
                          <w:sz w:val="14"/>
                        </w:rPr>
                      </w:pPr>
                      <w:r>
                        <w:rPr>
                          <w:rFonts w:ascii="Arial;sans-serif" w:hAnsi="Arial;sans-serif"/>
                          <w:b/>
                          <w:color w:val="000000"/>
                          <w:sz w:val="14"/>
                        </w:rPr>
                        <w:t>Quaker Houghton Sales B.V. Deutsche Zweigniederlassung - A Quaker Houghton Company</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Giselherstrasse 57 D-44319 Dortmund - T: +49 (0) 800.7435562 | F: +49 (0) 800.3297435 - quakerhoughton.com</w:t>
                      </w:r>
                    </w:p>
                    <w:p>
                      <w:pPr>
                        <w:pStyle w:val="TextBody"/>
                        <w:bidi w:val="0"/>
                        <w:spacing w:lineRule="auto" w:line="319" w:before="0" w:after="0"/>
                        <w:jc w:val="center"/>
                        <w:rPr>
                          <w:rFonts w:ascii="Arial;sans-serif" w:hAnsi="Arial;sans-serif"/>
                          <w:b w:val="false"/>
                          <w:color w:val="000000"/>
                          <w:sz w:val="14"/>
                        </w:rPr>
                      </w:pPr>
                      <w:r>
                        <w:rPr>
                          <w:rFonts w:ascii="Arial;sans-serif" w:hAnsi="Arial;sans-serif"/>
                          <w:b w:val="false"/>
                          <w:color w:val="000000"/>
                          <w:sz w:val="14"/>
                        </w:rPr>
                        <w:t>Sitz der Gesellschaft Dortmund Amtsgericht - Dortmund Handelsregister-Nr. HRB 34612- USt-Id.- Nr. DE DE324629237 - Geschäftsführung M.H. Moreno / H. Blok</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CHANGE IN CONTROL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AGREEMENT, dated January 1, 2026 between QUAKER CHEMICAL CORPORATION, d/b/a QUAKER HOUGHTON, a Pennsylvania corporation (the “Company”) and KEVIN MEAGHER (the “Manager”)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 T H A 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Board of Directors of the Company believes that the execution by the Company of change in control agreements with certain management personnel, including the Manager, is an important factor in achieving this desired end;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mutual obligations and agreements contained herein and intending to be legally bound hereby, the Manager and the Company agree that the Change in Control Agreement is amended and restated, as follows: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w:t>
      </w:r>
      <w:r>
        <w:rPr>
          <w:rFonts w:ascii="Times New Roman;serif" w:hAnsi="Times New Roman;serif"/>
          <w:b/>
          <w:color w:val="000000"/>
          <w:sz w:val="24"/>
          <w:u w:val="single"/>
        </w:rPr>
        <w:t>Term of Agreement</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This Agreement shall become effective on your start date with the Company (the “Effective Date”), and shall continue in effect through December 31, 2026,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27000"/>
                <wp:effectExtent l="0" t="0" r="0" b="0"/>
                <wp:wrapNone/>
                <wp:docPr id="64" name="Frame63"/>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2.</w:t>
      </w:r>
      <w:r>
        <w:rPr>
          <w:rFonts w:ascii="Times New Roman;serif" w:hAnsi="Times New Roman;serif"/>
          <w:b/>
          <w:color w:val="000000"/>
          <w:sz w:val="24"/>
          <w:u w:val="single"/>
        </w:rPr>
        <w:t>Change in Control</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As used in this Agreement, a “Change in Control” of the Company shall be deemed to have occurred if:</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 </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rPr>
        <w:t>The Company’s shareholders or the Company’s Board of Directors shall approve the liquidation or dissolution of the Company.</w:t>
      </w:r>
    </w:p>
    <w:p>
      <w:pPr>
        <w:pStyle w:val="TextBody"/>
        <w:bidi w:val="0"/>
        <w:spacing w:lineRule="auto" w:line="288" w:before="0" w:after="0"/>
        <w:jc w:val="left"/>
        <w:rPr>
          <w:color w:val="000000"/>
        </w:rPr>
      </w:pPr>
      <w:r>
        <w:rPr>
          <w:color w:val="000000"/>
        </w:rPr>
        <w:t>    </w:t>
      </w:r>
    </w:p>
    <w:p>
      <w:pPr>
        <w:pStyle w:val="TextBody"/>
        <w:bidi w:val="0"/>
        <w:spacing w:lineRule="auto" w:line="240" w:before="0" w:after="120"/>
        <w:jc w:val="left"/>
        <w:rPr/>
      </w:pPr>
      <w:r>
        <w:rPr>
          <w:rFonts w:ascii="Times New Roman;serif" w:hAnsi="Times New Roman;serif"/>
          <w:b/>
          <w:color w:val="000000"/>
          <w:sz w:val="24"/>
        </w:rPr>
        <w:t>3.</w:t>
      </w:r>
      <w:r>
        <w:rPr>
          <w:rFonts w:ascii="Times New Roman;serif" w:hAnsi="Times New Roman;serif"/>
          <w:b/>
          <w:color w:val="000000"/>
          <w:sz w:val="24"/>
          <w:u w:val="single"/>
        </w:rPr>
        <w:t>Entitlement to Change in Control Benefits; Certain Definitions</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- 2 -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- 2 -</w:t>
                      </w: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A Covered Termination shall have occurred in the event the Manager’s employment with the Company or its affiliates is terminated within two (2) years following a Change in Control by:</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Company or its affiliates without Cause (as defined below); or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(ii)Resignation of the Manager for Good Reason (as defined below).</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her position.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Internal Revenue Code of 1986, as amended, together with any applicable regulations thereunder.</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- 3 -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- 3 -</w:t>
                      </w: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required to accept a primary employment location which is more than twenty-five (25) miles from the location at which he primarily was employed during the ninety (90) day period prior to a Change in Control.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shall mean the 60th day after the Manager’s Separation from Service, subject to Section 9.</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 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her Covered Termination, and the Manager does not revoke the Release.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Separation from Service</w:t>
      </w:r>
      <w:r>
        <w:rPr>
          <w:color w:val="000000"/>
        </w:rPr>
        <w:t xml:space="preserve">” </w:t>
      </w:r>
      <w:r>
        <w:rPr>
          <w:rFonts w:ascii="Times New Roman;serif" w:hAnsi="Times New Roman;serif"/>
          <w:b w:val="false"/>
          <w:color w:val="000000"/>
          <w:sz w:val="24"/>
        </w:rPr>
        <w:t>shall mean the Manager’s separation from service with the Company and its affiliates within the meaning of Treas. Reg. §1.409A-1(h) or any successor thereto.</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Specified Employee</w:t>
      </w:r>
      <w:r>
        <w:rPr>
          <w:color w:val="000000"/>
        </w:rPr>
        <w:t xml:space="preserve">” </w:t>
      </w:r>
      <w:r>
        <w:rPr>
          <w:rFonts w:ascii="Times New Roman;serif" w:hAnsi="Times New Roman;serif"/>
          <w:b w:val="false"/>
          <w:color w:val="000000"/>
          <w:sz w:val="24"/>
        </w:rPr>
        <w:t xml:space="preserve">shall mean the Manager if he is a specified employee as defined in Section 409A of the Code as of the date of her Separation from Service. </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4.</w:t>
      </w:r>
      <w:r>
        <w:rPr>
          <w:rFonts w:ascii="Times New Roman;serif" w:hAnsi="Times New Roman;serif"/>
          <w:b/>
          <w:color w:val="000000"/>
          <w:sz w:val="24"/>
          <w:u w:val="single"/>
        </w:rPr>
        <w:t>Severance Allowance</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Amount of Severance Allowance</w:t>
      </w:r>
      <w:r>
        <w:rPr>
          <w:rFonts w:ascii="Times New Roman;serif" w:hAnsi="Times New Roman;serif"/>
          <w:b w:val="false"/>
          <w:color w:val="000000"/>
          <w:sz w:val="24"/>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(i)An amount equivalent to the highest annualized base salary which the Manager was entitled to receive from the Company and its subsidiaries at any time during her employment prior to the Covered Termination; and</w:t>
      </w:r>
    </w:p>
    <w:p>
      <w:pPr>
        <w:pStyle w:val="TextBody"/>
        <w:bidi w:val="0"/>
        <w:spacing w:lineRule="auto" w:line="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(ii)An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- 4 -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- 4 -</w:t>
                      </w:r>
                      <w:r>
                        <w:rPr>
                          <w:color w:val="000000"/>
                        </w:rPr>
                        <w:t xml:space="preserve"> </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her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Three-Year Period shall be determined by substituting “Change In Control” for “Covered Termination” if such substitution results in a higher amount under this subsection (ii).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no event shall any retention bonus or change in control or success fee be taken into account when determining the amount of the Severance Allowance hereunder.</w:t>
      </w:r>
    </w:p>
    <w:p>
      <w:pPr>
        <w:pStyle w:val="TextBody"/>
        <w:bidi w:val="0"/>
        <w:spacing w:before="0" w:after="0"/>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Severance Allowance</w:t>
      </w:r>
      <w:r>
        <w:rPr>
          <w:rFonts w:ascii="Times New Roman;serif" w:hAnsi="Times New Roman;serif"/>
          <w:b w:val="false"/>
          <w:color w:val="000000"/>
          <w:sz w:val="24"/>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pStyle w:val="TextBody"/>
        <w:bidi w:val="0"/>
        <w:spacing w:lineRule="auto" w:line="240" w:before="0" w:after="120"/>
        <w:jc w:val="left"/>
        <w:rPr/>
      </w:pPr>
      <w:r>
        <w:rPr>
          <w:rFonts w:ascii="Times New Roman;serif" w:hAnsi="Times New Roman;serif"/>
          <w:b/>
          <w:color w:val="000000"/>
          <w:sz w:val="24"/>
        </w:rPr>
        <w:t>5.</w:t>
      </w:r>
      <w:r>
        <w:rPr>
          <w:rFonts w:ascii="Times New Roman;serif" w:hAnsi="Times New Roman;serif"/>
          <w:b/>
          <w:color w:val="000000"/>
          <w:sz w:val="24"/>
          <w:u w:val="single"/>
        </w:rPr>
        <w:t>Outplacement and Welfare Benefits</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Outplacement</w:t>
      </w:r>
      <w:r>
        <w:rPr>
          <w:rFonts w:ascii="Times New Roman;serif" w:hAnsi="Times New Roman;serif"/>
          <w:b w:val="false"/>
          <w:color w:val="000000"/>
          <w:sz w:val="24"/>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pStyle w:val="TextBody"/>
        <w:bidi w:val="0"/>
        <w:spacing w:lineRule="auto" w:line="240" w:before="0" w:after="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Welfare Benefits</w:t>
      </w:r>
      <w:r>
        <w:rPr>
          <w:rFonts w:ascii="Times New Roman;serif" w:hAnsi="Times New Roman;serif"/>
          <w:b w:val="false"/>
          <w:color w:val="000000"/>
          <w:sz w:val="24"/>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her dependents because the Manager is no longer an employee of the Company or its subsidiaries, the Company itself shall, to the extent necessary, pay or otherwise provide for such benefits to the Manager and her dependents.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- 5 -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- 5 -</w:t>
                      </w:r>
                      <w:r>
                        <w:rPr>
                          <w:color w:val="000000"/>
                        </w:rPr>
                        <w:t xml:space="preserve">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6.</w:t>
      </w:r>
      <w:r>
        <w:rPr>
          <w:rFonts w:ascii="Times New Roman;serif" w:hAnsi="Times New Roman;serif"/>
          <w:b/>
          <w:color w:val="000000"/>
          <w:sz w:val="24"/>
          <w:u w:val="single"/>
        </w:rPr>
        <w:t>Effect of Other Employment</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the Manager becomes employed (as defined below) during the period with respect to which benefits are continuing pursuant to Section 5: (a) the Manager shall notify the Company not later than the day such employment commences; and (b) 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her family); and the Manager’s “family” shall mean her parents, her siblings and their spouses, her children and their spouses, and the Manager’s spouse and her parents and siblings. Nothing herein shall relieve the Company of its obligations for compensation or benefits accrued up to the time of termination provided for herein.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7.</w:t>
      </w:r>
      <w:r>
        <w:rPr>
          <w:rFonts w:ascii="Times New Roman;serif" w:hAnsi="Times New Roman;serif"/>
          <w:b/>
          <w:color w:val="000000"/>
          <w:sz w:val="24"/>
          <w:u w:val="single"/>
        </w:rPr>
        <w:t>Other Payments and Benefits</w:t>
      </w:r>
      <w:r>
        <w:rPr>
          <w:rFonts w:ascii="Times New Roman;serif" w:hAnsi="Times New Roman;serif"/>
          <w:b/>
          <w:color w:val="000000"/>
          <w:sz w:val="24"/>
        </w:rPr>
        <w:t xml:space="preserve">. </w:t>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 (y) any annual incentive described in subsection (b) or (c) shall decrease (or shall be decreased by), but not below zero, the amount of the annual incentive payable (or paid) with respect to the same calendar year under the Company’s annual incentive plan (currently the 2023 Annual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- 6 -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- 6 -</w:t>
                      </w:r>
                      <w:r>
                        <w:rPr>
                          <w:color w:val="000000"/>
                        </w:rPr>
                        <w:t xml:space="preserve">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Plan); and (z) any amount described in subsection (d) shall decrease (or shall be decreased by), but not below zero, the amount of the analogous performance award payable (or paid) with respect to the same performance period(s) under the Company’s long term incentive plan(s) (currently the 2016 Long-Term Performance Incentive Plan). </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8.</w:t>
      </w:r>
      <w:r>
        <w:rPr>
          <w:rFonts w:ascii="Times New Roman;serif" w:hAnsi="Times New Roman;serif"/>
          <w:b/>
          <w:color w:val="000000"/>
          <w:sz w:val="24"/>
          <w:u w:val="single"/>
        </w:rPr>
        <w:t>Death After Covered Termination</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4"/>
        </w:rPr>
        <w:t>9.</w:t>
      </w:r>
      <w:r>
        <w:rPr>
          <w:rFonts w:ascii="Times New Roman;serif" w:hAnsi="Times New Roman;serif"/>
          <w:b/>
          <w:color w:val="000000"/>
          <w:sz w:val="24"/>
          <w:u w:val="single"/>
        </w:rPr>
        <w:t xml:space="preserve">Certain Section 409A Rules. </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Specified Employee</w:t>
      </w:r>
      <w:r>
        <w:rPr>
          <w:rFonts w:ascii="Times New Roman;serif" w:hAnsi="Times New Roman;serif"/>
          <w:b w:val="false"/>
          <w:color w:val="000000"/>
          <w:sz w:val="24"/>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Reimbursement and In-Kind Benefits</w:t>
      </w:r>
      <w:r>
        <w:rPr>
          <w:rFonts w:ascii="Times New Roman;serif" w:hAnsi="Times New Roman;serif"/>
          <w:b w:val="false"/>
          <w:color w:val="000000"/>
          <w:sz w:val="24"/>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 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pStyle w:val="TextBody"/>
        <w:bidi w:val="0"/>
        <w:spacing w:lineRule="auto" w:line="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Interpretation and Construction</w:t>
      </w:r>
      <w:r>
        <w:rPr>
          <w:rFonts w:ascii="Times New Roman;serif" w:hAnsi="Times New Roman;serif"/>
          <w:b w:val="false"/>
          <w:color w:val="000000"/>
          <w:sz w:val="24"/>
        </w:rPr>
        <w:t>. This Agreement is intended to comply with Section 409A of the Code and shall be administered, interpreted and construed in accordance therewith to avoid the imposition of additional tax under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- 7 -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- 7 -</w:t>
                      </w:r>
                      <w:r>
                        <w:rPr>
                          <w:color w:val="000000"/>
                        </w:rPr>
                        <w:t xml:space="preserve">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10.</w:t>
      </w:r>
      <w:r>
        <w:rPr>
          <w:rFonts w:ascii="Times New Roman;serif" w:hAnsi="Times New Roman;serif"/>
          <w:b/>
          <w:color w:val="000000"/>
          <w:sz w:val="24"/>
          <w:u w:val="single"/>
        </w:rPr>
        <w:t>Confidentiality and Noncompetition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her employment with the Company.</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(i)The Manager agrees that at no time during or following her employment with the Company will he use, divulge, or pass on, directly or through any other individual or entity, any Trade Secrets.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(ii)Upon termination of the Manager’s employment with the Company regardless of the reason for the termination of the Manager’s employment hereunder, or at any other time upon the Company’s request, the Manager agrees to forthwith surrender to the Company any and all materials in her possession or control which constitute or contain any Proprietary Business Information.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Noncompetition</w:t>
      </w:r>
      <w:r>
        <w:rPr>
          <w:rFonts w:ascii="Times New Roman;serif" w:hAnsi="Times New Roman;serif"/>
          <w:b w:val="false"/>
          <w:color w:val="000000"/>
          <w:sz w:val="24"/>
        </w:rPr>
        <w:t>. The Manager agrees that during her employment and for a period of one (1) year thereafter, regardless of the reason for the termination of the Manager’s employment, he will not:</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(ii)directly or indirectly recruit, solicit or encourage any employee of the Company (or any of its affiliates) or otherwise induce such employee to leave the employ of the Company (or any of its affiliates) or to become an employee or otherwise be associated with her or any firm, corporation, business or other entity with which he is or may become associated; or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- 8 -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- 8 -</w:t>
                      </w: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Remedies</w:t>
      </w:r>
      <w:r>
        <w:rPr>
          <w:rFonts w:ascii="Times New Roman;serif" w:hAnsi="Times New Roman;serif"/>
          <w:b w:val="false"/>
          <w:color w:val="000000"/>
          <w:sz w:val="24"/>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her dependents) shall immediately terminate.</w:t>
      </w:r>
    </w:p>
    <w:p>
      <w:pPr>
        <w:pStyle w:val="TextBody"/>
        <w:bidi w:val="0"/>
        <w:spacing w:lineRule="auto" w:line="240" w:before="0" w:after="120"/>
        <w:jc w:val="left"/>
        <w:rPr/>
      </w:pPr>
      <w:r>
        <w:rPr>
          <w:rFonts w:ascii="Times New Roman;serif" w:hAnsi="Times New Roman;serif"/>
          <w:b/>
          <w:color w:val="000000"/>
          <w:sz w:val="24"/>
        </w:rPr>
        <w:t>11.</w:t>
      </w:r>
      <w:r>
        <w:rPr>
          <w:rFonts w:ascii="Times New Roman;serif" w:hAnsi="Times New Roman;serif"/>
          <w:b/>
          <w:color w:val="000000"/>
          <w:sz w:val="24"/>
          <w:u w:val="single"/>
        </w:rPr>
        <w:t>Set-Off Mitigation</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pStyle w:val="TextBody"/>
        <w:bidi w:val="0"/>
        <w:spacing w:lineRule="auto" w:line="240" w:before="0" w:after="120"/>
        <w:jc w:val="left"/>
        <w:rPr/>
      </w:pPr>
      <w:r>
        <w:rPr>
          <w:rFonts w:ascii="Times New Roman;serif" w:hAnsi="Times New Roman;serif"/>
          <w:b/>
          <w:color w:val="000000"/>
          <w:sz w:val="24"/>
        </w:rPr>
        <w:t>12.</w:t>
      </w:r>
      <w:r>
        <w:rPr>
          <w:rFonts w:ascii="Times New Roman;serif" w:hAnsi="Times New Roman;serif"/>
          <w:b/>
          <w:color w:val="000000"/>
          <w:sz w:val="24"/>
          <w:u w:val="single"/>
        </w:rPr>
        <w:t>Arbitration: Costs and Expenses of Enforcement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Arbitration</w:t>
      </w:r>
      <w:r>
        <w:rPr>
          <w:rFonts w:ascii="Times New Roman;serif" w:hAnsi="Times New Roman;serif"/>
          <w:b w:val="false"/>
          <w:color w:val="000000"/>
          <w:sz w:val="24"/>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xml:space="preserve">. In the event that it shall be necessary or desirable for the Manager to retain legal counsel and/or incur other costs and expenses in connection with the enforcement of any and all of her rights under this Agreement at any time during her lifetime, the Company shall pay (or the Manager shall be entitled to recover from the Company, as the case may be) her reasonable attorneys’ fees and costs and expenses in connection with the enforcement of her said rights (including those incurred in or related to any arbitration proceedings provided for in subsection (a) and the enforcement of any arbitration award in court), regardless of the final outcome.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- 9 -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- 9 -</w:t>
                      </w:r>
                      <w:r>
                        <w:rPr>
                          <w:color w:val="000000"/>
                        </w:rPr>
                        <w:t xml:space="preserve"> </w:t>
                      </w:r>
                    </w:p>
                  </w:txbxContent>
                </v:textbox>
                <w10:wrap type="none"/>
              </v:rect>
            </w:pict>
          </mc:Fallback>
        </mc:AlternateContent>
      </w:r>
    </w:p>
    <w:p>
      <w:pPr>
        <w:pStyle w:val="TextBody"/>
        <w:bidi w:val="0"/>
        <w:spacing w:lineRule="auto" w:line="240" w:before="0" w:after="120"/>
        <w:jc w:val="left"/>
        <w:rPr/>
      </w:pPr>
      <w:r>
        <w:rPr>
          <w:rFonts w:ascii="Times New Roman;serif" w:hAnsi="Times New Roman;serif"/>
          <w:b/>
          <w:color w:val="000000"/>
          <w:sz w:val="24"/>
        </w:rPr>
        <w:t>13.</w:t>
      </w:r>
      <w:r>
        <w:rPr>
          <w:rFonts w:ascii="Times New Roman;serif" w:hAnsi="Times New Roman;serif"/>
          <w:b/>
          <w:color w:val="000000"/>
          <w:sz w:val="24"/>
          <w:u w:val="single"/>
        </w:rPr>
        <w:t>Limitation on Payment Obligation</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Section 13, all terms capitalized but not otherwise defined herein shall have the meanings as set forth in Section 280G of the Code. In addition:</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(iii)the portion of the “Base Amount” and the amount of “Reasonable Compensation” allocable to any “Parachute Payment” shall be determined in accordance with Section 280G(b)(3) and (4) of the Code.</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Limitation</w:t>
      </w:r>
      <w:r>
        <w:rPr>
          <w:rFonts w:ascii="Times New Roman;serif" w:hAnsi="Times New Roman;serif"/>
          <w:b w:val="false"/>
          <w:color w:val="000000"/>
          <w:sz w:val="24"/>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her consent. The determination of such tax counsel under this Section 13 shall be final and binding upon the Manager and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- 10 -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- 10 -</w:t>
                      </w:r>
                      <w:r>
                        <w:rPr>
                          <w:color w:val="000000"/>
                        </w:rPr>
                        <w:t xml:space="preserve"> </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Illegal Payments</w:t>
      </w:r>
      <w:r>
        <w:rPr>
          <w:rFonts w:ascii="Times New Roman;serif" w:hAnsi="Times New Roman;serif"/>
          <w:b w:val="false"/>
          <w:color w:val="000000"/>
          <w:sz w:val="24"/>
        </w:rPr>
        <w:t>. Notwithstanding any other provision of this Agreement, no payment shall be made hereunder to or for the benefit of the Manager if and to the extent that such payments are determined to be illegal.</w:t>
      </w:r>
    </w:p>
    <w:p>
      <w:pPr>
        <w:pStyle w:val="TextBody"/>
        <w:bidi w:val="0"/>
        <w:spacing w:lineRule="auto" w:line="240" w:before="0" w:after="120"/>
        <w:jc w:val="left"/>
        <w:rPr/>
      </w:pPr>
      <w:r>
        <w:rPr>
          <w:rFonts w:ascii="Times New Roman;serif" w:hAnsi="Times New Roman;serif"/>
          <w:b/>
          <w:color w:val="000000"/>
          <w:sz w:val="24"/>
        </w:rPr>
        <w:t>14.</w:t>
      </w:r>
      <w:r>
        <w:rPr>
          <w:rFonts w:ascii="Times New Roman;serif" w:hAnsi="Times New Roman;serif"/>
          <w:b/>
          <w:color w:val="000000"/>
          <w:sz w:val="24"/>
          <w:u w:val="single"/>
        </w:rPr>
        <w:t>Notices</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Any notices, requests, demands, and other communications provided for by this Agreement shall be sufficient if in writing, 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15.</w:t>
      </w:r>
      <w:r>
        <w:rPr>
          <w:rFonts w:ascii="Times New Roman;serif" w:hAnsi="Times New Roman;serif"/>
          <w:b/>
          <w:color w:val="000000"/>
          <w:sz w:val="24"/>
          <w:u w:val="single"/>
        </w:rPr>
        <w:t>Withholding</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Notwithstanding any provision of this Agreement to the contrary, the Company may, to the extent required by law, withhold applicable Federal, state and local income and other taxes from any payments due to the Manager hereunder.</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16.</w:t>
      </w:r>
      <w:r>
        <w:rPr>
          <w:rFonts w:ascii="Times New Roman;serif" w:hAnsi="Times New Roman;serif"/>
          <w:b/>
          <w:color w:val="000000"/>
          <w:sz w:val="24"/>
          <w:u w:val="single"/>
        </w:rPr>
        <w:t>Assignment and Benefit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val="false"/>
          <w:color w:val="000000"/>
          <w:sz w:val="24"/>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pStyle w:val="TextBody"/>
        <w:bidi w:val="0"/>
        <w:spacing w:lineRule="auto" w:line="240" w:before="0" w:after="120"/>
        <w:jc w:val="left"/>
        <w:rPr/>
      </w:pPr>
      <w:r>
        <w:rPr>
          <w:rFonts w:ascii="Times New Roman;serif" w:hAnsi="Times New Roman;serif"/>
          <w:b/>
          <w:color w:val="000000"/>
          <w:sz w:val="24"/>
        </w:rPr>
        <w:t>17.</w:t>
      </w:r>
      <w:r>
        <w:rPr>
          <w:rFonts w:ascii="Times New Roman;serif" w:hAnsi="Times New Roman;serif"/>
          <w:b/>
          <w:color w:val="000000"/>
          <w:sz w:val="24"/>
          <w:u w:val="single"/>
        </w:rPr>
        <w:t>Governing Law</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provisions of this Agreement shall be construed in accordance with the laws of the Commonwealth of Pennsylvania without reference to principles of conflicts of laws.</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18.</w:t>
      </w:r>
      <w:r>
        <w:rPr>
          <w:rFonts w:ascii="Times New Roman;serif" w:hAnsi="Times New Roman;serif"/>
          <w:b/>
          <w:color w:val="000000"/>
          <w:sz w:val="24"/>
          <w:u w:val="single"/>
        </w:rPr>
        <w:t>Entire Agreement; Amendment</w:t>
      </w:r>
      <w:r>
        <w:rPr>
          <w:rFonts w:ascii="Times New Roman;serif" w:hAnsi="Times New Roman;serif"/>
          <w:b/>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for the change in control provisions set forth in the Company’s annual incentive plan and long-term incentive plans, this Agreement represents the entire agreement and understanding of the parties with respect to the subject matter hereof. The Manager understands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- 11 -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- 11 -</w:t>
                      </w:r>
                      <w:r>
                        <w:rPr>
                          <w:color w:val="000000"/>
                        </w:rPr>
                        <w:t xml:space="preserve">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acknowledges that the Company’s severance plan, annual incentive plan and long-term incentive plans are hereby amended with respect to the Manager to avoid duplication of benefits, as provided in Section 7.</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val="false"/>
          <w:color w:val="000000"/>
          <w:sz w:val="24"/>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pStyle w:val="TextBody"/>
        <w:bidi w:val="0"/>
        <w:spacing w:lineRule="auto" w:line="240" w:before="0" w:after="120"/>
        <w:jc w:val="left"/>
        <w:rPr/>
      </w:pPr>
      <w:r>
        <w:rPr>
          <w:rFonts w:ascii="Times New Roman;serif" w:hAnsi="Times New Roman;serif"/>
          <w:b/>
          <w:color w:val="000000"/>
          <w:sz w:val="24"/>
        </w:rPr>
        <w:t>19.</w:t>
      </w:r>
      <w:r>
        <w:rPr>
          <w:rFonts w:ascii="Times New Roman;serif" w:hAnsi="Times New Roman;serif"/>
          <w:b/>
          <w:color w:val="000000"/>
          <w:sz w:val="24"/>
          <w:u w:val="single"/>
        </w:rPr>
        <w:t>No Waiver</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failure to insist upon strict compliance with any provision of this Agreement by any party shall not be deemed to be a waiver of any future noncompliance with such provision or of noncompliance with any other provision.</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20.</w:t>
      </w:r>
      <w:r>
        <w:rPr>
          <w:rFonts w:ascii="Times New Roman;serif" w:hAnsi="Times New Roman;serif"/>
          <w:b/>
          <w:color w:val="000000"/>
          <w:sz w:val="24"/>
          <w:u w:val="single"/>
        </w:rPr>
        <w:t>Severability</w:t>
      </w:r>
      <w:r>
        <w:rPr>
          <w:rFonts w:ascii="Times New Roman;serif" w:hAnsi="Times New Roman;serif"/>
          <w:b/>
          <w:color w:val="000000"/>
          <w:sz w:val="24"/>
        </w:rPr>
        <w: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the event that any provision or portion of this Agreement shall be determined to be invalid or unenforceable for any reason, the remaining provisions of this Agreement shall be unaffected thereby and shall remain in full force and effect.</w:t>
      </w:r>
    </w:p>
    <w:p>
      <w:pPr>
        <w:pStyle w:val="TextBody"/>
        <w:bidi w:val="0"/>
        <w:spacing w:before="0" w:after="0"/>
        <w:jc w:val="left"/>
        <w:rPr/>
      </w:pPr>
      <w:r>
        <w:rPr/>
      </w:r>
    </w:p>
    <w:p>
      <w:pPr>
        <w:pStyle w:val="TextBody"/>
        <w:bidi w:val="0"/>
        <w:spacing w:lineRule="auto" w:line="240" w:before="0" w:after="120"/>
        <w:jc w:val="left"/>
        <w:rPr/>
      </w:pPr>
      <w:r>
        <w:rPr>
          <w:rFonts w:ascii="Times New Roman;serif" w:hAnsi="Times New Roman;serif"/>
          <w:b/>
          <w:color w:val="000000"/>
          <w:sz w:val="24"/>
        </w:rPr>
        <w:t>21.</w:t>
      </w:r>
      <w:r>
        <w:rPr>
          <w:rFonts w:ascii="Times New Roman;serif" w:hAnsi="Times New Roman;serif"/>
          <w:b/>
          <w:color w:val="000000"/>
          <w:sz w:val="24"/>
          <w:u w:val="single"/>
        </w:rPr>
        <w:t>Indemnification</w:t>
      </w:r>
      <w:r>
        <w:rPr>
          <w:rFonts w:ascii="Times New Roman;serif" w:hAnsi="Times New Roman;serif"/>
          <w:b/>
          <w:color w:val="000000"/>
          <w:sz w:val="24"/>
        </w:rPr>
        <w:t xml:space="preserv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Manager has hereunto set her hand and, pursuant to the authorization from its Board of Directors, the Company has caused these presents to be executed in its name and on its behalf and attested by its Secretary or Assistant Secretary, all as of the day and year first above written.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4"/>
        </w:rPr>
        <w:t>KEVIN MEAGHER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KEVIN MEAGHER 12/21/2025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__________________________________________</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- 12 -</w:t>
                            </w: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- 12 -</w:t>
                      </w:r>
                      <w:r>
                        <w:rPr>
                          <w:color w:val="000000"/>
                        </w:rPr>
                        <w:t xml:space="preserve"> </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QUAKER CHEMICAL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By: /s/ ROBERT T. TRAUB</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2"/>
        </w:rPr>
        <w:t>Title: SVP, General Counsel and Corp. 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- 13 -</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- 13 -</w:t>
                      </w:r>
                      <w:r>
                        <w:rPr>
                          <w:color w:val="000000"/>
                        </w:rPr>
                        <w:t xml:space="preserve"> </w:t>
                      </w:r>
                    </w:p>
                  </w:txbxContent>
                </v:textbox>
                <w10:wrap type="none"/>
              </v:rect>
            </w:pict>
          </mc:Fallback>
        </mc:AlternateContent>
      </w:r>
    </w:p>
    <w:p>
      <w:pPr>
        <w:pStyle w:val="TextBody"/>
        <w:bidi w:val="0"/>
        <w:spacing w:before="0" w:after="0"/>
        <w:jc w:val="left"/>
        <w:rPr/>
      </w:pPr>
      <w:r>
        <w:rPr/>
        <w:drawing>
          <wp:inline distT="0" distB="0" distL="0" distR="0">
            <wp:extent cx="2190750" cy="847725"/>
            <wp:effectExtent l="0" t="0" r="0" b="0"/>
            <wp:docPr id="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 descr=""/>
                    <pic:cNvPicPr>
                      <a:picLocks noChangeAspect="1" noChangeArrowheads="1"/>
                    </pic:cNvPicPr>
                  </pic:nvPicPr>
                  <pic:blipFill>
                    <a:blip r:embed="rId5"/>
                    <a:stretch>
                      <a:fillRect/>
                    </a:stretch>
                  </pic:blipFill>
                  <pic:spPr bwMode="auto">
                    <a:xfrm>
                      <a:off x="0" y="0"/>
                      <a:ext cx="2190750" cy="847725"/>
                    </a:xfrm>
                    <a:prstGeom prst="rect">
                      <a:avLst/>
                    </a:prstGeom>
                  </pic:spPr>
                </pic:pic>
              </a:graphicData>
            </a:graphic>
          </wp:inline>
        </w:drawing>
      </w:r>
    </w:p>
    <w:p>
      <w:pPr>
        <w:pStyle w:val="TextBody"/>
        <w:bidi w:val="0"/>
        <w:spacing w:before="12" w:after="283"/>
        <w:jc w:val="right"/>
        <w:rPr/>
      </w:pPr>
      <w:r>
        <w:rPr/>
      </w:r>
    </w:p>
    <w:p>
      <w:pPr>
        <w:pStyle w:val="TextBody"/>
        <w:bidi w:val="0"/>
        <w:spacing w:lineRule="auto" w:line="240" w:before="0" w:after="0"/>
        <w:jc w:val="right"/>
        <w:rPr>
          <w:rFonts w:ascii="sans-serif" w:hAnsi="sans-serif"/>
          <w:b/>
          <w:color w:val="000000"/>
          <w:sz w:val="22"/>
          <w:u w:val="single"/>
        </w:rPr>
      </w:pPr>
      <w:r>
        <w:rPr>
          <w:rFonts w:ascii="sans-serif" w:hAnsi="sans-serif"/>
          <w:b/>
          <w:color w:val="000000"/>
          <w:sz w:val="22"/>
          <w:u w:val="single"/>
        </w:rPr>
        <w:t>EXHIBIT 10.3</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pPr>
      <w:r>
        <w:rPr>
          <w:rFonts w:ascii="sans-serif" w:hAnsi="sans-serif"/>
          <w:b/>
          <w:color w:val="000000"/>
          <w:sz w:val="22"/>
          <w:u w:val="single"/>
        </w:rPr>
        <w:t>SEPARATION</w:t>
      </w:r>
      <w:r>
        <w:rPr>
          <w:color w:val="000000"/>
          <w:u w:val="single"/>
        </w:rPr>
        <w:t xml:space="preserve"> </w:t>
      </w:r>
      <w:r>
        <w:rPr>
          <w:rFonts w:ascii="sans-serif" w:hAnsi="sans-serif"/>
          <w:b/>
          <w:color w:val="000000"/>
          <w:sz w:val="22"/>
          <w:u w:val="single"/>
        </w:rPr>
        <w:t>AGREEMENT</w:t>
      </w:r>
      <w:r>
        <w:rPr>
          <w:color w:val="000000"/>
          <w:u w:val="single"/>
        </w:rPr>
        <w:t xml:space="preserve"> </w:t>
      </w:r>
      <w:r>
        <w:rPr>
          <w:rFonts w:ascii="sans-serif" w:hAnsi="sans-serif"/>
          <w:b/>
          <w:color w:val="000000"/>
          <w:sz w:val="22"/>
          <w:u w:val="single"/>
        </w:rPr>
        <w:t>AND</w:t>
      </w:r>
      <w:r>
        <w:rPr>
          <w:color w:val="000000"/>
          <w:u w:val="single"/>
        </w:rPr>
        <w:t xml:space="preserve"> </w:t>
      </w:r>
      <w:r>
        <w:rPr>
          <w:rFonts w:ascii="sans-serif" w:hAnsi="sans-serif"/>
          <w:b/>
          <w:color w:val="000000"/>
          <w:sz w:val="22"/>
          <w:u w:val="single"/>
        </w:rPr>
        <w:t>GENERAL</w:t>
      </w:r>
      <w:r>
        <w:rPr>
          <w:color w:val="000000"/>
          <w:u w:val="single"/>
        </w:rPr>
        <w:t xml:space="preserve"> </w:t>
      </w:r>
      <w:r>
        <w:rPr>
          <w:rFonts w:ascii="sans-serif" w:hAnsi="sans-serif"/>
          <w:b/>
          <w:color w:val="000000"/>
          <w:sz w:val="22"/>
          <w:u w:val="single"/>
        </w:rPr>
        <w:t>RELEASE</w:t>
      </w:r>
    </w:p>
    <w:p>
      <w:pPr>
        <w:pStyle w:val="TextBody"/>
        <w:bidi w:val="0"/>
        <w:spacing w:before="0" w:after="0"/>
        <w:jc w:val="left"/>
        <w:rPr/>
      </w:pPr>
      <w:r>
        <w:rPr/>
      </w:r>
    </w:p>
    <w:p>
      <w:pPr>
        <w:pStyle w:val="TextBody"/>
        <w:bidi w:val="0"/>
        <w:spacing w:before="197" w:after="283"/>
        <w:jc w:val="left"/>
        <w:rPr/>
      </w:pPr>
      <w:r>
        <w:rPr/>
      </w:r>
    </w:p>
    <w:p>
      <w:pPr>
        <w:pStyle w:val="TextBody"/>
        <w:bidi w:val="0"/>
        <w:spacing w:lineRule="auto" w:line="556" w:before="0" w:after="0"/>
        <w:ind w:left="0" w:right="0" w:firstLine="720"/>
        <w:jc w:val="both"/>
        <w:rPr/>
      </w:pPr>
      <w:r>
        <w:rPr>
          <w:rFonts w:ascii="sans-serif" w:hAnsi="sans-serif"/>
          <w:b w:val="false"/>
          <w:color w:val="000000"/>
          <w:sz w:val="22"/>
        </w:rPr>
        <w:t>Whereas,</w:t>
      </w:r>
      <w:r>
        <w:rPr>
          <w:color w:val="000000"/>
        </w:rPr>
        <w:t xml:space="preserve"> </w:t>
      </w:r>
      <w:r>
        <w:rPr>
          <w:rFonts w:ascii="sans-serif" w:hAnsi="sans-serif"/>
          <w:b w:val="false"/>
          <w:color w:val="000000"/>
          <w:sz w:val="22"/>
        </w:rPr>
        <w:t>Jeff</w:t>
      </w:r>
      <w:r>
        <w:rPr>
          <w:color w:val="000000"/>
        </w:rPr>
        <w:t xml:space="preserve"> </w:t>
      </w:r>
      <w:r>
        <w:rPr>
          <w:rFonts w:ascii="sans-serif" w:hAnsi="sans-serif"/>
          <w:b w:val="false"/>
          <w:color w:val="000000"/>
          <w:sz w:val="22"/>
        </w:rPr>
        <w:t>Fleck</w:t>
      </w:r>
      <w:r>
        <w:rPr>
          <w:color w:val="000000"/>
        </w:rPr>
        <w:t xml:space="preserve"> </w:t>
      </w:r>
      <w:r>
        <w:rPr>
          <w:rFonts w:ascii="sans-serif" w:hAnsi="sans-serif"/>
          <w:b w:val="false"/>
          <w:color w:val="000000"/>
          <w:sz w:val="22"/>
        </w:rPr>
        <w:t>(herein</w:t>
      </w:r>
      <w:r>
        <w:rPr>
          <w:color w:val="000000"/>
        </w:rPr>
        <w:t xml:space="preserve"> </w:t>
      </w:r>
      <w:r>
        <w:rPr>
          <w:rFonts w:ascii="sans-serif" w:hAnsi="sans-serif"/>
          <w:b w:val="false"/>
          <w:color w:val="000000"/>
          <w:sz w:val="22"/>
        </w:rPr>
        <w:t>referred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has</w:t>
      </w:r>
      <w:r>
        <w:rPr>
          <w:color w:val="000000"/>
        </w:rPr>
        <w:t xml:space="preserve"> </w:t>
      </w:r>
      <w:r>
        <w:rPr>
          <w:rFonts w:ascii="sans-serif" w:hAnsi="sans-serif"/>
          <w:b w:val="false"/>
          <w:color w:val="000000"/>
          <w:sz w:val="22"/>
        </w:rPr>
        <w:t>been</w:t>
      </w:r>
      <w:r>
        <w:rPr>
          <w:color w:val="000000"/>
        </w:rPr>
        <w:t xml:space="preserve"> </w:t>
      </w:r>
      <w:r>
        <w:rPr>
          <w:rFonts w:ascii="sans-serif" w:hAnsi="sans-serif"/>
          <w:b w:val="false"/>
          <w:color w:val="000000"/>
          <w:sz w:val="22"/>
        </w:rPr>
        <w:t>employed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Quaker</w:t>
      </w:r>
      <w:r>
        <w:rPr>
          <w:color w:val="000000"/>
        </w:rPr>
        <w:t xml:space="preserve"> </w:t>
      </w:r>
      <w:r>
        <w:rPr>
          <w:rFonts w:ascii="sans-serif" w:hAnsi="sans-serif"/>
          <w:b w:val="false"/>
          <w:color w:val="000000"/>
          <w:sz w:val="22"/>
        </w:rPr>
        <w:t>Houghton</w:t>
      </w:r>
      <w:r>
        <w:rPr>
          <w:color w:val="000000"/>
        </w:rPr>
        <w:t xml:space="preserve"> </w:t>
      </w:r>
      <w:r>
        <w:rPr>
          <w:rFonts w:ascii="sans-serif" w:hAnsi="sans-serif"/>
          <w:b w:val="false"/>
          <w:color w:val="000000"/>
          <w:sz w:val="22"/>
        </w:rPr>
        <w:t>(herein referred to as “Employer”) as Senior Vice President, Chief Global Operations Officer; and</w:t>
      </w:r>
    </w:p>
    <w:p>
      <w:pPr>
        <w:pStyle w:val="TextBody"/>
        <w:bidi w:val="0"/>
        <w:spacing w:lineRule="auto" w:line="556" w:before="0" w:after="0"/>
        <w:ind w:left="0" w:right="0" w:firstLine="720"/>
        <w:jc w:val="both"/>
        <w:rPr>
          <w:rFonts w:ascii="sans-serif" w:hAnsi="sans-serif"/>
          <w:b w:val="false"/>
          <w:color w:val="000000"/>
          <w:sz w:val="22"/>
        </w:rPr>
      </w:pPr>
      <w:r>
        <w:rPr>
          <w:rFonts w:ascii="sans-serif" w:hAnsi="sans-serif"/>
          <w:b w:val="false"/>
          <w:color w:val="000000"/>
          <w:sz w:val="22"/>
        </w:rPr>
        <w:t>Whereas, Employee’s employment with Employer is separated effective as of March 9, 2026, (the “Separation Date”) and Employee wants to enter into an agreement whereby the Employer will provide Employee with certain benefits in exchange for a release as to any claims that Employee might have or assert against Employer.</w:t>
      </w:r>
    </w:p>
    <w:p>
      <w:pPr>
        <w:pStyle w:val="TextBody"/>
        <w:bidi w:val="0"/>
        <w:spacing w:lineRule="auto" w:line="556" w:before="1" w:after="283"/>
        <w:ind w:left="0" w:right="0" w:firstLine="720"/>
        <w:jc w:val="both"/>
        <w:rPr/>
      </w:pPr>
      <w:r>
        <w:rPr>
          <w:rFonts w:ascii="sans-serif" w:hAnsi="sans-serif"/>
          <w:b w:val="false"/>
          <w:color w:val="000000"/>
          <w:sz w:val="22"/>
        </w:rPr>
        <w:t>Whereas,</w:t>
      </w:r>
      <w:r>
        <w:rPr>
          <w:color w:val="000000"/>
        </w:rPr>
        <w:t xml:space="preserve"> </w:t>
      </w:r>
      <w:r>
        <w:rPr>
          <w:rFonts w:ascii="sans-serif" w:hAnsi="sans-serif"/>
          <w:b w:val="false"/>
          <w:color w:val="000000"/>
          <w:sz w:val="22"/>
        </w:rPr>
        <w:t>regardless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whether</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enters</w:t>
      </w:r>
      <w:r>
        <w:rPr>
          <w:color w:val="000000"/>
        </w:rPr>
        <w:t xml:space="preserve"> </w:t>
      </w:r>
      <w:r>
        <w:rPr>
          <w:rFonts w:ascii="sans-serif" w:hAnsi="sans-serif"/>
          <w:b w:val="false"/>
          <w:color w:val="000000"/>
          <w:sz w:val="22"/>
        </w:rPr>
        <w:t>into</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provide</w:t>
      </w:r>
      <w:r>
        <w:rPr>
          <w:color w:val="000000"/>
        </w:rPr>
        <w:t xml:space="preserve"> </w:t>
      </w:r>
      <w:r>
        <w:rPr>
          <w:rFonts w:ascii="sans-serif" w:hAnsi="sans-serif"/>
          <w:b w:val="false"/>
          <w:color w:val="000000"/>
          <w:sz w:val="22"/>
        </w:rPr>
        <w:t>Employee with</w:t>
      </w:r>
      <w:r>
        <w:rPr>
          <w:color w:val="000000"/>
        </w:rPr>
        <w:t xml:space="preserve"> </w:t>
      </w:r>
      <w:r>
        <w:rPr>
          <w:rFonts w:ascii="sans-serif" w:hAnsi="sans-serif"/>
          <w:b w:val="false"/>
          <w:color w:val="000000"/>
          <w:sz w:val="22"/>
        </w:rPr>
        <w:t>90 days</w:t>
      </w:r>
      <w:r>
        <w:rPr>
          <w:color w:val="000000"/>
        </w:rPr>
        <w:t xml:space="preserve"> </w:t>
      </w:r>
      <w:r>
        <w:rPr>
          <w:rFonts w:ascii="sans-serif" w:hAnsi="sans-serif"/>
          <w:b w:val="false"/>
          <w:color w:val="000000"/>
          <w:sz w:val="22"/>
        </w:rPr>
        <w:t>paid</w:t>
      </w:r>
      <w:r>
        <w:rPr>
          <w:color w:val="000000"/>
        </w:rPr>
        <w:t xml:space="preserve"> </w:t>
      </w:r>
      <w:r>
        <w:rPr>
          <w:rFonts w:ascii="sans-serif" w:hAnsi="sans-serif"/>
          <w:b w:val="false"/>
          <w:color w:val="000000"/>
          <w:sz w:val="22"/>
        </w:rPr>
        <w:t>salary,</w:t>
      </w:r>
      <w:r>
        <w:rPr>
          <w:color w:val="000000"/>
        </w:rPr>
        <w:t xml:space="preserve"> </w:t>
      </w:r>
      <w:r>
        <w:rPr>
          <w:rFonts w:ascii="sans-serif" w:hAnsi="sans-serif"/>
          <w:b w:val="false"/>
          <w:color w:val="000000"/>
          <w:sz w:val="22"/>
        </w:rPr>
        <w:t>at</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rate</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Separation</w:t>
      </w:r>
      <w:r>
        <w:rPr>
          <w:color w:val="000000"/>
        </w:rPr>
        <w:t xml:space="preserve"> </w:t>
      </w:r>
      <w:r>
        <w:rPr>
          <w:rFonts w:ascii="sans-serif" w:hAnsi="sans-serif"/>
          <w:b w:val="false"/>
          <w:color w:val="000000"/>
          <w:sz w:val="22"/>
        </w:rPr>
        <w:t>Date, less</w:t>
      </w:r>
      <w:r>
        <w:rPr>
          <w:color w:val="000000"/>
        </w:rPr>
        <w:t xml:space="preserve"> </w:t>
      </w:r>
      <w:r>
        <w:rPr>
          <w:rFonts w:ascii="sans-serif" w:hAnsi="sans-serif"/>
          <w:b w:val="false"/>
          <w:color w:val="000000"/>
          <w:sz w:val="22"/>
        </w:rPr>
        <w:t>applicable payroll tax deductions, in lieu of notice of termination for the period from March 9, 2026 through June 7, 2026 in accordance with Employer's normal bi-weekly payroll practice and continue the Employee’s healthcare coverage at the same coverage level through June 30, 2026. In addition, Employer shall pay Employee for 5 days of</w:t>
      </w:r>
      <w:r>
        <w:rPr>
          <w:color w:val="000000"/>
        </w:rPr>
        <w:t xml:space="preserve"> </w:t>
      </w:r>
      <w:r>
        <w:rPr>
          <w:rFonts w:ascii="sans-serif" w:hAnsi="sans-serif"/>
          <w:b w:val="false"/>
          <w:color w:val="000000"/>
          <w:sz w:val="22"/>
        </w:rPr>
        <w:t>PTO</w:t>
      </w:r>
      <w:r>
        <w:rPr>
          <w:color w:val="000000"/>
        </w:rPr>
        <w:t xml:space="preserve"> </w:t>
      </w:r>
      <w:r>
        <w:rPr>
          <w:rFonts w:ascii="sans-serif" w:hAnsi="sans-serif"/>
          <w:b w:val="false"/>
          <w:color w:val="000000"/>
          <w:sz w:val="22"/>
        </w:rPr>
        <w:t>on or before March 27, 2026, less applicable payroll tax deductions.</w:t>
      </w:r>
    </w:p>
    <w:p>
      <w:pPr>
        <w:pStyle w:val="TextBody"/>
        <w:bidi w:val="0"/>
        <w:spacing w:lineRule="auto" w:line="556" w:before="0" w:after="0"/>
        <w:ind w:left="0" w:right="0" w:firstLine="720"/>
        <w:jc w:val="both"/>
        <w:rPr/>
      </w:pPr>
      <w:r>
        <w:rPr>
          <w:rFonts w:ascii="sans-serif" w:hAnsi="sans-serif"/>
          <w:b w:val="false"/>
          <w:color w:val="000000"/>
          <w:sz w:val="22"/>
        </w:rPr>
        <w:t>NOW,</w:t>
      </w:r>
      <w:r>
        <w:rPr>
          <w:color w:val="000000"/>
        </w:rPr>
        <w:t xml:space="preserve"> </w:t>
      </w:r>
      <w:r>
        <w:rPr>
          <w:rFonts w:ascii="sans-serif" w:hAnsi="sans-serif"/>
          <w:b w:val="false"/>
          <w:color w:val="000000"/>
          <w:sz w:val="22"/>
        </w:rPr>
        <w:t>THEREFORE,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consideration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mutual</w:t>
      </w:r>
      <w:r>
        <w:rPr>
          <w:color w:val="000000"/>
        </w:rPr>
        <w:t xml:space="preserve"> </w:t>
      </w:r>
      <w:r>
        <w:rPr>
          <w:rFonts w:ascii="sans-serif" w:hAnsi="sans-serif"/>
          <w:b w:val="false"/>
          <w:color w:val="000000"/>
          <w:sz w:val="22"/>
        </w:rPr>
        <w:t>promises</w:t>
      </w:r>
      <w:r>
        <w:rPr>
          <w:color w:val="000000"/>
        </w:rPr>
        <w:t xml:space="preserve"> </w:t>
      </w:r>
      <w:r>
        <w:rPr>
          <w:rFonts w:ascii="sans-serif" w:hAnsi="sans-serif"/>
          <w:b w:val="false"/>
          <w:color w:val="000000"/>
          <w:sz w:val="22"/>
        </w:rPr>
        <w:t>contained</w:t>
      </w:r>
      <w:r>
        <w:rPr>
          <w:color w:val="000000"/>
        </w:rPr>
        <w:t xml:space="preserve"> </w:t>
      </w:r>
      <w:r>
        <w:rPr>
          <w:rFonts w:ascii="sans-serif" w:hAnsi="sans-serif"/>
          <w:b w:val="false"/>
          <w:color w:val="000000"/>
          <w:sz w:val="22"/>
        </w:rPr>
        <w:t>herein,</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Employer, intending to be legally bound, hereby agree as follows:</w:t>
      </w:r>
    </w:p>
    <w:p>
      <w:pPr>
        <w:pStyle w:val="TextBody"/>
        <w:bidi w:val="0"/>
        <w:spacing w:lineRule="auto" w:line="556" w:before="1" w:after="283"/>
        <w:ind w:left="0" w:right="0" w:hanging="721"/>
        <w:jc w:val="both"/>
        <w:rPr/>
      </w:pPr>
      <w:r>
        <w:rPr>
          <w:rFonts w:ascii="sans-serif" w:hAnsi="sans-serif"/>
          <w:b w:val="false"/>
          <w:color w:val="000000"/>
          <w:sz w:val="22"/>
        </w:rPr>
        <w:t>1.In consideration of the promises of Employer set forth in paragraph 2 below, Employee, and Employee’s spouse, heirs, executors and administrators (hereinafter referred to collectively as “Releasing</w:t>
      </w:r>
      <w:r>
        <w:rPr>
          <w:color w:val="000000"/>
        </w:rPr>
        <w:t xml:space="preserve"> </w:t>
      </w:r>
      <w:r>
        <w:rPr>
          <w:rFonts w:ascii="sans-serif" w:hAnsi="sans-serif"/>
          <w:b w:val="false"/>
          <w:color w:val="000000"/>
          <w:sz w:val="22"/>
        </w:rPr>
        <w:t>Parties”),</w:t>
      </w:r>
      <w:r>
        <w:rPr>
          <w:color w:val="000000"/>
        </w:rPr>
        <w:t xml:space="preserve"> </w:t>
      </w:r>
      <w:r>
        <w:rPr>
          <w:rFonts w:ascii="sans-serif" w:hAnsi="sans-serif"/>
          <w:b w:val="false"/>
          <w:color w:val="000000"/>
          <w:sz w:val="22"/>
        </w:rPr>
        <w:t>intending</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legally</w:t>
      </w:r>
      <w:r>
        <w:rPr>
          <w:color w:val="000000"/>
        </w:rPr>
        <w:t xml:space="preserve"> </w:t>
      </w:r>
      <w:r>
        <w:rPr>
          <w:rFonts w:ascii="sans-serif" w:hAnsi="sans-serif"/>
          <w:b w:val="false"/>
          <w:color w:val="000000"/>
          <w:sz w:val="22"/>
        </w:rPr>
        <w:t>bound,</w:t>
      </w:r>
      <w:r>
        <w:rPr>
          <w:color w:val="000000"/>
        </w:rPr>
        <w:t xml:space="preserve"> </w:t>
      </w:r>
      <w:r>
        <w:rPr>
          <w:rFonts w:ascii="sans-serif" w:hAnsi="sans-serif"/>
          <w:b w:val="false"/>
          <w:color w:val="000000"/>
          <w:sz w:val="22"/>
        </w:rPr>
        <w:t>hereby</w:t>
      </w:r>
      <w:r>
        <w:rPr>
          <w:color w:val="000000"/>
        </w:rPr>
        <w:t xml:space="preserve"> </w:t>
      </w:r>
      <w:r>
        <w:rPr>
          <w:rFonts w:ascii="sans-serif" w:hAnsi="sans-serif"/>
          <w:b w:val="false"/>
          <w:color w:val="000000"/>
          <w:sz w:val="22"/>
        </w:rPr>
        <w:t>permanently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irrevocably</w:t>
      </w:r>
      <w:r>
        <w:rPr>
          <w:color w:val="000000"/>
        </w:rPr>
        <w:t xml:space="preserve"> </w:t>
      </w:r>
      <w:r>
        <w:rPr>
          <w:rFonts w:ascii="sans-serif" w:hAnsi="sans-serif"/>
          <w:b w:val="false"/>
          <w:color w:val="000000"/>
          <w:sz w:val="22"/>
        </w:rPr>
        <w:t>release and discharge</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and its subsidiaries and</w:t>
      </w:r>
      <w:r>
        <w:rPr>
          <w:color w:val="000000"/>
        </w:rPr>
        <w:t xml:space="preserve"> </w:t>
      </w:r>
      <w:r>
        <w:rPr>
          <w:rFonts w:ascii="sans-serif" w:hAnsi="sans-serif"/>
          <w:b w:val="false"/>
          <w:color w:val="000000"/>
          <w:sz w:val="22"/>
        </w:rPr>
        <w:t>affiliates,</w:t>
      </w:r>
      <w:r>
        <w:rPr>
          <w:color w:val="000000"/>
        </w:rPr>
        <w:t xml:space="preserve"> </w:t>
      </w:r>
      <w:r>
        <w:rPr>
          <w:rFonts w:ascii="sans-serif" w:hAnsi="sans-serif"/>
          <w:b w:val="false"/>
          <w:color w:val="000000"/>
          <w:sz w:val="22"/>
        </w:rPr>
        <w:t>and its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their</w:t>
      </w:r>
      <w:r>
        <w:rPr>
          <w:color w:val="000000"/>
        </w:rPr>
        <w:t xml:space="preserve"> </w:t>
      </w:r>
      <w:r>
        <w:rPr>
          <w:rFonts w:ascii="sans-serif" w:hAnsi="sans-serif"/>
          <w:b w:val="false"/>
          <w:color w:val="000000"/>
          <w:sz w:val="22"/>
        </w:rPr>
        <w:t>current and</w:t>
      </w:r>
      <w:r>
        <w:rPr>
          <w:color w:val="000000"/>
        </w:rPr>
        <w:t xml:space="preserve"> </w:t>
      </w:r>
      <w:r>
        <w:rPr>
          <w:rFonts w:ascii="sans-serif" w:hAnsi="sans-serif"/>
          <w:b w:val="false"/>
          <w:color w:val="000000"/>
          <w:sz w:val="22"/>
        </w:rPr>
        <w:t>former officers, directors, employees, agents, representatives, successors, assigns, heirs, executors, administrators,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insurers,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individual</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organization</w:t>
      </w:r>
      <w:r>
        <w:rPr>
          <w:color w:val="000000"/>
        </w:rPr>
        <w:t xml:space="preserve"> </w:t>
      </w:r>
      <w:r>
        <w:rPr>
          <w:rFonts w:ascii="sans-serif" w:hAnsi="sans-serif"/>
          <w:b w:val="false"/>
          <w:color w:val="000000"/>
          <w:sz w:val="22"/>
        </w:rPr>
        <w:t>related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against whom or which Employee or Releasing Parties could claim (hereinafter referred to collectively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39" w:after="283"/>
        <w:jc w:val="both"/>
        <w:rPr/>
      </w:pPr>
      <w:r>
        <w:rPr>
          <w:rFonts w:ascii="sans-serif" w:hAnsi="sans-serif"/>
          <w:b w:val="false"/>
          <w:color w:val="000000"/>
          <w:sz w:val="22"/>
        </w:rPr>
        <w:t>as</w:t>
      </w:r>
      <w:r>
        <w:rPr>
          <w:color w:val="000000"/>
        </w:rPr>
        <w:t xml:space="preserve"> “</w:t>
      </w:r>
      <w:r>
        <w:rPr>
          <w:rFonts w:ascii="sans-serif" w:hAnsi="sans-serif"/>
          <w:b w:val="false"/>
          <w:color w:val="000000"/>
          <w:sz w:val="22"/>
        </w:rPr>
        <w:t>Released</w:t>
      </w:r>
      <w:r>
        <w:rPr>
          <w:color w:val="000000"/>
        </w:rPr>
        <w:t xml:space="preserve"> </w:t>
      </w:r>
      <w:r>
        <w:rPr>
          <w:rFonts w:ascii="sans-serif" w:hAnsi="sans-serif"/>
          <w:b w:val="false"/>
          <w:color w:val="000000"/>
          <w:sz w:val="22"/>
        </w:rPr>
        <w:t>Parties”),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from</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causes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action,</w:t>
      </w:r>
      <w:r>
        <w:rPr>
          <w:color w:val="000000"/>
        </w:rPr>
        <w:t xml:space="preserve"> </w:t>
      </w:r>
      <w:r>
        <w:rPr>
          <w:rFonts w:ascii="sans-serif" w:hAnsi="sans-serif"/>
          <w:b w:val="false"/>
          <w:color w:val="000000"/>
          <w:sz w:val="22"/>
        </w:rPr>
        <w:t>suits,</w:t>
      </w:r>
      <w:r>
        <w:rPr>
          <w:color w:val="000000"/>
        </w:rPr>
        <w:t xml:space="preserve"> </w:t>
      </w:r>
      <w:r>
        <w:rPr>
          <w:rFonts w:ascii="sans-serif" w:hAnsi="sans-serif"/>
          <w:b w:val="false"/>
          <w:color w:val="000000"/>
          <w:sz w:val="22"/>
        </w:rPr>
        <w:t>debts,</w:t>
      </w:r>
      <w:r>
        <w:rPr>
          <w:color w:val="000000"/>
        </w:rPr>
        <w:t xml:space="preserve"> </w:t>
      </w:r>
      <w:r>
        <w:rPr>
          <w:rFonts w:ascii="sans-serif" w:hAnsi="sans-serif"/>
          <w:b w:val="false"/>
          <w:color w:val="000000"/>
          <w:sz w:val="22"/>
        </w:rPr>
        <w:t>claims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demands whatsoever,</w:t>
      </w:r>
      <w:r>
        <w:rPr>
          <w:color w:val="000000"/>
        </w:rPr>
        <w:t xml:space="preserve"> </w:t>
      </w:r>
      <w:r>
        <w:rPr>
          <w:rFonts w:ascii="sans-serif" w:hAnsi="sans-serif"/>
          <w:b w:val="false"/>
          <w:color w:val="000000"/>
          <w:sz w:val="22"/>
        </w:rPr>
        <w:t>which</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Releasing</w:t>
      </w:r>
      <w:r>
        <w:rPr>
          <w:color w:val="000000"/>
        </w:rPr>
        <w:t xml:space="preserve"> </w:t>
      </w:r>
      <w:r>
        <w:rPr>
          <w:rFonts w:ascii="sans-serif" w:hAnsi="sans-serif"/>
          <w:b w:val="false"/>
          <w:color w:val="000000"/>
          <w:sz w:val="22"/>
        </w:rPr>
        <w:t>Parties</w:t>
      </w:r>
      <w:r>
        <w:rPr>
          <w:color w:val="000000"/>
        </w:rPr>
        <w:t xml:space="preserve"> </w:t>
      </w:r>
      <w:r>
        <w:rPr>
          <w:rFonts w:ascii="sans-serif" w:hAnsi="sans-serif"/>
          <w:b w:val="false"/>
          <w:color w:val="000000"/>
          <w:sz w:val="22"/>
        </w:rPr>
        <w:t>had,</w:t>
      </w:r>
      <w:r>
        <w:rPr>
          <w:color w:val="000000"/>
        </w:rPr>
        <w:t xml:space="preserve"> </w:t>
      </w:r>
      <w:r>
        <w:rPr>
          <w:rFonts w:ascii="sans-serif" w:hAnsi="sans-serif"/>
          <w:b w:val="false"/>
          <w:color w:val="000000"/>
          <w:sz w:val="22"/>
        </w:rPr>
        <w:t>has,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may</w:t>
      </w:r>
      <w:r>
        <w:rPr>
          <w:color w:val="000000"/>
        </w:rPr>
        <w:t xml:space="preserve"> </w:t>
      </w:r>
      <w:r>
        <w:rPr>
          <w:rFonts w:ascii="sans-serif" w:hAnsi="sans-serif"/>
          <w:b w:val="false"/>
          <w:color w:val="000000"/>
          <w:sz w:val="22"/>
        </w:rPr>
        <w:t>have</w:t>
      </w:r>
      <w:r>
        <w:rPr>
          <w:color w:val="000000"/>
        </w:rPr>
        <w:t xml:space="preserve"> </w:t>
      </w:r>
      <w:r>
        <w:rPr>
          <w:rFonts w:ascii="sans-serif" w:hAnsi="sans-serif"/>
          <w:b w:val="false"/>
          <w:color w:val="000000"/>
          <w:sz w:val="22"/>
        </w:rPr>
        <w:t>against</w:t>
      </w:r>
      <w:r>
        <w:rPr>
          <w:color w:val="000000"/>
        </w:rPr>
        <w:t xml:space="preserve"> </w:t>
      </w:r>
      <w:r>
        <w:rPr>
          <w:rFonts w:ascii="sans-serif" w:hAnsi="sans-serif"/>
          <w:b w:val="false"/>
          <w:color w:val="000000"/>
          <w:sz w:val="22"/>
        </w:rPr>
        <w:t>Released</w:t>
      </w:r>
      <w:r>
        <w:rPr>
          <w:color w:val="000000"/>
        </w:rPr>
        <w:t xml:space="preserve"> </w:t>
      </w:r>
      <w:r>
        <w:rPr>
          <w:rFonts w:ascii="sans-serif" w:hAnsi="sans-serif"/>
          <w:b w:val="false"/>
          <w:color w:val="000000"/>
          <w:sz w:val="22"/>
        </w:rPr>
        <w:t>Parties up until the date of Employee’s execution of this Separation Agreement and General Release (hereinafter</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Particularly,</w:t>
      </w:r>
      <w:r>
        <w:rPr>
          <w:color w:val="000000"/>
        </w:rPr>
        <w:t xml:space="preserve"> </w:t>
      </w:r>
      <w:r>
        <w:rPr>
          <w:rFonts w:ascii="sans-serif" w:hAnsi="sans-serif"/>
          <w:b w:val="false"/>
          <w:color w:val="000000"/>
          <w:sz w:val="22"/>
        </w:rPr>
        <w:t>but</w:t>
      </w:r>
      <w:r>
        <w:rPr>
          <w:color w:val="000000"/>
        </w:rPr>
        <w:t xml:space="preserve"> </w:t>
      </w:r>
      <w:r>
        <w:rPr>
          <w:rFonts w:ascii="sans-serif" w:hAnsi="sans-serif"/>
          <w:b w:val="false"/>
          <w:color w:val="000000"/>
          <w:sz w:val="22"/>
        </w:rPr>
        <w:t>without</w:t>
      </w:r>
      <w:r>
        <w:rPr>
          <w:color w:val="000000"/>
        </w:rPr>
        <w:t xml:space="preserve"> </w:t>
      </w:r>
      <w:r>
        <w:rPr>
          <w:rFonts w:ascii="sans-serif" w:hAnsi="sans-serif"/>
          <w:b w:val="false"/>
          <w:color w:val="000000"/>
          <w:sz w:val="22"/>
        </w:rPr>
        <w:t>limitation,</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Releasing</w:t>
      </w:r>
      <w:r>
        <w:rPr>
          <w:color w:val="000000"/>
        </w:rPr>
        <w:t xml:space="preserve"> </w:t>
      </w:r>
      <w:r>
        <w:rPr>
          <w:rFonts w:ascii="sans-serif" w:hAnsi="sans-serif"/>
          <w:b w:val="false"/>
          <w:color w:val="000000"/>
          <w:sz w:val="22"/>
        </w:rPr>
        <w:t>Parties release any claims relating in any way to Employee’s employment or the termination of Employee’s employment relationship with Employer, including any claims under any federal, state, or local laws, including Title VII of the Civil Rights Act of 1964 as amended, 42 U.S.C. § 2000e</w:t>
      </w:r>
      <w:r>
        <w:rPr>
          <w:color w:val="000000"/>
        </w:rPr>
        <w:t xml:space="preserve"> </w:t>
      </w:r>
      <w:r>
        <w:rPr>
          <w:rFonts w:ascii="sans-serif" w:hAnsi="sans-serif"/>
          <w:b w:val="false"/>
          <w:color w:val="000000"/>
          <w:sz w:val="22"/>
          <w:u w:val="single"/>
        </w:rPr>
        <w:t>et</w:t>
      </w:r>
      <w:r>
        <w:rPr>
          <w:color w:val="000000"/>
        </w:rPr>
        <w:t xml:space="preserve"> </w:t>
      </w:r>
      <w:r>
        <w:rPr>
          <w:rFonts w:ascii="sans-serif" w:hAnsi="sans-serif"/>
          <w:b w:val="false"/>
          <w:color w:val="000000"/>
          <w:sz w:val="22"/>
          <w:u w:val="single"/>
        </w:rPr>
        <w:t>seq</w:t>
      </w:r>
      <w:r>
        <w:rPr>
          <w:rFonts w:ascii="sans-serif" w:hAnsi="sans-serif"/>
          <w:b w:val="false"/>
          <w:color w:val="000000"/>
          <w:sz w:val="22"/>
        </w:rPr>
        <w:t>.</w:t>
      </w:r>
      <w:r>
        <w:rPr>
          <w:color w:val="000000"/>
        </w:rPr>
        <w:t xml:space="preserve"> </w:t>
      </w:r>
      <w:r>
        <w:rPr>
          <w:rFonts w:ascii="sans-serif" w:hAnsi="sans-serif"/>
          <w:b w:val="false"/>
          <w:color w:val="000000"/>
          <w:sz w:val="22"/>
        </w:rPr>
        <w:t>(“Title</w:t>
      </w:r>
      <w:r>
        <w:rPr>
          <w:color w:val="000000"/>
        </w:rPr>
        <w:t xml:space="preserve"> </w:t>
      </w:r>
      <w:r>
        <w:rPr>
          <w:rFonts w:ascii="sans-serif" w:hAnsi="sans-serif"/>
          <w:b w:val="false"/>
          <w:color w:val="000000"/>
          <w:sz w:val="22"/>
        </w:rPr>
        <w:t>VII”);</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Age</w:t>
      </w:r>
      <w:r>
        <w:rPr>
          <w:color w:val="000000"/>
        </w:rPr>
        <w:t xml:space="preserve"> </w:t>
      </w:r>
      <w:r>
        <w:rPr>
          <w:rFonts w:ascii="sans-serif" w:hAnsi="sans-serif"/>
          <w:b w:val="false"/>
          <w:color w:val="000000"/>
          <w:sz w:val="22"/>
        </w:rPr>
        <w:t>Discrimination</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Act,</w:t>
      </w:r>
      <w:r>
        <w:rPr>
          <w:color w:val="000000"/>
        </w:rPr>
        <w:t xml:space="preserve"> </w:t>
      </w:r>
      <w:r>
        <w:rPr>
          <w:rFonts w:ascii="sans-serif" w:hAnsi="sans-serif"/>
          <w:b w:val="false"/>
          <w:color w:val="000000"/>
          <w:sz w:val="22"/>
        </w:rPr>
        <w:t>29</w:t>
      </w:r>
      <w:r>
        <w:rPr>
          <w:color w:val="000000"/>
        </w:rPr>
        <w:t xml:space="preserve"> </w:t>
      </w:r>
      <w:r>
        <w:rPr>
          <w:rFonts w:ascii="sans-serif" w:hAnsi="sans-serif"/>
          <w:b w:val="false"/>
          <w:color w:val="000000"/>
          <w:sz w:val="22"/>
        </w:rPr>
        <w:t>U.S.C.</w:t>
      </w:r>
      <w:r>
        <w:rPr>
          <w:color w:val="000000"/>
        </w:rPr>
        <w:t xml:space="preserve"> </w:t>
      </w:r>
      <w:r>
        <w:rPr>
          <w:rFonts w:ascii="sans-serif" w:hAnsi="sans-serif"/>
          <w:b w:val="false"/>
          <w:color w:val="000000"/>
          <w:sz w:val="22"/>
        </w:rPr>
        <w:t>§</w:t>
      </w:r>
      <w:r>
        <w:rPr>
          <w:color w:val="000000"/>
        </w:rPr>
        <w:t xml:space="preserve"> </w:t>
      </w:r>
      <w:r>
        <w:rPr>
          <w:rFonts w:ascii="sans-serif" w:hAnsi="sans-serif"/>
          <w:b w:val="false"/>
          <w:color w:val="000000"/>
          <w:sz w:val="22"/>
        </w:rPr>
        <w:t>621</w:t>
      </w:r>
      <w:r>
        <w:rPr>
          <w:color w:val="000000"/>
        </w:rPr>
        <w:t xml:space="preserve"> </w:t>
      </w:r>
      <w:r>
        <w:rPr>
          <w:rFonts w:ascii="sans-serif" w:hAnsi="sans-serif"/>
          <w:b w:val="false"/>
          <w:color w:val="000000"/>
          <w:sz w:val="22"/>
          <w:u w:val="single"/>
        </w:rPr>
        <w:t>et</w:t>
      </w:r>
      <w:r>
        <w:rPr>
          <w:color w:val="000000"/>
        </w:rPr>
        <w:t xml:space="preserve"> </w:t>
      </w:r>
      <w:r>
        <w:rPr>
          <w:rFonts w:ascii="sans-serif" w:hAnsi="sans-serif"/>
          <w:b w:val="false"/>
          <w:color w:val="000000"/>
          <w:sz w:val="22"/>
          <w:u w:val="single"/>
        </w:rPr>
        <w:t>seq</w:t>
      </w:r>
      <w:r>
        <w:rPr>
          <w:rFonts w:ascii="sans-serif" w:hAnsi="sans-serif"/>
          <w:b w:val="false"/>
          <w:color w:val="000000"/>
          <w:sz w:val="22"/>
        </w:rPr>
        <w:t>.</w:t>
      </w:r>
    </w:p>
    <w:p>
      <w:pPr>
        <w:pStyle w:val="TextBody"/>
        <w:bidi w:val="0"/>
        <w:spacing w:lineRule="auto" w:line="556" w:before="0" w:after="0"/>
        <w:jc w:val="left"/>
        <w:rPr/>
      </w:pPr>
      <w:r>
        <w:rPr>
          <w:rFonts w:ascii="sans-serif" w:hAnsi="sans-serif"/>
          <w:b w:val="false"/>
          <w:color w:val="000000"/>
          <w:sz w:val="22"/>
        </w:rPr>
        <w:t>(the “ADEA”), as amended by the Older Workers Benefit Protection Act (the “OWBPA”); the</w:t>
      </w:r>
      <w:r>
        <w:rPr>
          <w:color w:val="000000"/>
        </w:rPr>
        <w:t xml:space="preserve"> </w:t>
      </w:r>
      <w:r>
        <w:rPr>
          <w:rFonts w:ascii="sans-serif" w:hAnsi="sans-serif"/>
          <w:b w:val="false"/>
          <w:color w:val="000000"/>
          <w:sz w:val="22"/>
        </w:rPr>
        <w:t>Americans</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Disabilities</w:t>
      </w:r>
      <w:r>
        <w:rPr>
          <w:color w:val="000000"/>
        </w:rPr>
        <w:t xml:space="preserve"> </w:t>
      </w:r>
      <w:r>
        <w:rPr>
          <w:rFonts w:ascii="sans-serif" w:hAnsi="sans-serif"/>
          <w:b w:val="false"/>
          <w:color w:val="000000"/>
          <w:sz w:val="22"/>
        </w:rPr>
        <w:t>Act,</w:t>
      </w:r>
      <w:r>
        <w:rPr>
          <w:color w:val="000000"/>
        </w:rPr>
        <w:t xml:space="preserve"> </w:t>
      </w:r>
      <w:r>
        <w:rPr>
          <w:rFonts w:ascii="sans-serif" w:hAnsi="sans-serif"/>
          <w:b w:val="false"/>
          <w:color w:val="000000"/>
          <w:sz w:val="22"/>
        </w:rPr>
        <w:t>42</w:t>
      </w:r>
      <w:r>
        <w:rPr>
          <w:color w:val="000000"/>
        </w:rPr>
        <w:t xml:space="preserve"> </w:t>
      </w:r>
      <w:r>
        <w:rPr>
          <w:rFonts w:ascii="sans-serif" w:hAnsi="sans-serif"/>
          <w:b w:val="false"/>
          <w:color w:val="000000"/>
          <w:sz w:val="22"/>
        </w:rPr>
        <w:t>U.S.C</w:t>
      </w:r>
      <w:r>
        <w:rPr>
          <w:color w:val="000000"/>
        </w:rPr>
        <w:t xml:space="preserve"> </w:t>
      </w:r>
      <w:r>
        <w:rPr>
          <w:rFonts w:ascii="sans-serif" w:hAnsi="sans-serif"/>
          <w:b w:val="false"/>
          <w:color w:val="000000"/>
          <w:sz w:val="22"/>
        </w:rPr>
        <w:t>§</w:t>
      </w:r>
      <w:r>
        <w:rPr>
          <w:color w:val="000000"/>
        </w:rPr>
        <w:t xml:space="preserve"> </w:t>
      </w:r>
      <w:r>
        <w:rPr>
          <w:rFonts w:ascii="sans-serif" w:hAnsi="sans-serif"/>
          <w:b w:val="false"/>
          <w:color w:val="000000"/>
          <w:sz w:val="22"/>
        </w:rPr>
        <w:t>12101</w:t>
      </w:r>
      <w:r>
        <w:rPr>
          <w:color w:val="000000"/>
        </w:rPr>
        <w:t xml:space="preserve"> </w:t>
      </w:r>
      <w:r>
        <w:rPr>
          <w:rFonts w:ascii="sans-serif" w:hAnsi="sans-serif"/>
          <w:b w:val="false"/>
          <w:color w:val="000000"/>
          <w:sz w:val="22"/>
          <w:u w:val="single"/>
        </w:rPr>
        <w:t>et</w:t>
      </w:r>
      <w:r>
        <w:rPr>
          <w:color w:val="000000"/>
        </w:rPr>
        <w:t xml:space="preserve"> </w:t>
      </w:r>
      <w:r>
        <w:rPr>
          <w:rFonts w:ascii="sans-serif" w:hAnsi="sans-serif"/>
          <w:b w:val="false"/>
          <w:color w:val="000000"/>
          <w:sz w:val="22"/>
          <w:u w:val="single"/>
        </w:rPr>
        <w:t>seq</w:t>
      </w:r>
      <w:r>
        <w:rPr>
          <w:rFonts w:ascii="sans-serif" w:hAnsi="sans-serif"/>
          <w:b w:val="false"/>
          <w:color w:val="000000"/>
          <w:sz w:val="22"/>
        </w:rPr>
        <w:t>.</w:t>
      </w:r>
      <w:r>
        <w:rPr>
          <w:color w:val="000000"/>
        </w:rPr>
        <w:t xml:space="preserve"> </w:t>
      </w:r>
      <w:r>
        <w:rPr>
          <w:rFonts w:ascii="sans-serif" w:hAnsi="sans-serif"/>
          <w:b w:val="false"/>
          <w:color w:val="000000"/>
          <w:sz w:val="22"/>
        </w:rPr>
        <w:t>(“ADA”);</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Retirement</w:t>
      </w:r>
    </w:p>
    <w:p>
      <w:pPr>
        <w:pStyle w:val="TextBody"/>
        <w:bidi w:val="0"/>
        <w:spacing w:lineRule="auto" w:line="288" w:before="0" w:after="0"/>
        <w:jc w:val="left"/>
        <w:rPr/>
      </w:pPr>
      <w:r>
        <w:rPr>
          <w:rFonts w:ascii="sans-serif" w:hAnsi="sans-serif"/>
          <w:b w:val="false"/>
          <w:color w:val="000000"/>
          <w:sz w:val="22"/>
        </w:rPr>
        <w:t>Income</w:t>
      </w:r>
      <w:r>
        <w:rPr>
          <w:color w:val="000000"/>
        </w:rPr>
        <w:t xml:space="preserve"> </w:t>
      </w:r>
      <w:r>
        <w:rPr>
          <w:rFonts w:ascii="sans-serif" w:hAnsi="sans-serif"/>
          <w:b w:val="false"/>
          <w:color w:val="000000"/>
          <w:sz w:val="22"/>
        </w:rPr>
        <w:t>Security</w:t>
      </w:r>
      <w:r>
        <w:rPr>
          <w:color w:val="000000"/>
        </w:rPr>
        <w:t xml:space="preserve"> </w:t>
      </w:r>
      <w:r>
        <w:rPr>
          <w:rFonts w:ascii="sans-serif" w:hAnsi="sans-serif"/>
          <w:b w:val="false"/>
          <w:color w:val="000000"/>
          <w:sz w:val="22"/>
        </w:rPr>
        <w:t>Act,</w:t>
      </w:r>
      <w:r>
        <w:rPr>
          <w:color w:val="000000"/>
        </w:rPr>
        <w:t xml:space="preserve"> </w:t>
      </w:r>
      <w:r>
        <w:rPr>
          <w:rFonts w:ascii="sans-serif" w:hAnsi="sans-serif"/>
          <w:b w:val="false"/>
          <w:color w:val="000000"/>
          <w:sz w:val="22"/>
        </w:rPr>
        <w:t>29</w:t>
      </w:r>
      <w:r>
        <w:rPr>
          <w:color w:val="000000"/>
        </w:rPr>
        <w:t xml:space="preserve"> </w:t>
      </w:r>
      <w:r>
        <w:rPr>
          <w:rFonts w:ascii="sans-serif" w:hAnsi="sans-serif"/>
          <w:b w:val="false"/>
          <w:color w:val="000000"/>
          <w:sz w:val="22"/>
        </w:rPr>
        <w:t>U.S.C.</w:t>
      </w:r>
      <w:r>
        <w:rPr>
          <w:color w:val="000000"/>
        </w:rPr>
        <w:t xml:space="preserve"> </w:t>
      </w:r>
      <w:r>
        <w:rPr>
          <w:rFonts w:ascii="sans-serif" w:hAnsi="sans-serif"/>
          <w:b w:val="false"/>
          <w:color w:val="000000"/>
          <w:sz w:val="22"/>
        </w:rPr>
        <w:t>§</w:t>
      </w:r>
      <w:r>
        <w:rPr>
          <w:color w:val="000000"/>
        </w:rPr>
        <w:t xml:space="preserve"> </w:t>
      </w:r>
      <w:r>
        <w:rPr>
          <w:rFonts w:ascii="sans-serif" w:hAnsi="sans-serif"/>
          <w:b w:val="false"/>
          <w:color w:val="000000"/>
          <w:sz w:val="22"/>
        </w:rPr>
        <w:t>1001</w:t>
      </w:r>
      <w:r>
        <w:rPr>
          <w:color w:val="000000"/>
        </w:rPr>
        <w:t xml:space="preserve"> </w:t>
      </w:r>
      <w:r>
        <w:rPr>
          <w:rFonts w:ascii="sans-serif" w:hAnsi="sans-serif"/>
          <w:b w:val="false"/>
          <w:color w:val="000000"/>
          <w:sz w:val="22"/>
          <w:u w:val="single"/>
        </w:rPr>
        <w:t>et</w:t>
      </w:r>
      <w:r>
        <w:rPr>
          <w:color w:val="000000"/>
        </w:rPr>
        <w:t xml:space="preserve"> </w:t>
      </w:r>
      <w:r>
        <w:rPr>
          <w:rFonts w:ascii="sans-serif" w:hAnsi="sans-serif"/>
          <w:b w:val="false"/>
          <w:color w:val="000000"/>
          <w:sz w:val="22"/>
          <w:u w:val="single"/>
        </w:rPr>
        <w:t>seq</w:t>
      </w:r>
      <w:r>
        <w:rPr>
          <w:rFonts w:ascii="sans-serif" w:hAnsi="sans-serif"/>
          <w:b w:val="false"/>
          <w:color w:val="000000"/>
          <w:sz w:val="22"/>
        </w:rPr>
        <w:t>.</w:t>
      </w:r>
      <w:r>
        <w:rPr>
          <w:color w:val="000000"/>
        </w:rPr>
        <w:t xml:space="preserve"> </w:t>
      </w:r>
      <w:r>
        <w:rPr>
          <w:rFonts w:ascii="sans-serif" w:hAnsi="sans-serif"/>
          <w:b w:val="false"/>
          <w:color w:val="000000"/>
          <w:sz w:val="22"/>
        </w:rPr>
        <w:t>(“ERISA”);</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Genetic</w:t>
      </w:r>
      <w:r>
        <w:rPr>
          <w:color w:val="000000"/>
        </w:rPr>
        <w:t xml:space="preserve"> </w:t>
      </w:r>
      <w:r>
        <w:rPr>
          <w:rFonts w:ascii="sans-serif" w:hAnsi="sans-serif"/>
          <w:b w:val="false"/>
          <w:color w:val="000000"/>
          <w:sz w:val="22"/>
        </w:rPr>
        <w:t>Information</w:t>
      </w:r>
      <w:r>
        <w:rPr>
          <w:color w:val="000000"/>
        </w:rPr>
        <w:t xml:space="preserve"> </w:t>
      </w:r>
      <w:r>
        <w:rPr>
          <w:rFonts w:ascii="sans-serif" w:hAnsi="sans-serif"/>
          <w:b w:val="false"/>
          <w:color w:val="000000"/>
          <w:sz w:val="22"/>
        </w:rPr>
        <w:t>Non-</w:t>
      </w:r>
    </w:p>
    <w:p>
      <w:pPr>
        <w:pStyle w:val="TextBody"/>
        <w:bidi w:val="0"/>
        <w:spacing w:before="0" w:after="0"/>
        <w:jc w:val="left"/>
        <w:rPr/>
      </w:pPr>
      <w:r>
        <w:rPr/>
      </w:r>
    </w:p>
    <w:p>
      <w:pPr>
        <w:pStyle w:val="TextBody"/>
        <w:bidi w:val="0"/>
        <w:spacing w:lineRule="auto" w:line="288" w:before="1" w:after="283"/>
        <w:jc w:val="left"/>
        <w:rPr/>
      </w:pPr>
      <w:r>
        <w:rPr>
          <w:rFonts w:ascii="sans-serif" w:hAnsi="sans-serif"/>
          <w:b w:val="false"/>
          <w:color w:val="000000"/>
          <w:sz w:val="22"/>
        </w:rPr>
        <w:t>Discrimination</w:t>
      </w:r>
      <w:r>
        <w:rPr>
          <w:color w:val="000000"/>
        </w:rPr>
        <w:t xml:space="preserve"> </w:t>
      </w:r>
      <w:r>
        <w:rPr>
          <w:rFonts w:ascii="sans-serif" w:hAnsi="sans-serif"/>
          <w:b w:val="false"/>
          <w:color w:val="000000"/>
          <w:sz w:val="22"/>
        </w:rPr>
        <w:t>Act</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2008,</w:t>
      </w:r>
      <w:r>
        <w:rPr>
          <w:color w:val="000000"/>
        </w:rPr>
        <w:t xml:space="preserve"> </w:t>
      </w:r>
      <w:r>
        <w:rPr>
          <w:rFonts w:ascii="sans-serif" w:hAnsi="sans-serif"/>
          <w:b w:val="false"/>
          <w:color w:val="000000"/>
          <w:sz w:val="22"/>
        </w:rPr>
        <w:t>42</w:t>
      </w:r>
      <w:r>
        <w:rPr>
          <w:color w:val="000000"/>
        </w:rPr>
        <w:t xml:space="preserve"> </w:t>
      </w:r>
      <w:r>
        <w:rPr>
          <w:rFonts w:ascii="sans-serif" w:hAnsi="sans-serif"/>
          <w:b w:val="false"/>
          <w:color w:val="000000"/>
          <w:sz w:val="22"/>
        </w:rPr>
        <w:t>U.S.C.</w:t>
      </w:r>
      <w:r>
        <w:rPr>
          <w:color w:val="000000"/>
        </w:rPr>
        <w:t xml:space="preserve"> </w:t>
      </w:r>
      <w:r>
        <w:rPr>
          <w:rFonts w:ascii="sans-serif" w:hAnsi="sans-serif"/>
          <w:b w:val="false"/>
          <w:color w:val="000000"/>
          <w:sz w:val="22"/>
        </w:rPr>
        <w:t>§</w:t>
      </w:r>
      <w:r>
        <w:rPr>
          <w:color w:val="000000"/>
        </w:rPr>
        <w:t xml:space="preserve"> </w:t>
      </w:r>
      <w:r>
        <w:rPr>
          <w:rFonts w:ascii="sans-serif" w:hAnsi="sans-serif"/>
          <w:b w:val="false"/>
          <w:color w:val="000000"/>
          <w:sz w:val="22"/>
        </w:rPr>
        <w:t>2000ff-1</w:t>
      </w:r>
      <w:r>
        <w:rPr>
          <w:color w:val="000000"/>
        </w:rPr>
        <w:t xml:space="preserve"> </w:t>
      </w:r>
      <w:r>
        <w:rPr>
          <w:rFonts w:ascii="sans-serif" w:hAnsi="sans-serif"/>
          <w:b w:val="false"/>
          <w:color w:val="000000"/>
          <w:sz w:val="22"/>
          <w:u w:val="single"/>
        </w:rPr>
        <w:t>et</w:t>
      </w:r>
      <w:r>
        <w:rPr>
          <w:color w:val="000000"/>
        </w:rPr>
        <w:t xml:space="preserve"> </w:t>
      </w:r>
      <w:r>
        <w:rPr>
          <w:rFonts w:ascii="sans-serif" w:hAnsi="sans-serif"/>
          <w:b w:val="false"/>
          <w:color w:val="000000"/>
          <w:sz w:val="22"/>
          <w:u w:val="single"/>
        </w:rPr>
        <w:t>seq.</w:t>
      </w:r>
      <w:r>
        <w:rPr>
          <w:color w:val="000000"/>
        </w:rPr>
        <w:t xml:space="preserve"> </w:t>
      </w:r>
      <w:r>
        <w:rPr>
          <w:rFonts w:ascii="sans-serif" w:hAnsi="sans-serif"/>
          <w:b w:val="false"/>
          <w:color w:val="000000"/>
          <w:sz w:val="22"/>
        </w:rPr>
        <w:t>(“GINA”);</w:t>
      </w:r>
      <w:r>
        <w:rPr>
          <w:color w:val="000000"/>
        </w:rPr>
        <w:t xml:space="preserve"> </w:t>
      </w:r>
      <w:r>
        <w:rPr>
          <w:rFonts w:ascii="sans-serif" w:hAnsi="sans-serif"/>
          <w:b w:val="false"/>
          <w:color w:val="000000"/>
          <w:sz w:val="22"/>
        </w:rPr>
        <w:t>42</w:t>
      </w:r>
      <w:r>
        <w:rPr>
          <w:color w:val="000000"/>
        </w:rPr>
        <w:t xml:space="preserve"> </w:t>
      </w:r>
      <w:r>
        <w:rPr>
          <w:rFonts w:ascii="sans-serif" w:hAnsi="sans-serif"/>
          <w:b w:val="false"/>
          <w:color w:val="000000"/>
          <w:sz w:val="22"/>
        </w:rPr>
        <w:t>U.S.C.</w:t>
      </w:r>
      <w:r>
        <w:rPr>
          <w:color w:val="000000"/>
        </w:rPr>
        <w:t xml:space="preserve"> </w:t>
      </w:r>
      <w:r>
        <w:rPr>
          <w:rFonts w:ascii="sans-serif" w:hAnsi="sans-serif"/>
          <w:b w:val="false"/>
          <w:color w:val="000000"/>
          <w:sz w:val="22"/>
        </w:rPr>
        <w:t>§</w:t>
      </w:r>
      <w:r>
        <w:rPr>
          <w:color w:val="000000"/>
        </w:rPr>
        <w:t xml:space="preserve"> </w:t>
      </w:r>
      <w:r>
        <w:rPr>
          <w:rFonts w:ascii="sans-serif" w:hAnsi="sans-serif"/>
          <w:b w:val="false"/>
          <w:color w:val="000000"/>
          <w:sz w:val="22"/>
        </w:rPr>
        <w:t>1981</w:t>
      </w:r>
      <w:r>
        <w:rPr>
          <w:color w:val="000000"/>
        </w:rPr>
        <w:t xml:space="preserve"> </w:t>
      </w:r>
      <w:r>
        <w:rPr>
          <w:rFonts w:ascii="sans-serif" w:hAnsi="sans-serif"/>
          <w:b w:val="false"/>
          <w:color w:val="000000"/>
          <w:sz w:val="22"/>
        </w:rPr>
        <w:t>(“Section</w:t>
      </w:r>
    </w:p>
    <w:p>
      <w:pPr>
        <w:pStyle w:val="TextBody"/>
        <w:bidi w:val="0"/>
        <w:spacing w:before="0" w:after="0"/>
        <w:jc w:val="left"/>
        <w:rPr/>
      </w:pPr>
      <w:r>
        <w:rPr/>
      </w:r>
    </w:p>
    <w:p>
      <w:pPr>
        <w:pStyle w:val="TextBody"/>
        <w:bidi w:val="0"/>
        <w:spacing w:lineRule="auto" w:line="556" w:before="0" w:after="0"/>
        <w:jc w:val="both"/>
        <w:rPr/>
      </w:pPr>
      <w:r>
        <w:rPr>
          <w:rFonts w:ascii="sans-serif" w:hAnsi="sans-serif"/>
          <w:b w:val="false"/>
          <w:color w:val="000000"/>
          <w:sz w:val="22"/>
        </w:rPr>
        <w:t>1981”); the Pennsylvania Human Relations Act (“PHRA”); the Pennsylvania Wage Payment and Collection Law; the Pennsylvania Whistleblower Law; Georgia Equal Pay Act (“GEPA”); the Georgia Prohibition of Age Discrimination in Employment Act; the Georgia Equal Employment for</w:t>
      </w:r>
      <w:r>
        <w:rPr>
          <w:color w:val="000000"/>
        </w:rPr>
        <w:t xml:space="preserve"> </w:t>
      </w:r>
      <w:r>
        <w:rPr>
          <w:rFonts w:ascii="sans-serif" w:hAnsi="sans-serif"/>
          <w:b w:val="false"/>
          <w:color w:val="000000"/>
          <w:sz w:val="22"/>
        </w:rPr>
        <w:t>Persons</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Disabilities</w:t>
      </w:r>
      <w:r>
        <w:rPr>
          <w:color w:val="000000"/>
        </w:rPr>
        <w:t xml:space="preserve"> </w:t>
      </w:r>
      <w:r>
        <w:rPr>
          <w:rFonts w:ascii="sans-serif" w:hAnsi="sans-serif"/>
          <w:b w:val="false"/>
          <w:color w:val="000000"/>
          <w:sz w:val="22"/>
        </w:rPr>
        <w:t>Code</w:t>
      </w:r>
      <w:r>
        <w:rPr>
          <w:color w:val="000000"/>
        </w:rPr>
        <w:t xml:space="preserve"> </w:t>
      </w:r>
      <w:r>
        <w:rPr>
          <w:rFonts w:ascii="sans-serif" w:hAnsi="sans-serif"/>
          <w:b w:val="false"/>
          <w:color w:val="000000"/>
          <w:sz w:val="22"/>
        </w:rPr>
        <w:t>(“GEEPDC”);</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Georgia</w:t>
      </w:r>
      <w:r>
        <w:rPr>
          <w:color w:val="000000"/>
        </w:rPr>
        <w:t xml:space="preserve"> </w:t>
      </w:r>
      <w:r>
        <w:rPr>
          <w:rFonts w:ascii="sans-serif" w:hAnsi="sans-serif"/>
          <w:b w:val="false"/>
          <w:color w:val="000000"/>
          <w:sz w:val="22"/>
        </w:rPr>
        <w:t>Discriminatory</w:t>
      </w:r>
      <w:r>
        <w:rPr>
          <w:color w:val="000000"/>
        </w:rPr>
        <w:t xml:space="preserve"> </w:t>
      </w:r>
      <w:r>
        <w:rPr>
          <w:rFonts w:ascii="sans-serif" w:hAnsi="sans-serif"/>
          <w:b w:val="false"/>
          <w:color w:val="000000"/>
          <w:sz w:val="22"/>
        </w:rPr>
        <w:t>Wage</w:t>
      </w:r>
      <w:r>
        <w:rPr>
          <w:color w:val="000000"/>
        </w:rPr>
        <w:t xml:space="preserve"> </w:t>
      </w:r>
      <w:r>
        <w:rPr>
          <w:rFonts w:ascii="sans-serif" w:hAnsi="sans-serif"/>
          <w:b w:val="false"/>
          <w:color w:val="000000"/>
          <w:sz w:val="22"/>
        </w:rPr>
        <w:t>Practices</w:t>
      </w:r>
      <w:r>
        <w:rPr>
          <w:color w:val="000000"/>
        </w:rPr>
        <w:t xml:space="preserve"> </w:t>
      </w:r>
      <w:r>
        <w:rPr>
          <w:rFonts w:ascii="sans-serif" w:hAnsi="sans-serif"/>
          <w:b w:val="false"/>
          <w:color w:val="000000"/>
          <w:sz w:val="22"/>
        </w:rPr>
        <w:t>Based on Sex Act; and any and all other statutory and common law claims, including any tort claims, or claims for breach of contract or arising under state or local anti-discrimination laws.</w:t>
      </w:r>
    </w:p>
    <w:p>
      <w:pPr>
        <w:pStyle w:val="TextBody"/>
        <w:bidi w:val="0"/>
        <w:spacing w:lineRule="auto" w:line="556" w:before="0" w:after="0"/>
        <w:ind w:left="0" w:right="0" w:hanging="721"/>
        <w:jc w:val="both"/>
        <w:rPr>
          <w:rFonts w:ascii="sans-serif" w:hAnsi="sans-serif"/>
          <w:b w:val="false"/>
          <w:color w:val="000000"/>
          <w:sz w:val="22"/>
        </w:rPr>
      </w:pPr>
      <w:r>
        <w:rPr>
          <w:rFonts w:ascii="sans-serif" w:hAnsi="sans-serif"/>
          <w:b w:val="false"/>
          <w:color w:val="000000"/>
          <w:sz w:val="22"/>
        </w:rPr>
        <w:t>2.In full consideration of Employee’s execution of this Agreement and agreement to be legally bound by its terms, Employer agrees to the following:</w:t>
      </w:r>
    </w:p>
    <w:p>
      <w:pPr>
        <w:pStyle w:val="TextBody"/>
        <w:bidi w:val="0"/>
        <w:spacing w:lineRule="auto" w:line="556" w:before="0" w:after="0"/>
        <w:ind w:left="0" w:right="0" w:hanging="361"/>
        <w:jc w:val="both"/>
        <w:rPr/>
      </w:pPr>
      <w:r>
        <w:rPr>
          <w:rFonts w:ascii="sans-serif" w:hAnsi="sans-serif"/>
          <w:b w:val="false"/>
          <w:color w:val="000000"/>
          <w:sz w:val="22"/>
        </w:rPr>
        <w:t>a.Employer</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make bi-weekly</w:t>
      </w:r>
      <w:r>
        <w:rPr>
          <w:color w:val="000000"/>
        </w:rPr>
        <w:t xml:space="preserve"> </w:t>
      </w:r>
      <w:r>
        <w:rPr>
          <w:rFonts w:ascii="sans-serif" w:hAnsi="sans-serif"/>
          <w:b w:val="false"/>
          <w:color w:val="000000"/>
          <w:sz w:val="22"/>
        </w:rPr>
        <w:t>severance payments</w:t>
      </w:r>
      <w:r>
        <w:rPr>
          <w:color w:val="000000"/>
        </w:rPr>
        <w:t xml:space="preserve"> </w:t>
      </w:r>
      <w:r>
        <w:rPr>
          <w:rFonts w:ascii="sans-serif" w:hAnsi="sans-serif"/>
          <w:b w:val="false"/>
          <w:color w:val="000000"/>
          <w:sz w:val="22"/>
        </w:rPr>
        <w:t>to Employee at Employee’s</w:t>
      </w:r>
      <w:r>
        <w:rPr>
          <w:color w:val="000000"/>
        </w:rPr>
        <w:t xml:space="preserve"> </w:t>
      </w:r>
      <w:r>
        <w:rPr>
          <w:rFonts w:ascii="sans-serif" w:hAnsi="sans-serif"/>
          <w:b w:val="false"/>
          <w:color w:val="000000"/>
          <w:sz w:val="22"/>
        </w:rPr>
        <w:t>current bi-weekly rate, less applicable payroll tax deductions, for 12 months (the total payment is hereinafter</w:t>
      </w:r>
      <w:r>
        <w:rPr>
          <w:color w:val="000000"/>
        </w:rPr>
        <w:t xml:space="preserve"> </w:t>
      </w:r>
      <w:r>
        <w:rPr>
          <w:rFonts w:ascii="sans-serif" w:hAnsi="sans-serif"/>
          <w:b w:val="false"/>
          <w:color w:val="000000"/>
          <w:sz w:val="22"/>
        </w:rPr>
        <w:t>referred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the “Severance</w:t>
      </w:r>
      <w:r>
        <w:rPr>
          <w:color w:val="000000"/>
        </w:rPr>
        <w:t xml:space="preserve"> </w:t>
      </w:r>
      <w:r>
        <w:rPr>
          <w:rFonts w:ascii="sans-serif" w:hAnsi="sans-serif"/>
          <w:b w:val="false"/>
          <w:color w:val="000000"/>
          <w:sz w:val="22"/>
        </w:rPr>
        <w:t>Payment”).</w:t>
      </w:r>
      <w:r>
        <w:rPr>
          <w:color w:val="000000"/>
        </w:rPr>
        <w:t xml:space="preserve"> </w:t>
      </w:r>
      <w:r>
        <w:rPr>
          <w:rFonts w:ascii="sans-serif" w:hAnsi="sans-serif"/>
          <w:b w:val="false"/>
          <w:color w:val="000000"/>
          <w:sz w:val="22"/>
        </w:rPr>
        <w:t>The first</w:t>
      </w:r>
      <w:r>
        <w:rPr>
          <w:color w:val="000000"/>
        </w:rPr>
        <w:t xml:space="preserve"> </w:t>
      </w:r>
      <w:r>
        <w:rPr>
          <w:rFonts w:ascii="sans-serif" w:hAnsi="sans-serif"/>
          <w:b w:val="false"/>
          <w:color w:val="000000"/>
          <w:sz w:val="22"/>
        </w:rPr>
        <w:t>installment</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Severance Payment</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paid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first</w:t>
      </w:r>
      <w:r>
        <w:rPr>
          <w:color w:val="000000"/>
        </w:rPr>
        <w:t xml:space="preserve"> </w:t>
      </w:r>
      <w:r>
        <w:rPr>
          <w:rFonts w:ascii="sans-serif" w:hAnsi="sans-serif"/>
          <w:b w:val="false"/>
          <w:color w:val="000000"/>
          <w:sz w:val="22"/>
        </w:rPr>
        <w:t>regularly</w:t>
      </w:r>
      <w:r>
        <w:rPr>
          <w:color w:val="000000"/>
        </w:rPr>
        <w:t xml:space="preserve"> </w:t>
      </w:r>
      <w:r>
        <w:rPr>
          <w:rFonts w:ascii="sans-serif" w:hAnsi="sans-serif"/>
          <w:b w:val="false"/>
          <w:color w:val="000000"/>
          <w:sz w:val="22"/>
        </w:rPr>
        <w:t>scheduled</w:t>
      </w:r>
      <w:r>
        <w:rPr>
          <w:color w:val="000000"/>
        </w:rPr>
        <w:t xml:space="preserve"> </w:t>
      </w:r>
      <w:r>
        <w:rPr>
          <w:rFonts w:ascii="sans-serif" w:hAnsi="sans-serif"/>
          <w:b w:val="false"/>
          <w:color w:val="000000"/>
          <w:sz w:val="22"/>
        </w:rPr>
        <w:t>pay</w:t>
      </w:r>
      <w:r>
        <w:rPr>
          <w:color w:val="000000"/>
        </w:rPr>
        <w:t xml:space="preserve"> </w:t>
      </w:r>
      <w:r>
        <w:rPr>
          <w:rFonts w:ascii="sans-serif" w:hAnsi="sans-serif"/>
          <w:b w:val="false"/>
          <w:color w:val="000000"/>
          <w:sz w:val="22"/>
        </w:rPr>
        <w:t>period</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accordance</w:t>
      </w:r>
    </w:p>
    <w:p>
      <w:pPr>
        <w:pStyle w:val="TextBody"/>
        <w:bidi w:val="0"/>
        <w:spacing w:lineRule="auto" w:line="288" w:before="0" w:after="0"/>
        <w:jc w:val="both"/>
        <w:rPr/>
      </w:pPr>
      <w:r>
        <w:rPr>
          <w:rFonts w:ascii="sans-serif" w:hAnsi="sans-serif"/>
          <w:b w:val="false"/>
          <w:color w:val="000000"/>
          <w:sz w:val="22"/>
        </w:rPr>
        <w:t>with</w:t>
      </w:r>
      <w:r>
        <w:rPr>
          <w:color w:val="000000"/>
        </w:rPr>
        <w:t xml:space="preserve"> </w:t>
      </w:r>
      <w:r>
        <w:rPr>
          <w:rFonts w:ascii="sans-serif" w:hAnsi="sans-serif"/>
          <w:b w:val="false"/>
          <w:color w:val="000000"/>
          <w:sz w:val="22"/>
        </w:rPr>
        <w:t>Employer’s</w:t>
      </w:r>
      <w:r>
        <w:rPr>
          <w:color w:val="000000"/>
        </w:rPr>
        <w:t xml:space="preserve"> </w:t>
      </w:r>
      <w:r>
        <w:rPr>
          <w:rFonts w:ascii="sans-serif" w:hAnsi="sans-serif"/>
          <w:b w:val="false"/>
          <w:color w:val="000000"/>
          <w:sz w:val="22"/>
        </w:rPr>
        <w:t>normal</w:t>
      </w:r>
      <w:r>
        <w:rPr>
          <w:color w:val="000000"/>
        </w:rPr>
        <w:t xml:space="preserve"> </w:t>
      </w:r>
      <w:r>
        <w:rPr>
          <w:rFonts w:ascii="sans-serif" w:hAnsi="sans-serif"/>
          <w:b w:val="false"/>
          <w:color w:val="000000"/>
          <w:sz w:val="22"/>
        </w:rPr>
        <w:t>payroll</w:t>
      </w:r>
      <w:r>
        <w:rPr>
          <w:color w:val="000000"/>
        </w:rPr>
        <w:t xml:space="preserve"> </w:t>
      </w:r>
      <w:r>
        <w:rPr>
          <w:rFonts w:ascii="sans-serif" w:hAnsi="sans-serif"/>
          <w:b w:val="false"/>
          <w:color w:val="000000"/>
          <w:sz w:val="22"/>
        </w:rPr>
        <w:t>practice</w:t>
      </w:r>
      <w:r>
        <w:rPr>
          <w:color w:val="000000"/>
        </w:rPr>
        <w:t xml:space="preserve"> </w:t>
      </w:r>
      <w:r>
        <w:rPr>
          <w:rFonts w:ascii="sans-serif" w:hAnsi="sans-serif"/>
          <w:b w:val="false"/>
          <w:color w:val="000000"/>
          <w:sz w:val="22"/>
        </w:rPr>
        <w:t>following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90</w:t>
      </w:r>
      <w:r>
        <w:rPr>
          <w:rFonts w:ascii="sans-serif" w:hAnsi="sans-serif"/>
          <w:b w:val="false"/>
          <w:color w:val="000000"/>
          <w:sz w:val="14"/>
        </w:rPr>
        <w:t>th</w:t>
      </w:r>
      <w:r>
        <w:rPr>
          <w:color w:val="000000"/>
        </w:rPr>
        <w:t xml:space="preserve"> </w:t>
      </w:r>
      <w:r>
        <w:rPr>
          <w:rFonts w:ascii="sans-serif" w:hAnsi="sans-serif"/>
          <w:b w:val="false"/>
          <w:color w:val="000000"/>
          <w:sz w:val="22"/>
        </w:rPr>
        <w:t>day</w:t>
      </w:r>
      <w:r>
        <w:rPr>
          <w:color w:val="000000"/>
        </w:rPr>
        <w:t xml:space="preserve"> </w:t>
      </w:r>
      <w:r>
        <w:rPr>
          <w:rFonts w:ascii="sans-serif" w:hAnsi="sans-serif"/>
          <w:b w:val="false"/>
          <w:color w:val="000000"/>
          <w:sz w:val="22"/>
        </w:rPr>
        <w:t>after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Separation</w:t>
      </w:r>
      <w:r>
        <w:rPr>
          <w:color w:val="000000"/>
        </w:rPr>
        <w:t xml:space="preserve"> </w:t>
      </w:r>
      <w:r>
        <w:rPr>
          <w:rFonts w:ascii="sans-serif" w:hAnsi="sans-serif"/>
          <w:b w:val="false"/>
          <w:color w:val="000000"/>
          <w:sz w:val="22"/>
        </w:rPr>
        <w:t>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29540"/>
                <wp:effectExtent l="0" t="0" r="0" b="0"/>
                <wp:wrapNone/>
                <wp:docPr id="79" name="Frame77"/>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556" w:before="39" w:after="283"/>
        <w:jc w:val="both"/>
        <w:rPr/>
      </w:pPr>
      <w:r>
        <w:rPr>
          <w:rFonts w:ascii="sans-serif" w:hAnsi="sans-serif"/>
          <w:b w:val="false"/>
          <w:color w:val="000000"/>
          <w:sz w:val="22"/>
        </w:rPr>
        <w:t>provided that Employee delivers an executed copy of this Agreement to Employer, and provided</w:t>
      </w:r>
      <w:r>
        <w:rPr>
          <w:color w:val="000000"/>
        </w:rPr>
        <w:t xml:space="preserve"> </w:t>
      </w:r>
      <w:r>
        <w:rPr>
          <w:rFonts w:ascii="sans-serif" w:hAnsi="sans-serif"/>
          <w:b w:val="false"/>
          <w:color w:val="000000"/>
          <w:sz w:val="22"/>
        </w:rPr>
        <w:t>further</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has not</w:t>
      </w:r>
      <w:r>
        <w:rPr>
          <w:color w:val="000000"/>
        </w:rPr>
        <w:t xml:space="preserve"> </w:t>
      </w:r>
      <w:r>
        <w:rPr>
          <w:rFonts w:ascii="sans-serif" w:hAnsi="sans-serif"/>
          <w:b w:val="false"/>
          <w:color w:val="000000"/>
          <w:sz w:val="22"/>
        </w:rPr>
        <w:t>revoked</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acceptance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this Agreement by invoking the procedure identified in Paragraph 10.</w:t>
      </w:r>
    </w:p>
    <w:p>
      <w:pPr>
        <w:pStyle w:val="TextBody"/>
        <w:bidi w:val="0"/>
        <w:spacing w:lineRule="auto" w:line="556" w:before="0" w:after="0"/>
        <w:ind w:left="0" w:right="0" w:hanging="361"/>
        <w:jc w:val="both"/>
        <w:rPr/>
      </w:pPr>
      <w:r>
        <w:rPr>
          <w:rFonts w:ascii="sans-serif" w:hAnsi="sans-serif"/>
          <w:b w:val="false"/>
          <w:color w:val="000000"/>
          <w:sz w:val="22"/>
        </w:rPr>
        <w:t>b.Employer</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pay Employee</w:t>
      </w:r>
      <w:r>
        <w:rPr>
          <w:color w:val="000000"/>
        </w:rPr>
        <w:t xml:space="preserve"> </w:t>
      </w:r>
      <w:r>
        <w:rPr>
          <w:rFonts w:ascii="sans-serif" w:hAnsi="sans-serif"/>
          <w:b w:val="false"/>
          <w:color w:val="000000"/>
          <w:sz w:val="22"/>
        </w:rPr>
        <w:t>certain</w:t>
      </w:r>
      <w:r>
        <w:rPr>
          <w:color w:val="000000"/>
        </w:rPr>
        <w:t xml:space="preserve"> </w:t>
      </w:r>
      <w:r>
        <w:rPr>
          <w:rFonts w:ascii="sans-serif" w:hAnsi="sans-serif"/>
          <w:b w:val="false"/>
          <w:color w:val="000000"/>
          <w:sz w:val="22"/>
        </w:rPr>
        <w:t>prorated</w:t>
      </w:r>
      <w:r>
        <w:rPr>
          <w:color w:val="000000"/>
        </w:rPr>
        <w:t xml:space="preserve"> </w:t>
      </w:r>
      <w:r>
        <w:rPr>
          <w:rFonts w:ascii="sans-serif" w:hAnsi="sans-serif"/>
          <w:b w:val="false"/>
          <w:color w:val="000000"/>
          <w:sz w:val="22"/>
        </w:rPr>
        <w:t>payments under</w:t>
      </w:r>
      <w:r>
        <w:rPr>
          <w:color w:val="000000"/>
        </w:rPr>
        <w:t xml:space="preserve"> </w:t>
      </w:r>
      <w:r>
        <w:rPr>
          <w:rFonts w:ascii="sans-serif" w:hAnsi="sans-serif"/>
          <w:b w:val="false"/>
          <w:color w:val="000000"/>
          <w:sz w:val="22"/>
        </w:rPr>
        <w:t>Employer’s</w:t>
      </w:r>
      <w:r>
        <w:rPr>
          <w:color w:val="000000"/>
        </w:rPr>
        <w:t xml:space="preserve"> </w:t>
      </w:r>
      <w:r>
        <w:rPr>
          <w:rFonts w:ascii="sans-serif" w:hAnsi="sans-serif"/>
          <w:b w:val="false"/>
          <w:color w:val="000000"/>
          <w:sz w:val="22"/>
        </w:rPr>
        <w:t>current Annual Incentive</w:t>
      </w:r>
      <w:r>
        <w:rPr>
          <w:color w:val="000000"/>
        </w:rPr>
        <w:t xml:space="preserve"> </w:t>
      </w:r>
      <w:r>
        <w:rPr>
          <w:rFonts w:ascii="sans-serif" w:hAnsi="sans-serif"/>
          <w:b w:val="false"/>
          <w:color w:val="000000"/>
          <w:sz w:val="22"/>
        </w:rPr>
        <w:t>Plan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Long-Term</w:t>
      </w:r>
      <w:r>
        <w:rPr>
          <w:color w:val="000000"/>
        </w:rPr>
        <w:t xml:space="preserve"> </w:t>
      </w:r>
      <w:r>
        <w:rPr>
          <w:rFonts w:ascii="sans-serif" w:hAnsi="sans-serif"/>
          <w:b w:val="false"/>
          <w:color w:val="000000"/>
          <w:sz w:val="22"/>
        </w:rPr>
        <w:t>Incentive</w:t>
      </w:r>
      <w:r>
        <w:rPr>
          <w:color w:val="000000"/>
        </w:rPr>
        <w:t xml:space="preserve"> </w:t>
      </w:r>
      <w:r>
        <w:rPr>
          <w:rFonts w:ascii="sans-serif" w:hAnsi="sans-serif"/>
          <w:b w:val="false"/>
          <w:color w:val="000000"/>
          <w:sz w:val="22"/>
        </w:rPr>
        <w:t>Plan</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an</w:t>
      </w:r>
      <w:r>
        <w:rPr>
          <w:color w:val="000000"/>
        </w:rPr>
        <w:t xml:space="preserve"> </w:t>
      </w:r>
      <w:r>
        <w:rPr>
          <w:rFonts w:ascii="sans-serif" w:hAnsi="sans-serif"/>
          <w:b w:val="false"/>
          <w:color w:val="000000"/>
          <w:sz w:val="22"/>
        </w:rPr>
        <w:t>amount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specified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prior to the 45-day deadline to execute this Agreement.</w:t>
      </w:r>
    </w:p>
    <w:p>
      <w:pPr>
        <w:pStyle w:val="TextBody"/>
        <w:bidi w:val="0"/>
        <w:spacing w:lineRule="auto" w:line="556" w:before="1" w:after="283"/>
        <w:ind w:left="0" w:right="0" w:hanging="361"/>
        <w:jc w:val="both"/>
        <w:rPr/>
      </w:pPr>
      <w:r>
        <w:rPr>
          <w:rFonts w:ascii="sans-serif" w:hAnsi="sans-serif"/>
          <w:b w:val="false"/>
          <w:color w:val="000000"/>
          <w:sz w:val="22"/>
        </w:rPr>
        <w:t>c.As of the Separation Date, Employee shall be eligible to continue Employee’s coverage, pursuant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COBRA</w:t>
      </w:r>
      <w:r>
        <w:rPr>
          <w:color w:val="000000"/>
        </w:rPr>
        <w:t xml:space="preserve"> </w:t>
      </w:r>
      <w:r>
        <w:rPr>
          <w:rFonts w:ascii="sans-serif" w:hAnsi="sans-serif"/>
          <w:b w:val="false"/>
          <w:color w:val="000000"/>
          <w:sz w:val="22"/>
        </w:rPr>
        <w:t>if</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option</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chooses</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continued</w:t>
      </w:r>
      <w:r>
        <w:rPr>
          <w:color w:val="000000"/>
        </w:rPr>
        <w:t xml:space="preserve"> </w:t>
      </w:r>
      <w:r>
        <w:rPr>
          <w:rFonts w:ascii="sans-serif" w:hAnsi="sans-serif"/>
          <w:b w:val="false"/>
          <w:color w:val="000000"/>
          <w:sz w:val="22"/>
        </w:rPr>
        <w:t>medical and/or dental plans.</w:t>
      </w:r>
      <w:r>
        <w:rPr>
          <w:color w:val="000000"/>
        </w:rPr>
        <w:t xml:space="preserve"> </w:t>
      </w:r>
      <w:r>
        <w:rPr>
          <w:rFonts w:ascii="sans-serif" w:hAnsi="sans-serif"/>
          <w:b w:val="false"/>
          <w:color w:val="000000"/>
          <w:sz w:val="22"/>
        </w:rPr>
        <w:t>If Employee is enrolled in Employer’s medical and/or dental plans as of the Separation Date, in further consideration for the execution by Employee of this Agreement and in compliance with the promises made herein, Employer shall make bi-weekly payments equivalent to the Employer-paid portion for Employee’s existing medical and/or</w:t>
      </w:r>
      <w:r>
        <w:rPr>
          <w:color w:val="000000"/>
        </w:rPr>
        <w:t xml:space="preserve"> </w:t>
      </w:r>
      <w:r>
        <w:rPr>
          <w:rFonts w:ascii="sans-serif" w:hAnsi="sans-serif"/>
          <w:b w:val="false"/>
          <w:color w:val="000000"/>
          <w:sz w:val="22"/>
        </w:rPr>
        <w:t>dental</w:t>
      </w:r>
      <w:r>
        <w:rPr>
          <w:color w:val="000000"/>
        </w:rPr>
        <w:t xml:space="preserve"> </w:t>
      </w:r>
      <w:r>
        <w:rPr>
          <w:rFonts w:ascii="sans-serif" w:hAnsi="sans-serif"/>
          <w:b w:val="false"/>
          <w:color w:val="000000"/>
          <w:sz w:val="22"/>
        </w:rPr>
        <w:t>coverage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period</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18</w:t>
      </w:r>
      <w:r>
        <w:rPr>
          <w:color w:val="000000"/>
        </w:rPr>
        <w:t xml:space="preserve"> </w:t>
      </w:r>
      <w:r>
        <w:rPr>
          <w:rFonts w:ascii="sans-serif" w:hAnsi="sans-serif"/>
          <w:b w:val="false"/>
          <w:color w:val="000000"/>
          <w:sz w:val="22"/>
        </w:rPr>
        <w:t>months</w:t>
      </w:r>
      <w:r>
        <w:rPr>
          <w:color w:val="000000"/>
        </w:rPr>
        <w:t xml:space="preserve"> </w:t>
      </w:r>
      <w:r>
        <w:rPr>
          <w:rFonts w:ascii="sans-serif" w:hAnsi="sans-serif"/>
          <w:b w:val="false"/>
          <w:color w:val="000000"/>
          <w:sz w:val="22"/>
        </w:rPr>
        <w:t>during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Severance</w:t>
      </w:r>
      <w:r>
        <w:rPr>
          <w:color w:val="000000"/>
        </w:rPr>
        <w:t xml:space="preserve"> </w:t>
      </w:r>
      <w:r>
        <w:rPr>
          <w:rFonts w:ascii="sans-serif" w:hAnsi="sans-serif"/>
          <w:b w:val="false"/>
          <w:color w:val="000000"/>
          <w:sz w:val="22"/>
        </w:rPr>
        <w:t>Period in accordance with Employer’s payroll schedule, subject to normal payroll tax withholding. Following the Severance Period, Employee shall be responsible for the entire COBRA premium (or other premiums, as applicable) for the remainder of any applicable COBRA or other health care continuation period.</w:t>
      </w:r>
    </w:p>
    <w:p>
      <w:pPr>
        <w:pStyle w:val="TextBody"/>
        <w:bidi w:val="0"/>
        <w:spacing w:lineRule="auto" w:line="556" w:before="3" w:after="283"/>
        <w:ind w:left="0" w:right="0" w:hanging="721"/>
        <w:jc w:val="both"/>
        <w:rPr/>
      </w:pPr>
      <w:r>
        <w:rPr>
          <w:rFonts w:ascii="sans-serif" w:hAnsi="sans-serif"/>
          <w:b w:val="false"/>
          <w:color w:val="000000"/>
          <w:sz w:val="22"/>
        </w:rPr>
        <w:t>3.Except</w:t>
      </w:r>
      <w:r>
        <w:rPr>
          <w:color w:val="000000"/>
        </w:rPr>
        <w:t xml:space="preserve"> </w:t>
      </w:r>
      <w:r>
        <w:rPr>
          <w:rFonts w:ascii="sans-serif" w:hAnsi="sans-serif"/>
          <w:b w:val="false"/>
          <w:color w:val="000000"/>
          <w:sz w:val="22"/>
        </w:rPr>
        <w:t>as</w:t>
      </w:r>
      <w:r>
        <w:rPr>
          <w:color w:val="000000"/>
        </w:rPr>
        <w:t xml:space="preserve"> </w:t>
      </w:r>
      <w:r>
        <w:rPr>
          <w:rFonts w:ascii="sans-serif" w:hAnsi="sans-serif"/>
          <w:b w:val="false"/>
          <w:color w:val="000000"/>
          <w:sz w:val="22"/>
        </w:rPr>
        <w:t>set</w:t>
      </w:r>
      <w:r>
        <w:rPr>
          <w:color w:val="000000"/>
        </w:rPr>
        <w:t xml:space="preserve"> </w:t>
      </w:r>
      <w:r>
        <w:rPr>
          <w:rFonts w:ascii="sans-serif" w:hAnsi="sans-serif"/>
          <w:b w:val="false"/>
          <w:color w:val="000000"/>
          <w:sz w:val="22"/>
        </w:rPr>
        <w:t>forth</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it</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expressly</w:t>
      </w:r>
      <w:r>
        <w:rPr>
          <w:color w:val="000000"/>
        </w:rPr>
        <w:t xml:space="preserve"> </w:t>
      </w:r>
      <w:r>
        <w:rPr>
          <w:rFonts w:ascii="sans-serif" w:hAnsi="sans-serif"/>
          <w:b w:val="false"/>
          <w:color w:val="000000"/>
          <w:sz w:val="22"/>
        </w:rPr>
        <w:t>agreed</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understood</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does not have, and will not have, any obligation to provide Employee at any time in the future with any payments, benefits, or considerations other than those recited in this Agreement, except for any vested retirement,</w:t>
      </w:r>
      <w:r>
        <w:rPr>
          <w:color w:val="000000"/>
        </w:rPr>
        <w:t xml:space="preserve"> </w:t>
      </w:r>
      <w:r>
        <w:rPr>
          <w:rFonts w:ascii="sans-serif" w:hAnsi="sans-serif"/>
          <w:b w:val="false"/>
          <w:color w:val="000000"/>
          <w:sz w:val="22"/>
        </w:rPr>
        <w:t>pension or COBRA benefits</w:t>
      </w:r>
      <w:r>
        <w:rPr>
          <w:color w:val="000000"/>
        </w:rPr>
        <w:t xml:space="preserve"> </w:t>
      </w:r>
      <w:r>
        <w:rPr>
          <w:rFonts w:ascii="sans-serif" w:hAnsi="sans-serif"/>
          <w:b w:val="false"/>
          <w:color w:val="000000"/>
          <w:sz w:val="22"/>
        </w:rPr>
        <w:t>to which Employee is</w:t>
      </w:r>
      <w:r>
        <w:rPr>
          <w:color w:val="000000"/>
        </w:rPr>
        <w:t xml:space="preserve"> </w:t>
      </w:r>
      <w:r>
        <w:rPr>
          <w:rFonts w:ascii="sans-serif" w:hAnsi="sans-serif"/>
          <w:b w:val="false"/>
          <w:color w:val="000000"/>
          <w:sz w:val="22"/>
        </w:rPr>
        <w:t>or may be entitled by law.</w:t>
      </w:r>
    </w:p>
    <w:p>
      <w:pPr>
        <w:pStyle w:val="TextBody"/>
        <w:bidi w:val="0"/>
        <w:spacing w:lineRule="auto" w:line="554" w:before="0" w:after="0"/>
        <w:ind w:left="0" w:right="0" w:hanging="721"/>
        <w:jc w:val="both"/>
        <w:rPr/>
      </w:pPr>
      <w:r>
        <w:rPr>
          <w:rFonts w:ascii="sans-serif" w:hAnsi="sans-serif"/>
          <w:b w:val="false"/>
          <w:color w:val="000000"/>
          <w:sz w:val="22"/>
        </w:rPr>
        <w:t>4.Employee hereby agrees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recognizes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Employer has been permanently</w:t>
      </w:r>
      <w:r>
        <w:rPr>
          <w:color w:val="000000"/>
        </w:rPr>
        <w:t xml:space="preserve"> </w:t>
      </w:r>
      <w:r>
        <w:rPr>
          <w:rFonts w:ascii="sans-serif" w:hAnsi="sans-serif"/>
          <w:b w:val="false"/>
          <w:color w:val="000000"/>
          <w:sz w:val="22"/>
        </w:rPr>
        <w:t>severed</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has</w:t>
      </w:r>
      <w:r>
        <w:rPr>
          <w:color w:val="000000"/>
        </w:rPr>
        <w:t xml:space="preserve"> </w:t>
      </w:r>
      <w:r>
        <w:rPr>
          <w:rFonts w:ascii="sans-serif" w:hAnsi="sans-serif"/>
          <w:b w:val="false"/>
          <w:color w:val="000000"/>
          <w:sz w:val="22"/>
        </w:rPr>
        <w:t>no</w:t>
      </w:r>
      <w:r>
        <w:rPr>
          <w:color w:val="000000"/>
        </w:rPr>
        <w:t xml:space="preserve"> </w:t>
      </w:r>
      <w:r>
        <w:rPr>
          <w:rFonts w:ascii="sans-serif" w:hAnsi="sans-serif"/>
          <w:b w:val="false"/>
          <w:color w:val="000000"/>
          <w:sz w:val="22"/>
        </w:rPr>
        <w:t>obligation</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re-employ</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29540"/>
                <wp:effectExtent l="0" t="0" r="0" b="0"/>
                <wp:wrapNone/>
                <wp:docPr id="80" name="Frame78"/>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556" w:before="39" w:after="283"/>
        <w:ind w:left="0" w:right="0" w:hanging="721"/>
        <w:jc w:val="both"/>
        <w:rPr/>
      </w:pPr>
      <w:r>
        <w:rPr>
          <w:rFonts w:ascii="sans-serif" w:hAnsi="sans-serif"/>
          <w:b w:val="false"/>
          <w:color w:val="000000"/>
          <w:sz w:val="22"/>
        </w:rPr>
        <w:t>5.Employee</w:t>
      </w:r>
      <w:r>
        <w:rPr>
          <w:color w:val="000000"/>
        </w:rPr>
        <w:t xml:space="preserve"> </w:t>
      </w:r>
      <w:r>
        <w:rPr>
          <w:rFonts w:ascii="sans-serif" w:hAnsi="sans-serif"/>
          <w:b w:val="false"/>
          <w:color w:val="000000"/>
          <w:sz w:val="22"/>
        </w:rPr>
        <w:t>agrees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acknowledges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construed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be an</w:t>
      </w:r>
      <w:r>
        <w:rPr>
          <w:color w:val="000000"/>
        </w:rPr>
        <w:t xml:space="preserve"> </w:t>
      </w:r>
      <w:r>
        <w:rPr>
          <w:rFonts w:ascii="sans-serif" w:hAnsi="sans-serif"/>
          <w:b w:val="false"/>
          <w:color w:val="000000"/>
          <w:sz w:val="22"/>
        </w:rPr>
        <w:t>admission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violation</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federal,</w:t>
      </w:r>
      <w:r>
        <w:rPr>
          <w:color w:val="000000"/>
        </w:rPr>
        <w:t xml:space="preserve"> </w:t>
      </w:r>
      <w:r>
        <w:rPr>
          <w:rFonts w:ascii="sans-serif" w:hAnsi="sans-serif"/>
          <w:b w:val="false"/>
          <w:color w:val="000000"/>
          <w:sz w:val="22"/>
        </w:rPr>
        <w:t>state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local</w:t>
      </w:r>
      <w:r>
        <w:rPr>
          <w:color w:val="000000"/>
        </w:rPr>
        <w:t xml:space="preserve"> </w:t>
      </w:r>
      <w:r>
        <w:rPr>
          <w:rFonts w:ascii="sans-serif" w:hAnsi="sans-serif"/>
          <w:b w:val="false"/>
          <w:color w:val="000000"/>
          <w:sz w:val="22"/>
        </w:rPr>
        <w:t>statute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regulation,</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of any duty owed by Employer.</w:t>
      </w:r>
    </w:p>
    <w:p>
      <w:pPr>
        <w:pStyle w:val="TextBody"/>
        <w:bidi w:val="0"/>
        <w:spacing w:lineRule="auto" w:line="556" w:before="0" w:after="0"/>
        <w:ind w:left="0" w:right="0" w:hanging="721"/>
        <w:jc w:val="both"/>
        <w:rPr/>
      </w:pPr>
      <w:r>
        <w:rPr>
          <w:rFonts w:ascii="sans-serif" w:hAnsi="sans-serif"/>
          <w:b w:val="false"/>
          <w:color w:val="000000"/>
          <w:sz w:val="22"/>
        </w:rPr>
        <w:t>6.Employee</w:t>
      </w:r>
      <w:r>
        <w:rPr>
          <w:color w:val="000000"/>
        </w:rPr>
        <w:t xml:space="preserve"> </w:t>
      </w:r>
      <w:r>
        <w:rPr>
          <w:rFonts w:ascii="sans-serif" w:hAnsi="sans-serif"/>
          <w:b w:val="false"/>
          <w:color w:val="000000"/>
          <w:sz w:val="22"/>
        </w:rPr>
        <w:t>agrees,</w:t>
      </w:r>
      <w:r>
        <w:rPr>
          <w:color w:val="000000"/>
        </w:rPr>
        <w:t xml:space="preserve"> </w:t>
      </w:r>
      <w:r>
        <w:rPr>
          <w:rFonts w:ascii="sans-serif" w:hAnsi="sans-serif"/>
          <w:b w:val="false"/>
          <w:color w:val="000000"/>
          <w:sz w:val="22"/>
        </w:rPr>
        <w:t>covenants and</w:t>
      </w:r>
      <w:r>
        <w:rPr>
          <w:color w:val="000000"/>
        </w:rPr>
        <w:t xml:space="preserve"> </w:t>
      </w:r>
      <w:r>
        <w:rPr>
          <w:rFonts w:ascii="sans-serif" w:hAnsi="sans-serif"/>
          <w:b w:val="false"/>
          <w:color w:val="000000"/>
          <w:sz w:val="22"/>
        </w:rPr>
        <w:t>promises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will not</w:t>
      </w:r>
      <w:r>
        <w:rPr>
          <w:color w:val="000000"/>
        </w:rPr>
        <w:t xml:space="preserve"> </w:t>
      </w:r>
      <w:r>
        <w:rPr>
          <w:rFonts w:ascii="sans-serif" w:hAnsi="sans-serif"/>
          <w:b w:val="false"/>
          <w:color w:val="000000"/>
          <w:sz w:val="22"/>
        </w:rPr>
        <w:t>communicate</w:t>
      </w:r>
      <w:r>
        <w:rPr>
          <w:color w:val="000000"/>
        </w:rPr>
        <w:t xml:space="preserve"> </w:t>
      </w:r>
      <w:r>
        <w:rPr>
          <w:rFonts w:ascii="sans-serif" w:hAnsi="sans-serif"/>
          <w:b w:val="false"/>
          <w:color w:val="000000"/>
          <w:sz w:val="22"/>
        </w:rPr>
        <w:t>or disclose</w:t>
      </w:r>
      <w:r>
        <w:rPr>
          <w:color w:val="000000"/>
        </w:rPr>
        <w:t xml:space="preserve"> </w:t>
      </w:r>
      <w:r>
        <w:rPr>
          <w:rFonts w:ascii="sans-serif" w:hAnsi="sans-serif"/>
          <w:b w:val="false"/>
          <w:color w:val="000000"/>
          <w:sz w:val="22"/>
        </w:rPr>
        <w:t>the terms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person</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exception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members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immediate family, attorney, or accountant, who shall keep it confidential.</w:t>
      </w:r>
    </w:p>
    <w:p>
      <w:pPr>
        <w:pStyle w:val="TextBody"/>
        <w:bidi w:val="0"/>
        <w:spacing w:lineRule="auto" w:line="556" w:before="1" w:after="283"/>
        <w:ind w:left="0" w:right="0" w:hanging="721"/>
        <w:jc w:val="both"/>
        <w:rPr/>
      </w:pPr>
      <w:r>
        <w:rPr>
          <w:rFonts w:ascii="sans-serif" w:hAnsi="sans-serif"/>
          <w:b w:val="false"/>
          <w:color w:val="000000"/>
          <w:sz w:val="22"/>
        </w:rPr>
        <w:t>7.Employee shall not make any statement, orally or in writing, regardless of whether such statement is truthful, nor take any action, that (a) in any way could disparage Employer or Released Parties or which could reasonably be expected to harm the reputation or goodwill of Employer, or (b) in any way, directly or indirectly, could knowingly cause or encourage or condone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making</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statements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taking</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actions</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anyone</w:t>
      </w:r>
      <w:r>
        <w:rPr>
          <w:color w:val="000000"/>
        </w:rPr>
        <w:t xml:space="preserve"> </w:t>
      </w:r>
      <w:r>
        <w:rPr>
          <w:rFonts w:ascii="sans-serif" w:hAnsi="sans-serif"/>
          <w:b w:val="false"/>
          <w:color w:val="000000"/>
          <w:sz w:val="22"/>
        </w:rPr>
        <w:t>else.</w:t>
      </w:r>
      <w:r>
        <w:rPr>
          <w:color w:val="000000"/>
        </w:rPr>
        <w:t xml:space="preserve"> </w:t>
      </w:r>
      <w:r>
        <w:rPr>
          <w:rFonts w:ascii="sans-serif" w:hAnsi="sans-serif"/>
          <w:b w:val="false"/>
          <w:color w:val="000000"/>
          <w:sz w:val="22"/>
        </w:rPr>
        <w:t>Employer will</w:t>
      </w:r>
      <w:r>
        <w:rPr>
          <w:color w:val="000000"/>
        </w:rPr>
        <w:t xml:space="preserve"> </w:t>
      </w:r>
      <w:r>
        <w:rPr>
          <w:rFonts w:ascii="sans-serif" w:hAnsi="sans-serif"/>
          <w:b w:val="false"/>
          <w:color w:val="000000"/>
          <w:sz w:val="22"/>
        </w:rPr>
        <w:t>use</w:t>
      </w:r>
      <w:r>
        <w:rPr>
          <w:color w:val="000000"/>
        </w:rPr>
        <w:t xml:space="preserve"> </w:t>
      </w:r>
      <w:r>
        <w:rPr>
          <w:rFonts w:ascii="sans-serif" w:hAnsi="sans-serif"/>
          <w:b w:val="false"/>
          <w:color w:val="000000"/>
          <w:sz w:val="22"/>
        </w:rPr>
        <w:t>its</w:t>
      </w:r>
      <w:r>
        <w:rPr>
          <w:color w:val="000000"/>
        </w:rPr>
        <w:t xml:space="preserve"> </w:t>
      </w:r>
      <w:r>
        <w:rPr>
          <w:rFonts w:ascii="sans-serif" w:hAnsi="sans-serif"/>
          <w:b w:val="false"/>
          <w:color w:val="000000"/>
          <w:sz w:val="22"/>
        </w:rPr>
        <w:t>reasonable</w:t>
      </w:r>
      <w:r>
        <w:rPr>
          <w:color w:val="000000"/>
        </w:rPr>
        <w:t xml:space="preserve"> </w:t>
      </w:r>
      <w:r>
        <w:rPr>
          <w:rFonts w:ascii="sans-serif" w:hAnsi="sans-serif"/>
          <w:b w:val="false"/>
          <w:color w:val="000000"/>
          <w:sz w:val="22"/>
        </w:rPr>
        <w:t>best</w:t>
      </w:r>
      <w:r>
        <w:rPr>
          <w:color w:val="000000"/>
        </w:rPr>
        <w:t xml:space="preserve"> </w:t>
      </w:r>
      <w:r>
        <w:rPr>
          <w:rFonts w:ascii="sans-serif" w:hAnsi="sans-serif"/>
          <w:b w:val="false"/>
          <w:color w:val="000000"/>
          <w:sz w:val="22"/>
        </w:rPr>
        <w:t>efforts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make</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statement,</w:t>
      </w:r>
      <w:r>
        <w:rPr>
          <w:color w:val="000000"/>
        </w:rPr>
        <w:t xml:space="preserve"> </w:t>
      </w:r>
      <w:r>
        <w:rPr>
          <w:rFonts w:ascii="sans-serif" w:hAnsi="sans-serif"/>
          <w:b w:val="false"/>
          <w:color w:val="000000"/>
          <w:sz w:val="22"/>
        </w:rPr>
        <w:t>orally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writing,</w:t>
      </w:r>
      <w:r>
        <w:rPr>
          <w:color w:val="000000"/>
        </w:rPr>
        <w:t xml:space="preserve"> </w:t>
      </w:r>
      <w:r>
        <w:rPr>
          <w:rFonts w:ascii="sans-serif" w:hAnsi="sans-serif"/>
          <w:b w:val="false"/>
          <w:color w:val="000000"/>
          <w:sz w:val="22"/>
        </w:rPr>
        <w:t>regardless</w:t>
      </w:r>
      <w:r>
        <w:rPr>
          <w:color w:val="000000"/>
        </w:rPr>
        <w:t xml:space="preserve"> </w:t>
      </w:r>
      <w:r>
        <w:rPr>
          <w:rFonts w:ascii="sans-serif" w:hAnsi="sans-serif"/>
          <w:b w:val="false"/>
          <w:color w:val="000000"/>
          <w:sz w:val="22"/>
        </w:rPr>
        <w:t>of whether such statement is truthful, nor take any action, that in any way could disparage Employee or which could reasonably be expected to harm Employee’s business reputation.</w:t>
      </w:r>
    </w:p>
    <w:p>
      <w:pPr>
        <w:pStyle w:val="TextBody"/>
        <w:bidi w:val="0"/>
        <w:spacing w:lineRule="auto" w:line="556" w:before="1" w:after="283"/>
        <w:ind w:left="0" w:right="0" w:hanging="721"/>
        <w:jc w:val="both"/>
        <w:rPr>
          <w:rFonts w:ascii="sans-serif" w:hAnsi="sans-serif"/>
          <w:b w:val="false"/>
          <w:color w:val="000000"/>
          <w:sz w:val="22"/>
        </w:rPr>
      </w:pPr>
      <w:r>
        <w:rPr>
          <w:rFonts w:ascii="sans-serif" w:hAnsi="sans-serif"/>
          <w:b w:val="false"/>
          <w:color w:val="000000"/>
          <w:sz w:val="22"/>
        </w:rPr>
        <w:t>8.Prior to being eligible to receive the consideration set forth herein, Employee shall return to Employer all Employer-owned property including any business or other records of Employer in any form.</w:t>
      </w:r>
    </w:p>
    <w:p>
      <w:pPr>
        <w:pStyle w:val="TextBody"/>
        <w:bidi w:val="0"/>
        <w:spacing w:lineRule="auto" w:line="556" w:before="2" w:after="283"/>
        <w:ind w:left="0" w:right="0" w:hanging="721"/>
        <w:jc w:val="both"/>
        <w:rPr/>
      </w:pPr>
      <w:r>
        <w:rPr>
          <w:rFonts w:ascii="sans-serif" w:hAnsi="sans-serif"/>
          <w:b w:val="false"/>
          <w:color w:val="000000"/>
          <w:sz w:val="22"/>
        </w:rPr>
        <w:t>9.Employee</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comply</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post-employment</w:t>
      </w:r>
      <w:r>
        <w:rPr>
          <w:color w:val="000000"/>
        </w:rPr>
        <w:t xml:space="preserve"> </w:t>
      </w:r>
      <w:r>
        <w:rPr>
          <w:rFonts w:ascii="sans-serif" w:hAnsi="sans-serif"/>
          <w:b w:val="false"/>
          <w:color w:val="000000"/>
          <w:sz w:val="22"/>
        </w:rPr>
        <w:t>obligations</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confidentiality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restrictive covenant</w:t>
      </w:r>
      <w:r>
        <w:rPr>
          <w:color w:val="000000"/>
        </w:rPr>
        <w:t xml:space="preserve"> </w:t>
      </w:r>
      <w:r>
        <w:rPr>
          <w:rFonts w:ascii="sans-serif" w:hAnsi="sans-serif"/>
          <w:b w:val="false"/>
          <w:color w:val="000000"/>
          <w:sz w:val="22"/>
        </w:rPr>
        <w:t>agreements</w:t>
      </w:r>
      <w:r>
        <w:rPr>
          <w:color w:val="000000"/>
        </w:rPr>
        <w:t xml:space="preserve"> </w:t>
      </w:r>
      <w:r>
        <w:rPr>
          <w:rFonts w:ascii="sans-serif" w:hAnsi="sans-serif"/>
          <w:b w:val="false"/>
          <w:color w:val="000000"/>
          <w:sz w:val="22"/>
        </w:rPr>
        <w:t>signed</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during</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any predecessor, including but not limited to The Quaker Houghton Confidentiality and Non-Competition Agreement, and any Memorandum of Employment, which post-employment obligations shall remain in full force and effect.</w:t>
      </w:r>
    </w:p>
    <w:p>
      <w:pPr>
        <w:pStyle w:val="TextBody"/>
        <w:bidi w:val="0"/>
        <w:spacing w:lineRule="auto" w:line="554" w:before="0" w:after="0"/>
        <w:ind w:left="0" w:right="0" w:hanging="721"/>
        <w:jc w:val="both"/>
        <w:rPr/>
      </w:pPr>
      <w:r>
        <w:rPr>
          <w:rFonts w:ascii="sans-serif" w:hAnsi="sans-serif"/>
          <w:b w:val="false"/>
          <w:color w:val="000000"/>
          <w:sz w:val="22"/>
        </w:rPr>
        <w:t>10.Employee</w:t>
      </w:r>
      <w:r>
        <w:rPr>
          <w:color w:val="000000"/>
        </w:rPr>
        <w:t xml:space="preserve"> </w:t>
      </w:r>
      <w:r>
        <w:rPr>
          <w:rFonts w:ascii="sans-serif" w:hAnsi="sans-serif"/>
          <w:b w:val="false"/>
          <w:color w:val="000000"/>
          <w:sz w:val="22"/>
        </w:rPr>
        <w:t>acknowledges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was</w:t>
      </w:r>
      <w:r>
        <w:rPr>
          <w:color w:val="000000"/>
        </w:rPr>
        <w:t xml:space="preserve"> </w:t>
      </w:r>
      <w:r>
        <w:rPr>
          <w:rFonts w:ascii="sans-serif" w:hAnsi="sans-serif"/>
          <w:b w:val="false"/>
          <w:color w:val="000000"/>
          <w:sz w:val="22"/>
        </w:rPr>
        <w:t>given</w:t>
      </w:r>
      <w:r>
        <w:rPr>
          <w:color w:val="000000"/>
        </w:rPr>
        <w:t xml:space="preserve"> </w:t>
      </w:r>
      <w:r>
        <w:rPr>
          <w:rFonts w:ascii="sans-serif" w:hAnsi="sans-serif"/>
          <w:b w:val="false"/>
          <w:color w:val="000000"/>
          <w:sz w:val="22"/>
        </w:rPr>
        <w:t>forty-five</w:t>
      </w:r>
      <w:r>
        <w:rPr>
          <w:color w:val="000000"/>
        </w:rPr>
        <w:t xml:space="preserve"> </w:t>
      </w:r>
      <w:r>
        <w:rPr>
          <w:rFonts w:ascii="sans-serif" w:hAnsi="sans-serif"/>
          <w:b w:val="false"/>
          <w:color w:val="000000"/>
          <w:sz w:val="22"/>
        </w:rPr>
        <w:t>(45)</w:t>
      </w:r>
      <w:r>
        <w:rPr>
          <w:color w:val="000000"/>
        </w:rPr>
        <w:t xml:space="preserve"> </w:t>
      </w:r>
      <w:r>
        <w:rPr>
          <w:rFonts w:ascii="sans-serif" w:hAnsi="sans-serif"/>
          <w:b w:val="false"/>
          <w:color w:val="000000"/>
          <w:sz w:val="22"/>
        </w:rPr>
        <w:t>days</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review,</w:t>
      </w:r>
      <w:r>
        <w:rPr>
          <w:color w:val="000000"/>
        </w:rPr>
        <w:t xml:space="preserve"> </w:t>
      </w:r>
      <w:r>
        <w:rPr>
          <w:rFonts w:ascii="sans-serif" w:hAnsi="sans-serif"/>
          <w:b w:val="false"/>
          <w:color w:val="000000"/>
          <w:sz w:val="22"/>
        </w:rPr>
        <w:t>sign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return 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since</w:t>
      </w:r>
      <w:r>
        <w:rPr>
          <w:color w:val="000000"/>
        </w:rPr>
        <w:t xml:space="preserve"> </w:t>
      </w:r>
      <w:r>
        <w:rPr>
          <w:rFonts w:ascii="sans-serif" w:hAnsi="sans-serif"/>
          <w:b w:val="false"/>
          <w:color w:val="000000"/>
          <w:sz w:val="22"/>
        </w:rPr>
        <w:t>receiving</w:t>
      </w:r>
      <w:r>
        <w:rPr>
          <w:color w:val="000000"/>
        </w:rPr>
        <w:t xml:space="preserve"> </w:t>
      </w:r>
      <w:r>
        <w:rPr>
          <w:rFonts w:ascii="sans-serif" w:hAnsi="sans-serif"/>
          <w:b w:val="false"/>
          <w:color w:val="000000"/>
          <w:sz w:val="22"/>
        </w:rPr>
        <w:t>it,</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Employee has</w:t>
      </w:r>
      <w:r>
        <w:rPr>
          <w:color w:val="000000"/>
        </w:rPr>
        <w:t xml:space="preserve"> </w:t>
      </w:r>
      <w:r>
        <w:rPr>
          <w:rFonts w:ascii="sans-serif" w:hAnsi="sans-serif"/>
          <w:b w:val="false"/>
          <w:color w:val="000000"/>
          <w:sz w:val="22"/>
        </w:rPr>
        <w:t>reviewed</w:t>
      </w:r>
      <w:r>
        <w:rPr>
          <w:color w:val="000000"/>
        </w:rPr>
        <w:t xml:space="preserve"> </w:t>
      </w:r>
      <w:r>
        <w:rPr>
          <w:rFonts w:ascii="sans-serif" w:hAnsi="sans-serif"/>
          <w:b w:val="false"/>
          <w:color w:val="000000"/>
          <w:sz w:val="22"/>
        </w:rPr>
        <w:t>it</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an</w:t>
      </w:r>
      <w:r>
        <w:rPr>
          <w:color w:val="000000"/>
        </w:rPr>
        <w:t xml:space="preserve"> </w:t>
      </w:r>
      <w:r>
        <w:rPr>
          <w:rFonts w:ascii="sans-serif" w:hAnsi="sans-serif"/>
          <w:b w:val="false"/>
          <w:color w:val="000000"/>
          <w:sz w:val="22"/>
        </w:rPr>
        <w:t>attorney</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p>
    <w:p>
      <w:pPr>
        <w:pStyle w:val="TextBody"/>
        <w:bidi w:val="0"/>
        <w:spacing w:lineRule="auto" w:line="288" w:before="4" w:after="283"/>
        <w:jc w:val="both"/>
        <w:rPr/>
      </w:pPr>
      <w:r>
        <w:rPr>
          <w:rFonts w:ascii="sans-serif" w:hAnsi="sans-serif"/>
          <w:b w:val="false"/>
          <w:color w:val="000000"/>
          <w:sz w:val="22"/>
        </w:rPr>
        <w:t>extent</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chose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do</w:t>
      </w:r>
      <w:r>
        <w:rPr>
          <w:color w:val="000000"/>
        </w:rPr>
        <w:t xml:space="preserve"> </w:t>
      </w:r>
      <w:r>
        <w:rPr>
          <w:rFonts w:ascii="sans-serif" w:hAnsi="sans-serif"/>
          <w:b w:val="false"/>
          <w:color w:val="000000"/>
          <w:sz w:val="22"/>
        </w:rPr>
        <w:t>so.</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also</w:t>
      </w:r>
      <w:r>
        <w:rPr>
          <w:color w:val="000000"/>
        </w:rPr>
        <w:t xml:space="preserve"> </w:t>
      </w:r>
      <w:r>
        <w:rPr>
          <w:rFonts w:ascii="sans-serif" w:hAnsi="sans-serif"/>
          <w:b w:val="false"/>
          <w:color w:val="000000"/>
          <w:sz w:val="22"/>
        </w:rPr>
        <w:t>acknowledges</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has</w:t>
      </w:r>
      <w:r>
        <w:rPr>
          <w:color w:val="000000"/>
        </w:rPr>
        <w:t xml:space="preserve"> </w:t>
      </w:r>
      <w:r>
        <w:rPr>
          <w:rFonts w:ascii="sans-serif" w:hAnsi="sans-serif"/>
          <w:b w:val="false"/>
          <w:color w:val="000000"/>
          <w:sz w:val="22"/>
        </w:rPr>
        <w:t>been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29540"/>
                <wp:effectExtent l="0" t="0" r="0" b="0"/>
                <wp:wrapNone/>
                <wp:docPr id="81" name="Frame79"/>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556" w:before="39" w:after="283"/>
        <w:jc w:val="both"/>
        <w:rPr/>
      </w:pPr>
      <w:r>
        <w:rPr>
          <w:rFonts w:ascii="sans-serif" w:hAnsi="sans-serif"/>
          <w:b w:val="false"/>
          <w:color w:val="000000"/>
          <w:sz w:val="22"/>
        </w:rPr>
        <w:t>instructed</w:t>
      </w:r>
      <w:r>
        <w:rPr>
          <w:color w:val="000000"/>
        </w:rPr>
        <w:t xml:space="preserve"> </w:t>
      </w:r>
      <w:r>
        <w:rPr>
          <w:rFonts w:ascii="sans-serif" w:hAnsi="sans-serif"/>
          <w:b w:val="false"/>
          <w:color w:val="000000"/>
          <w:sz w:val="22"/>
        </w:rPr>
        <w:t>not to</w:t>
      </w:r>
      <w:r>
        <w:rPr>
          <w:color w:val="000000"/>
        </w:rPr>
        <w:t xml:space="preserve"> </w:t>
      </w:r>
      <w:r>
        <w:rPr>
          <w:rFonts w:ascii="sans-serif" w:hAnsi="sans-serif"/>
          <w:b w:val="false"/>
          <w:color w:val="000000"/>
          <w:sz w:val="22"/>
        </w:rPr>
        <w:t>sign</w:t>
      </w:r>
      <w:r>
        <w:rPr>
          <w:color w:val="000000"/>
        </w:rPr>
        <w:t xml:space="preserve"> </w:t>
      </w:r>
      <w:r>
        <w:rPr>
          <w:rFonts w:ascii="sans-serif" w:hAnsi="sans-serif"/>
          <w:b w:val="false"/>
          <w:color w:val="000000"/>
          <w:sz w:val="22"/>
        </w:rPr>
        <w:t>or return</w:t>
      </w:r>
      <w:r>
        <w:rPr>
          <w:color w:val="000000"/>
        </w:rPr>
        <w:t xml:space="preserve"> </w:t>
      </w:r>
      <w:r>
        <w:rPr>
          <w:rFonts w:ascii="sans-serif" w:hAnsi="sans-serif"/>
          <w:b w:val="false"/>
          <w:color w:val="000000"/>
          <w:sz w:val="22"/>
        </w:rPr>
        <w:t>the signed</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to Employer</w:t>
      </w:r>
      <w:r>
        <w:rPr>
          <w:color w:val="000000"/>
        </w:rPr>
        <w:t xml:space="preserve"> </w:t>
      </w:r>
      <w:r>
        <w:rPr>
          <w:rFonts w:ascii="sans-serif" w:hAnsi="sans-serif"/>
          <w:b w:val="false"/>
          <w:color w:val="000000"/>
          <w:sz w:val="22"/>
        </w:rPr>
        <w:t>before the</w:t>
      </w:r>
      <w:r>
        <w:rPr>
          <w:color w:val="000000"/>
        </w:rPr>
        <w:t xml:space="preserve"> </w:t>
      </w:r>
      <w:r>
        <w:rPr>
          <w:rFonts w:ascii="sans-serif" w:hAnsi="sans-serif"/>
          <w:b w:val="false"/>
          <w:color w:val="000000"/>
          <w:sz w:val="22"/>
        </w:rPr>
        <w:t>close of</w:t>
      </w:r>
      <w:r>
        <w:rPr>
          <w:color w:val="000000"/>
        </w:rPr>
        <w:t xml:space="preserve"> </w:t>
      </w:r>
      <w:r>
        <w:rPr>
          <w:rFonts w:ascii="sans-serif" w:hAnsi="sans-serif"/>
          <w:b w:val="false"/>
          <w:color w:val="000000"/>
          <w:sz w:val="22"/>
        </w:rPr>
        <w:t>business on the Separation Date.</w:t>
      </w:r>
      <w:r>
        <w:rPr>
          <w:color w:val="000000"/>
        </w:rPr>
        <w:t xml:space="preserve"> </w:t>
      </w:r>
      <w:r>
        <w:rPr>
          <w:rFonts w:ascii="sans-serif" w:hAnsi="sans-serif"/>
          <w:b w:val="false"/>
          <w:color w:val="000000"/>
          <w:sz w:val="22"/>
        </w:rPr>
        <w:t>Employee acknowledges that Employee has seven (7) days after Employee signs and delivers the Agreement (the “Revocation Period”) to revoke</w:t>
      </w:r>
      <w:r>
        <w:rPr>
          <w:color w:val="000000"/>
        </w:rPr>
        <w:t xml:space="preserve"> </w:t>
      </w:r>
      <w:r>
        <w:rPr>
          <w:rFonts w:ascii="sans-serif" w:hAnsi="sans-serif"/>
          <w:b w:val="false"/>
          <w:color w:val="000000"/>
          <w:sz w:val="22"/>
        </w:rPr>
        <w:t>it by notifying Employer</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writing.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Agreement is</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effective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enforceable</w:t>
      </w:r>
      <w:r>
        <w:rPr>
          <w:color w:val="000000"/>
        </w:rPr>
        <w:t xml:space="preserve"> </w:t>
      </w:r>
      <w:r>
        <w:rPr>
          <w:rFonts w:ascii="sans-serif" w:hAnsi="sans-serif"/>
          <w:b w:val="false"/>
          <w:color w:val="000000"/>
          <w:sz w:val="22"/>
        </w:rPr>
        <w:t>until</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Revocation</w:t>
      </w:r>
      <w:r>
        <w:rPr>
          <w:color w:val="000000"/>
        </w:rPr>
        <w:t xml:space="preserve"> </w:t>
      </w:r>
      <w:r>
        <w:rPr>
          <w:rFonts w:ascii="sans-serif" w:hAnsi="sans-serif"/>
          <w:b w:val="false"/>
          <w:color w:val="000000"/>
          <w:sz w:val="22"/>
        </w:rPr>
        <w:t>Period has expired.</w:t>
      </w:r>
    </w:p>
    <w:p>
      <w:pPr>
        <w:pStyle w:val="TextBody"/>
        <w:bidi w:val="0"/>
        <w:spacing w:lineRule="auto" w:line="556" w:before="1" w:after="283"/>
        <w:ind w:left="0" w:right="0" w:hanging="721"/>
        <w:jc w:val="both"/>
        <w:rPr/>
      </w:pPr>
      <w:r>
        <w:rPr>
          <w:rFonts w:ascii="sans-serif" w:hAnsi="sans-serif"/>
          <w:b w:val="false"/>
          <w:color w:val="000000"/>
          <w:sz w:val="22"/>
        </w:rPr>
        <w:t>11.In the event of any actual or threatened default in or breach of any of the covenants or agreements in this Agreement, Employer shall have the right of specific performance and injunctive relief giving</w:t>
      </w:r>
      <w:r>
        <w:rPr>
          <w:color w:val="000000"/>
        </w:rPr>
        <w:t xml:space="preserve"> </w:t>
      </w:r>
      <w:r>
        <w:rPr>
          <w:rFonts w:ascii="sans-serif" w:hAnsi="sans-serif"/>
          <w:b w:val="false"/>
          <w:color w:val="000000"/>
          <w:sz w:val="22"/>
        </w:rPr>
        <w:t>effect to its rights under this Agreement without the need to post bond, in</w:t>
      </w:r>
      <w:r>
        <w:rPr>
          <w:color w:val="000000"/>
        </w:rPr>
        <w:t xml:space="preserve"> </w:t>
      </w:r>
      <w:r>
        <w:rPr>
          <w:rFonts w:ascii="sans-serif" w:hAnsi="sans-serif"/>
          <w:b w:val="false"/>
          <w:color w:val="000000"/>
          <w:sz w:val="22"/>
        </w:rPr>
        <w:t>addition</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all</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rights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remedies</w:t>
      </w:r>
      <w:r>
        <w:rPr>
          <w:color w:val="000000"/>
        </w:rPr>
        <w:t xml:space="preserve"> </w:t>
      </w:r>
      <w:r>
        <w:rPr>
          <w:rFonts w:ascii="sans-serif" w:hAnsi="sans-serif"/>
          <w:b w:val="false"/>
          <w:color w:val="000000"/>
          <w:sz w:val="22"/>
        </w:rPr>
        <w:t>which</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cumulative.</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agrees that</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breach</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threatened</w:t>
      </w:r>
      <w:r>
        <w:rPr>
          <w:color w:val="000000"/>
        </w:rPr>
        <w:t xml:space="preserve"> </w:t>
      </w:r>
      <w:r>
        <w:rPr>
          <w:rFonts w:ascii="sans-serif" w:hAnsi="sans-serif"/>
          <w:b w:val="false"/>
          <w:color w:val="000000"/>
          <w:sz w:val="22"/>
        </w:rPr>
        <w:t>breach</w:t>
      </w:r>
      <w:r>
        <w:rPr>
          <w:color w:val="000000"/>
        </w:rPr>
        <w:t xml:space="preserve"> </w:t>
      </w:r>
      <w:r>
        <w:rPr>
          <w:rFonts w:ascii="sans-serif" w:hAnsi="sans-serif"/>
          <w:b w:val="false"/>
          <w:color w:val="000000"/>
          <w:sz w:val="22"/>
        </w:rPr>
        <w:t>would</w:t>
      </w:r>
      <w:r>
        <w:rPr>
          <w:color w:val="000000"/>
        </w:rPr>
        <w:t xml:space="preserve"> </w:t>
      </w:r>
      <w:r>
        <w:rPr>
          <w:rFonts w:ascii="sans-serif" w:hAnsi="sans-serif"/>
          <w:b w:val="false"/>
          <w:color w:val="000000"/>
          <w:sz w:val="22"/>
        </w:rPr>
        <w:t>cause</w:t>
      </w:r>
      <w:r>
        <w:rPr>
          <w:color w:val="000000"/>
        </w:rPr>
        <w:t xml:space="preserve"> </w:t>
      </w:r>
      <w:r>
        <w:rPr>
          <w:rFonts w:ascii="sans-serif" w:hAnsi="sans-serif"/>
          <w:b w:val="false"/>
          <w:color w:val="000000"/>
          <w:sz w:val="22"/>
        </w:rPr>
        <w:t>irreparable</w:t>
      </w:r>
      <w:r>
        <w:rPr>
          <w:color w:val="000000"/>
        </w:rPr>
        <w:t xml:space="preserve"> </w:t>
      </w:r>
      <w:r>
        <w:rPr>
          <w:rFonts w:ascii="sans-serif" w:hAnsi="sans-serif"/>
          <w:b w:val="false"/>
          <w:color w:val="000000"/>
          <w:sz w:val="22"/>
        </w:rPr>
        <w:t>injury,</w:t>
      </w:r>
      <w:r>
        <w:rPr>
          <w:color w:val="000000"/>
        </w:rPr>
        <w:t xml:space="preserve"> </w:t>
      </w:r>
      <w:r>
        <w:rPr>
          <w:rFonts w:ascii="sans-serif" w:hAnsi="sans-serif"/>
          <w:b w:val="false"/>
          <w:color w:val="000000"/>
          <w:sz w:val="22"/>
        </w:rPr>
        <w:t>that</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remedies</w:t>
      </w:r>
      <w:r>
        <w:rPr>
          <w:color w:val="000000"/>
        </w:rPr>
        <w:t xml:space="preserve"> </w:t>
      </w:r>
      <w:r>
        <w:rPr>
          <w:rFonts w:ascii="sans-serif" w:hAnsi="sans-serif"/>
          <w:b w:val="false"/>
          <w:color w:val="000000"/>
          <w:sz w:val="22"/>
        </w:rPr>
        <w:t>at law for any such breach or threatened breach, including monetary damages, are inadequate compensation for any loss and that any defense in any action for specific performance that a remedy at law would be adequate is waived.</w:t>
      </w:r>
    </w:p>
    <w:p>
      <w:pPr>
        <w:pStyle w:val="TextBody"/>
        <w:bidi w:val="0"/>
        <w:spacing w:lineRule="auto" w:line="556" w:before="0" w:after="0"/>
        <w:ind w:left="0" w:right="0" w:hanging="721"/>
        <w:jc w:val="both"/>
        <w:rPr/>
      </w:pPr>
      <w:r>
        <w:rPr>
          <w:rFonts w:ascii="sans-serif" w:hAnsi="sans-serif"/>
          <w:b w:val="false"/>
          <w:color w:val="000000"/>
          <w:sz w:val="22"/>
        </w:rPr>
        <w:t>12.This Agreement shall be interpreted in accordance with the laws of the Commonwealth of Pennsylvania, without regard to choice of law principles.</w:t>
      </w:r>
      <w:r>
        <w:rPr>
          <w:color w:val="000000"/>
        </w:rPr>
        <w:t xml:space="preserve"> </w:t>
      </w:r>
      <w:r>
        <w:rPr>
          <w:rFonts w:ascii="sans-serif" w:hAnsi="sans-serif"/>
          <w:b w:val="false"/>
          <w:color w:val="000000"/>
          <w:sz w:val="22"/>
        </w:rPr>
        <w:t>In the event of a breach of any provision of this Agreement, either party may institute an action to be decided by a judge of competent jurisdiction specifically to enforce any term or terms of this Agreement and/or to seek any damages for breach.</w:t>
      </w:r>
      <w:r>
        <w:rPr>
          <w:color w:val="000000"/>
        </w:rPr>
        <w:t xml:space="preserve"> </w:t>
      </w:r>
      <w:r>
        <w:rPr>
          <w:rFonts w:ascii="sans-serif" w:hAnsi="sans-serif"/>
          <w:b w:val="false"/>
          <w:color w:val="000000"/>
          <w:sz w:val="22"/>
        </w:rPr>
        <w:t>Should any provision of this Agreement be declared illegal or unenforceable</w:t>
      </w:r>
      <w:r>
        <w:rPr>
          <w:color w:val="000000"/>
        </w:rPr>
        <w:t xml:space="preserve"> </w:t>
      </w:r>
      <w:r>
        <w:rPr>
          <w:rFonts w:ascii="sans-serif" w:hAnsi="sans-serif"/>
          <w:b w:val="false"/>
          <w:color w:val="000000"/>
          <w:sz w:val="22"/>
        </w:rPr>
        <w:t>by</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court</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competent</w:t>
      </w:r>
      <w:r>
        <w:rPr>
          <w:color w:val="000000"/>
        </w:rPr>
        <w:t xml:space="preserve"> </w:t>
      </w:r>
      <w:r>
        <w:rPr>
          <w:rFonts w:ascii="sans-serif" w:hAnsi="sans-serif"/>
          <w:b w:val="false"/>
          <w:color w:val="000000"/>
          <w:sz w:val="22"/>
        </w:rPr>
        <w:t>jurisdiction</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cannot</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modified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enforceable, excluding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general</w:t>
      </w:r>
      <w:r>
        <w:rPr>
          <w:color w:val="000000"/>
        </w:rPr>
        <w:t xml:space="preserve"> </w:t>
      </w:r>
      <w:r>
        <w:rPr>
          <w:rFonts w:ascii="sans-serif" w:hAnsi="sans-serif"/>
          <w:b w:val="false"/>
          <w:color w:val="000000"/>
          <w:sz w:val="22"/>
        </w:rPr>
        <w:t>release</w:t>
      </w:r>
      <w:r>
        <w:rPr>
          <w:color w:val="000000"/>
        </w:rPr>
        <w:t xml:space="preserve"> </w:t>
      </w:r>
      <w:r>
        <w:rPr>
          <w:rFonts w:ascii="sans-serif" w:hAnsi="sans-serif"/>
          <w:b w:val="false"/>
          <w:color w:val="000000"/>
          <w:sz w:val="22"/>
        </w:rPr>
        <w:t>language,</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provision</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immediately</w:t>
      </w:r>
      <w:r>
        <w:rPr>
          <w:color w:val="000000"/>
        </w:rPr>
        <w:t xml:space="preserve"> </w:t>
      </w:r>
      <w:r>
        <w:rPr>
          <w:rFonts w:ascii="sans-serif" w:hAnsi="sans-serif"/>
          <w:b w:val="false"/>
          <w:color w:val="000000"/>
          <w:sz w:val="22"/>
        </w:rPr>
        <w:t>become</w:t>
      </w:r>
      <w:r>
        <w:rPr>
          <w:color w:val="000000"/>
        </w:rPr>
        <w:t xml:space="preserve"> </w:t>
      </w:r>
      <w:r>
        <w:rPr>
          <w:rFonts w:ascii="sans-serif" w:hAnsi="sans-serif"/>
          <w:b w:val="false"/>
          <w:color w:val="000000"/>
          <w:sz w:val="22"/>
        </w:rPr>
        <w:t>null</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void, leaving the remainder of this Agreement in full force and effect.</w:t>
      </w:r>
    </w:p>
    <w:p>
      <w:pPr>
        <w:pStyle w:val="TextBody"/>
        <w:bidi w:val="0"/>
        <w:spacing w:lineRule="auto" w:line="556" w:before="3" w:after="283"/>
        <w:ind w:left="0" w:right="0" w:hanging="721"/>
        <w:jc w:val="both"/>
        <w:rPr/>
      </w:pPr>
      <w:r>
        <w:rPr>
          <w:rFonts w:ascii="sans-serif" w:hAnsi="sans-serif"/>
          <w:b w:val="false"/>
          <w:color w:val="000000"/>
          <w:sz w:val="22"/>
        </w:rPr>
        <w:t>13.Nothing in this Agreement prohibits or prevents Employee from filing a charge with or participating,</w:t>
      </w:r>
      <w:r>
        <w:rPr>
          <w:color w:val="000000"/>
        </w:rPr>
        <w:t xml:space="preserve"> </w:t>
      </w:r>
      <w:r>
        <w:rPr>
          <w:rFonts w:ascii="sans-serif" w:hAnsi="sans-serif"/>
          <w:b w:val="false"/>
          <w:color w:val="000000"/>
          <w:sz w:val="22"/>
        </w:rPr>
        <w:t>testifying,</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assisting</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investigation,</w:t>
      </w:r>
      <w:r>
        <w:rPr>
          <w:color w:val="000000"/>
        </w:rPr>
        <w:t xml:space="preserve"> </w:t>
      </w:r>
      <w:r>
        <w:rPr>
          <w:rFonts w:ascii="sans-serif" w:hAnsi="sans-serif"/>
          <w:b w:val="false"/>
          <w:color w:val="000000"/>
          <w:sz w:val="22"/>
        </w:rPr>
        <w:t>hearing,</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proceeding</w:t>
      </w:r>
      <w:r>
        <w:rPr>
          <w:color w:val="000000"/>
        </w:rPr>
        <w:t xml:space="preserve"> </w:t>
      </w:r>
      <w:r>
        <w:rPr>
          <w:rFonts w:ascii="sans-serif" w:hAnsi="sans-serif"/>
          <w:b w:val="false"/>
          <w:color w:val="000000"/>
          <w:sz w:val="22"/>
        </w:rPr>
        <w:t>before</w:t>
      </w:r>
      <w:r>
        <w:rPr>
          <w:color w:val="000000"/>
        </w:rPr>
        <w:t xml:space="preserve"> </w:t>
      </w:r>
      <w:r>
        <w:rPr>
          <w:rFonts w:ascii="sans-serif" w:hAnsi="sans-serif"/>
          <w:b w:val="false"/>
          <w:color w:val="000000"/>
          <w:sz w:val="22"/>
        </w:rPr>
        <w:t>any federal,</w:t>
      </w:r>
      <w:r>
        <w:rPr>
          <w:color w:val="000000"/>
        </w:rPr>
        <w:t xml:space="preserve"> </w:t>
      </w:r>
      <w:r>
        <w:rPr>
          <w:rFonts w:ascii="sans-serif" w:hAnsi="sans-serif"/>
          <w:b w:val="false"/>
          <w:color w:val="000000"/>
          <w:sz w:val="22"/>
        </w:rPr>
        <w:t>state,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local</w:t>
      </w:r>
      <w:r>
        <w:rPr>
          <w:color w:val="000000"/>
        </w:rPr>
        <w:t xml:space="preserve"> </w:t>
      </w:r>
      <w:r>
        <w:rPr>
          <w:rFonts w:ascii="sans-serif" w:hAnsi="sans-serif"/>
          <w:b w:val="false"/>
          <w:color w:val="000000"/>
          <w:sz w:val="22"/>
        </w:rPr>
        <w:t>government</w:t>
      </w:r>
      <w:r>
        <w:rPr>
          <w:color w:val="000000"/>
        </w:rPr>
        <w:t xml:space="preserve"> </w:t>
      </w:r>
      <w:r>
        <w:rPr>
          <w:rFonts w:ascii="sans-serif" w:hAnsi="sans-serif"/>
          <w:b w:val="false"/>
          <w:color w:val="000000"/>
          <w:sz w:val="22"/>
        </w:rPr>
        <w:t>agency</w:t>
      </w:r>
      <w:r>
        <w:rPr>
          <w:color w:val="000000"/>
        </w:rPr>
        <w:t xml:space="preserve"> </w:t>
      </w:r>
      <w:r>
        <w:rPr>
          <w:rFonts w:ascii="sans-serif" w:hAnsi="sans-serif"/>
          <w:b w:val="false"/>
          <w:color w:val="000000"/>
          <w:sz w:val="22"/>
        </w:rPr>
        <w:t>including</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Equal</w:t>
      </w:r>
      <w:r>
        <w:rPr>
          <w:color w:val="000000"/>
        </w:rPr>
        <w:t xml:space="preserve"> </w:t>
      </w:r>
      <w:r>
        <w:rPr>
          <w:rFonts w:ascii="sans-serif" w:hAnsi="sans-serif"/>
          <w:b w:val="false"/>
          <w:color w:val="000000"/>
          <w:sz w:val="22"/>
        </w:rPr>
        <w:t>Employment</w:t>
      </w:r>
      <w:r>
        <w:rPr>
          <w:color w:val="000000"/>
        </w:rPr>
        <w:t xml:space="preserve"> </w:t>
      </w:r>
      <w:r>
        <w:rPr>
          <w:rFonts w:ascii="sans-serif" w:hAnsi="sans-serif"/>
          <w:b w:val="false"/>
          <w:color w:val="000000"/>
          <w:sz w:val="22"/>
        </w:rPr>
        <w:t>Opportunity</w:t>
      </w:r>
    </w:p>
    <w:p>
      <w:pPr>
        <w:pStyle w:val="TextBody"/>
        <w:bidi w:val="0"/>
        <w:spacing w:lineRule="atLeast" w:line="268" w:before="0" w:after="0"/>
        <w:jc w:val="both"/>
        <w:rPr/>
      </w:pPr>
      <w:r>
        <w:rPr>
          <w:rFonts w:ascii="sans-serif" w:hAnsi="sans-serif"/>
          <w:b w:val="false"/>
          <w:color w:val="000000"/>
          <w:sz w:val="22"/>
        </w:rPr>
        <w:t>Commission,</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comparable</w:t>
      </w:r>
      <w:r>
        <w:rPr>
          <w:color w:val="000000"/>
        </w:rPr>
        <w:t xml:space="preserve"> </w:t>
      </w:r>
      <w:r>
        <w:rPr>
          <w:rFonts w:ascii="sans-serif" w:hAnsi="sans-serif"/>
          <w:b w:val="false"/>
          <w:color w:val="000000"/>
          <w:sz w:val="22"/>
        </w:rPr>
        <w:t>state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local</w:t>
      </w:r>
      <w:r>
        <w:rPr>
          <w:color w:val="000000"/>
        </w:rPr>
        <w:t xml:space="preserve"> </w:t>
      </w:r>
      <w:r>
        <w:rPr>
          <w:rFonts w:ascii="sans-serif" w:hAnsi="sans-serif"/>
          <w:b w:val="false"/>
          <w:color w:val="000000"/>
          <w:sz w:val="22"/>
        </w:rPr>
        <w:t>agencies,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National</w:t>
      </w:r>
      <w:r>
        <w:rPr>
          <w:color w:val="000000"/>
        </w:rPr>
        <w:t xml:space="preserve"> </w:t>
      </w:r>
      <w:r>
        <w:rPr>
          <w:rFonts w:ascii="sans-serif" w:hAnsi="sans-serif"/>
          <w:b w:val="false"/>
          <w:color w:val="000000"/>
          <w:sz w:val="22"/>
        </w:rPr>
        <w:t>Labor</w:t>
      </w:r>
      <w:r>
        <w:rPr>
          <w:color w:val="000000"/>
        </w:rPr>
        <w:t xml:space="preserve"> </w:t>
      </w:r>
      <w:r>
        <w:rPr>
          <w:rFonts w:ascii="sans-serif" w:hAnsi="sans-serif"/>
          <w:b w:val="false"/>
          <w:color w:val="000000"/>
          <w:sz w:val="22"/>
        </w:rPr>
        <w:t>Relations</w:t>
      </w:r>
      <w:r>
        <w:rPr>
          <w:color w:val="000000"/>
        </w:rPr>
        <w:t xml:space="preserve"> </w:t>
      </w:r>
      <w:r>
        <w:rPr>
          <w:rFonts w:ascii="sans-serif" w:hAnsi="sans-serif"/>
          <w:b w:val="false"/>
          <w:color w:val="000000"/>
          <w:sz w:val="22"/>
        </w:rPr>
        <w:t>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29540"/>
                <wp:effectExtent l="0" t="0" r="0" b="0"/>
                <wp:wrapNone/>
                <wp:docPr id="82" name="Frame80"/>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556" w:before="39" w:after="283"/>
        <w:jc w:val="both"/>
        <w:rPr/>
      </w:pPr>
      <w:r>
        <w:rPr>
          <w:rFonts w:ascii="sans-serif" w:hAnsi="sans-serif"/>
          <w:b w:val="false"/>
          <w:color w:val="000000"/>
          <w:sz w:val="22"/>
        </w:rPr>
        <w:t>However, to the maximum extent permitted by law, Employee agrees that if such an administrative</w:t>
      </w:r>
      <w:r>
        <w:rPr>
          <w:color w:val="000000"/>
        </w:rPr>
        <w:t xml:space="preserve"> </w:t>
      </w:r>
      <w:r>
        <w:rPr>
          <w:rFonts w:ascii="sans-serif" w:hAnsi="sans-serif"/>
          <w:b w:val="false"/>
          <w:color w:val="000000"/>
          <w:sz w:val="22"/>
        </w:rPr>
        <w:t>claim is</w:t>
      </w:r>
      <w:r>
        <w:rPr>
          <w:color w:val="000000"/>
        </w:rPr>
        <w:t xml:space="preserve"> </w:t>
      </w:r>
      <w:r>
        <w:rPr>
          <w:rFonts w:ascii="sans-serif" w:hAnsi="sans-serif"/>
          <w:b w:val="false"/>
          <w:color w:val="000000"/>
          <w:sz w:val="22"/>
        </w:rPr>
        <w:t>made,</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shall</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entitled</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recover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individual</w:t>
      </w:r>
      <w:r>
        <w:rPr>
          <w:color w:val="000000"/>
        </w:rPr>
        <w:t xml:space="preserve"> </w:t>
      </w:r>
      <w:r>
        <w:rPr>
          <w:rFonts w:ascii="sans-serif" w:hAnsi="sans-serif"/>
          <w:b w:val="false"/>
          <w:color w:val="000000"/>
          <w:sz w:val="22"/>
        </w:rPr>
        <w:t>monetary relief or other individual remedies.</w:t>
      </w:r>
    </w:p>
    <w:p>
      <w:pPr>
        <w:pStyle w:val="TextBody"/>
        <w:bidi w:val="0"/>
        <w:spacing w:lineRule="auto" w:line="556" w:before="0" w:after="0"/>
        <w:ind w:left="0" w:right="0" w:hanging="721"/>
        <w:jc w:val="both"/>
        <w:rPr/>
      </w:pPr>
      <w:r>
        <w:rPr>
          <w:rFonts w:ascii="sans-serif" w:hAnsi="sans-serif"/>
          <w:b w:val="false"/>
          <w:color w:val="000000"/>
          <w:sz w:val="22"/>
        </w:rPr>
        <w:t>14.Employee</w:t>
      </w:r>
      <w:r>
        <w:rPr>
          <w:color w:val="000000"/>
        </w:rPr>
        <w:t xml:space="preserve"> </w:t>
      </w:r>
      <w:r>
        <w:rPr>
          <w:rFonts w:ascii="sans-serif" w:hAnsi="sans-serif"/>
          <w:b w:val="false"/>
          <w:color w:val="000000"/>
          <w:sz w:val="22"/>
        </w:rPr>
        <w:t>has</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right</w:t>
      </w:r>
      <w:r>
        <w:rPr>
          <w:color w:val="000000"/>
        </w:rPr>
        <w:t xml:space="preserve"> </w:t>
      </w:r>
      <w:r>
        <w:rPr>
          <w:rFonts w:ascii="sans-serif" w:hAnsi="sans-serif"/>
          <w:b w:val="false"/>
          <w:color w:val="000000"/>
          <w:sz w:val="22"/>
        </w:rPr>
        <w:t>under</w:t>
      </w:r>
      <w:r>
        <w:rPr>
          <w:color w:val="000000"/>
        </w:rPr>
        <w:t xml:space="preserve"> </w:t>
      </w:r>
      <w:r>
        <w:rPr>
          <w:rFonts w:ascii="sans-serif" w:hAnsi="sans-serif"/>
          <w:b w:val="false"/>
          <w:color w:val="000000"/>
          <w:sz w:val="22"/>
        </w:rPr>
        <w:t>federal</w:t>
      </w:r>
      <w:r>
        <w:rPr>
          <w:color w:val="000000"/>
        </w:rPr>
        <w:t xml:space="preserve"> </w:t>
      </w:r>
      <w:r>
        <w:rPr>
          <w:rFonts w:ascii="sans-serif" w:hAnsi="sans-serif"/>
          <w:b w:val="false"/>
          <w:color w:val="000000"/>
          <w:sz w:val="22"/>
        </w:rPr>
        <w:t>law</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certain</w:t>
      </w:r>
      <w:r>
        <w:rPr>
          <w:color w:val="000000"/>
        </w:rPr>
        <w:t xml:space="preserve"> </w:t>
      </w:r>
      <w:r>
        <w:rPr>
          <w:rFonts w:ascii="sans-serif" w:hAnsi="sans-serif"/>
          <w:b w:val="false"/>
          <w:color w:val="000000"/>
          <w:sz w:val="22"/>
        </w:rPr>
        <w:t>protections</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cooperating</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reporting legal violations to the Securities and Exchange Commission (the “</w:t>
      </w:r>
      <w:r>
        <w:rPr>
          <w:rFonts w:ascii="sans-serif" w:hAnsi="sans-serif"/>
          <w:b w:val="false"/>
          <w:color w:val="000000"/>
          <w:sz w:val="22"/>
          <w:u w:val="single"/>
        </w:rPr>
        <w:t>SEC</w:t>
      </w:r>
      <w:r>
        <w:rPr>
          <w:color w:val="000000"/>
        </w:rPr>
        <w:t>”</w:t>
      </w:r>
      <w:r>
        <w:rPr>
          <w:rFonts w:ascii="sans-serif" w:hAnsi="sans-serif"/>
          <w:b w:val="false"/>
          <w:color w:val="000000"/>
          <w:sz w:val="22"/>
        </w:rPr>
        <w:t>) and/or its Office of the</w:t>
      </w:r>
    </w:p>
    <w:p>
      <w:pPr>
        <w:pStyle w:val="TextBody"/>
        <w:bidi w:val="0"/>
        <w:spacing w:lineRule="auto" w:line="556" w:before="0" w:after="0"/>
        <w:jc w:val="both"/>
        <w:rPr/>
      </w:pPr>
      <w:r>
        <w:rPr>
          <w:rFonts w:ascii="sans-serif" w:hAnsi="sans-serif"/>
          <w:b w:val="false"/>
          <w:color w:val="000000"/>
          <w:sz w:val="22"/>
        </w:rPr>
        <w:t>Whistleblower, as well as certain other governmental entities and self-regulatory</w:t>
      </w:r>
      <w:r>
        <w:rPr>
          <w:color w:val="000000"/>
        </w:rPr>
        <w:t xml:space="preserve"> </w:t>
      </w:r>
      <w:r>
        <w:rPr>
          <w:rFonts w:ascii="sans-serif" w:hAnsi="sans-serif"/>
          <w:b w:val="false"/>
          <w:color w:val="000000"/>
          <w:sz w:val="22"/>
        </w:rPr>
        <w:t>organizations.</w:t>
      </w:r>
      <w:r>
        <w:rPr>
          <w:color w:val="000000"/>
        </w:rPr>
        <w:t xml:space="preserve"> </w:t>
      </w:r>
      <w:r>
        <w:rPr>
          <w:rFonts w:ascii="sans-serif" w:hAnsi="sans-serif"/>
          <w:b w:val="false"/>
          <w:color w:val="000000"/>
          <w:sz w:val="22"/>
        </w:rPr>
        <w:t>As such, nothing in this Agreement or otherwise prohibits or limits Employee from disclosing this Agreement to, or from cooperating with or reporting violations to or initiating</w:t>
      </w:r>
      <w:r>
        <w:rPr>
          <w:color w:val="000000"/>
        </w:rPr>
        <w:t xml:space="preserve"> </w:t>
      </w:r>
      <w:r>
        <w:rPr>
          <w:rFonts w:ascii="sans-serif" w:hAnsi="sans-serif"/>
          <w:b w:val="false"/>
          <w:color w:val="000000"/>
          <w:sz w:val="22"/>
        </w:rPr>
        <w:t>communications</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SEC</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other</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governmental</w:t>
      </w:r>
      <w:r>
        <w:rPr>
          <w:color w:val="000000"/>
        </w:rPr>
        <w:t xml:space="preserve"> </w:t>
      </w:r>
      <w:r>
        <w:rPr>
          <w:rFonts w:ascii="sans-serif" w:hAnsi="sans-serif"/>
          <w:b w:val="false"/>
          <w:color w:val="000000"/>
          <w:sz w:val="22"/>
        </w:rPr>
        <w:t>entity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self-regulatory organization, and Employee may do so without notifying Employer.</w:t>
      </w:r>
      <w:r>
        <w:rPr>
          <w:color w:val="000000"/>
        </w:rPr>
        <w:t xml:space="preserve"> </w:t>
      </w:r>
      <w:r>
        <w:rPr>
          <w:rFonts w:ascii="sans-serif" w:hAnsi="sans-serif"/>
          <w:b w:val="false"/>
          <w:color w:val="000000"/>
          <w:sz w:val="22"/>
        </w:rPr>
        <w:t>Neither Employer nor any of its subsidiaries or affiliates may retaliate against Employee for any of these activities, and nothing in this Agreement or otherwise requires Employee to waive any monetary award or other payment that Employee might become entitled to from the SEC or any other comparable governmental entity or self-regulatory organization.</w:t>
      </w:r>
      <w:r>
        <w:rPr>
          <w:color w:val="000000"/>
        </w:rPr>
        <w:t xml:space="preserve"> </w:t>
      </w:r>
      <w:r>
        <w:rPr>
          <w:rFonts w:ascii="sans-serif" w:hAnsi="sans-serif"/>
          <w:b w:val="false"/>
          <w:color w:val="000000"/>
          <w:sz w:val="22"/>
        </w:rPr>
        <w:t>Moreover, nothing in this Agreement or otherwise</w:t>
      </w:r>
      <w:r>
        <w:rPr>
          <w:color w:val="000000"/>
        </w:rPr>
        <w:t xml:space="preserve"> </w:t>
      </w:r>
      <w:r>
        <w:rPr>
          <w:rFonts w:ascii="sans-serif" w:hAnsi="sans-serif"/>
          <w:b w:val="false"/>
          <w:color w:val="000000"/>
          <w:sz w:val="22"/>
        </w:rPr>
        <w:t>prohibits</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from notifying</w:t>
      </w:r>
      <w:r>
        <w:rPr>
          <w:color w:val="000000"/>
        </w:rPr>
        <w:t xml:space="preserve"> </w:t>
      </w:r>
      <w:r>
        <w:rPr>
          <w:rFonts w:ascii="sans-serif" w:hAnsi="sans-serif"/>
          <w:b w:val="false"/>
          <w:color w:val="000000"/>
          <w:sz w:val="22"/>
        </w:rPr>
        <w:t>Employer that Employee</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going</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make</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report or disclosure</w:t>
      </w:r>
      <w:r>
        <w:rPr>
          <w:color w:val="000000"/>
        </w:rPr>
        <w:t xml:space="preserve"> </w:t>
      </w:r>
      <w:r>
        <w:rPr>
          <w:rFonts w:ascii="sans-serif" w:hAnsi="sans-serif"/>
          <w:b w:val="false"/>
          <w:color w:val="000000"/>
          <w:sz w:val="22"/>
        </w:rPr>
        <w:t>to law</w:t>
      </w:r>
      <w:r>
        <w:rPr>
          <w:color w:val="000000"/>
        </w:rPr>
        <w:t xml:space="preserve"> </w:t>
      </w:r>
      <w:r>
        <w:rPr>
          <w:rFonts w:ascii="sans-serif" w:hAnsi="sans-serif"/>
          <w:b w:val="false"/>
          <w:color w:val="000000"/>
          <w:sz w:val="22"/>
        </w:rPr>
        <w:t>enforcement.</w:t>
      </w:r>
      <w:r>
        <w:rPr>
          <w:color w:val="000000"/>
        </w:rPr>
        <w:t xml:space="preserve"> </w:t>
      </w:r>
      <w:r>
        <w:rPr>
          <w:rFonts w:ascii="sans-serif" w:hAnsi="sans-serif"/>
          <w:b w:val="false"/>
          <w:color w:val="000000"/>
          <w:sz w:val="22"/>
        </w:rPr>
        <w:t>Notwithstanding</w:t>
      </w:r>
      <w:r>
        <w:rPr>
          <w:color w:val="000000"/>
        </w:rPr>
        <w:t xml:space="preserve"> </w:t>
      </w:r>
      <w:r>
        <w:rPr>
          <w:rFonts w:ascii="sans-serif" w:hAnsi="sans-serif"/>
          <w:b w:val="false"/>
          <w:color w:val="000000"/>
          <w:sz w:val="22"/>
        </w:rPr>
        <w:t>anything</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 contrary in this Agreement or otherwise, as provided for in the Defend Trade Secrets Act of 2016 (18 U.S.C. § 1833(b)), Employee will not be held criminally or civilly liable under any federal or state trade secret law for the disclosure of a trade secret that (a) is made (i) in confidence to a federal, state, or local government</w:t>
      </w:r>
      <w:r>
        <w:rPr>
          <w:color w:val="000000"/>
        </w:rPr>
        <w:t xml:space="preserve"> </w:t>
      </w:r>
      <w:r>
        <w:rPr>
          <w:rFonts w:ascii="sans-serif" w:hAnsi="sans-serif"/>
          <w:b w:val="false"/>
          <w:color w:val="000000"/>
          <w:sz w:val="22"/>
        </w:rPr>
        <w:t>official,</w:t>
      </w:r>
      <w:r>
        <w:rPr>
          <w:color w:val="000000"/>
        </w:rPr>
        <w:t xml:space="preserve"> </w:t>
      </w:r>
      <w:r>
        <w:rPr>
          <w:rFonts w:ascii="sans-serif" w:hAnsi="sans-serif"/>
          <w:b w:val="false"/>
          <w:color w:val="000000"/>
          <w:sz w:val="22"/>
        </w:rPr>
        <w:t>either</w:t>
      </w:r>
      <w:r>
        <w:rPr>
          <w:color w:val="000000"/>
        </w:rPr>
        <w:t xml:space="preserve"> </w:t>
      </w:r>
      <w:r>
        <w:rPr>
          <w:rFonts w:ascii="sans-serif" w:hAnsi="sans-serif"/>
          <w:b w:val="false"/>
          <w:color w:val="000000"/>
          <w:sz w:val="22"/>
        </w:rPr>
        <w:t>directly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indirectly,</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an</w:t>
      </w:r>
      <w:r>
        <w:rPr>
          <w:color w:val="000000"/>
        </w:rPr>
        <w:t xml:space="preserve"> </w:t>
      </w:r>
      <w:r>
        <w:rPr>
          <w:rFonts w:ascii="sans-serif" w:hAnsi="sans-serif"/>
          <w:b w:val="false"/>
          <w:color w:val="000000"/>
          <w:sz w:val="22"/>
        </w:rPr>
        <w:t>attorney,</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(ii)</w:t>
      </w:r>
      <w:r>
        <w:rPr>
          <w:color w:val="000000"/>
        </w:rPr>
        <w:t xml:space="preserve"> </w:t>
      </w:r>
      <w:r>
        <w:rPr>
          <w:rFonts w:ascii="sans-serif" w:hAnsi="sans-serif"/>
          <w:b w:val="false"/>
          <w:color w:val="000000"/>
          <w:sz w:val="22"/>
        </w:rPr>
        <w:t>solely</w:t>
      </w:r>
      <w:r>
        <w:rPr>
          <w:color w:val="000000"/>
        </w:rPr>
        <w:t xml:space="preserve"> </w:t>
      </w:r>
      <w:r>
        <w:rPr>
          <w:rFonts w:ascii="sans-serif" w:hAnsi="sans-serif"/>
          <w:b w:val="false"/>
          <w:color w:val="000000"/>
          <w:sz w:val="22"/>
        </w:rPr>
        <w:t>for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purpose of reporting or investigating a suspected violation of law; or (b) is made in a complaint or other document filed in a lawsuit or other proceeding, if such filing is made under seal.</w:t>
      </w:r>
      <w:r>
        <w:rPr>
          <w:color w:val="000000"/>
        </w:rPr>
        <w:t xml:space="preserve"> </w:t>
      </w:r>
      <w:r>
        <w:rPr>
          <w:rFonts w:ascii="sans-serif" w:hAnsi="sans-serif"/>
          <w:b w:val="false"/>
          <w:color w:val="000000"/>
          <w:sz w:val="22"/>
        </w:rPr>
        <w:t>Without limiting the foregoing, if Employee files a lawsuit for retaliation by Employer for reporting a suspected</w:t>
      </w:r>
      <w:r>
        <w:rPr>
          <w:color w:val="000000"/>
        </w:rPr>
        <w:t xml:space="preserve"> </w:t>
      </w:r>
      <w:r>
        <w:rPr>
          <w:rFonts w:ascii="sans-serif" w:hAnsi="sans-serif"/>
          <w:b w:val="false"/>
          <w:color w:val="000000"/>
          <w:sz w:val="22"/>
        </w:rPr>
        <w:t>violation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law,</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may</w:t>
      </w:r>
      <w:r>
        <w:rPr>
          <w:color w:val="000000"/>
        </w:rPr>
        <w:t xml:space="preserve"> </w:t>
      </w:r>
      <w:r>
        <w:rPr>
          <w:rFonts w:ascii="sans-serif" w:hAnsi="sans-serif"/>
          <w:b w:val="false"/>
          <w:color w:val="000000"/>
          <w:sz w:val="22"/>
        </w:rPr>
        <w:t>disclose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trade</w:t>
      </w:r>
      <w:r>
        <w:rPr>
          <w:color w:val="000000"/>
        </w:rPr>
        <w:t xml:space="preserve"> </w:t>
      </w:r>
      <w:r>
        <w:rPr>
          <w:rFonts w:ascii="sans-serif" w:hAnsi="sans-serif"/>
          <w:b w:val="false"/>
          <w:color w:val="000000"/>
          <w:sz w:val="22"/>
        </w:rPr>
        <w:t>secret</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his</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her</w:t>
      </w:r>
      <w:r>
        <w:rPr>
          <w:color w:val="000000"/>
        </w:rPr>
        <w:t xml:space="preserve"> </w:t>
      </w:r>
      <w:r>
        <w:rPr>
          <w:rFonts w:ascii="sans-serif" w:hAnsi="sans-serif"/>
          <w:b w:val="false"/>
          <w:color w:val="000000"/>
          <w:sz w:val="22"/>
        </w:rPr>
        <w:t>attorney</w:t>
      </w:r>
      <w:r>
        <w:rPr>
          <w:color w:val="000000"/>
        </w:rPr>
        <w:t xml:space="preserve"> </w:t>
      </w:r>
      <w:r>
        <w:rPr>
          <w:rFonts w:ascii="sans-serif" w:hAnsi="sans-serif"/>
          <w:b w:val="false"/>
          <w:color w:val="000000"/>
          <w:sz w:val="22"/>
        </w:rPr>
        <w:t>and</w:t>
      </w:r>
    </w:p>
    <w:p>
      <w:pPr>
        <w:pStyle w:val="TextBody"/>
        <w:bidi w:val="0"/>
        <w:spacing w:lineRule="auto" w:line="288"/>
        <w:jc w:val="both"/>
        <w:rPr/>
      </w:pPr>
      <w:r>
        <w:rPr>
          <w:rFonts w:ascii="sans-serif" w:hAnsi="sans-serif"/>
          <w:b w:val="false"/>
          <w:color w:val="000000"/>
          <w:sz w:val="22"/>
        </w:rPr>
        <w:t>use</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trade</w:t>
      </w:r>
      <w:r>
        <w:rPr>
          <w:color w:val="000000"/>
        </w:rPr>
        <w:t xml:space="preserve"> </w:t>
      </w:r>
      <w:r>
        <w:rPr>
          <w:rFonts w:ascii="sans-serif" w:hAnsi="sans-serif"/>
          <w:b w:val="false"/>
          <w:color w:val="000000"/>
          <w:sz w:val="22"/>
        </w:rPr>
        <w:t>secret</w:t>
      </w:r>
      <w:r>
        <w:rPr>
          <w:color w:val="000000"/>
        </w:rPr>
        <w:t xml:space="preserve"> </w:t>
      </w:r>
      <w:r>
        <w:rPr>
          <w:rFonts w:ascii="sans-serif" w:hAnsi="sans-serif"/>
          <w:b w:val="false"/>
          <w:color w:val="000000"/>
          <w:sz w:val="22"/>
        </w:rPr>
        <w:t>information</w:t>
      </w:r>
      <w:r>
        <w:rPr>
          <w:color w:val="000000"/>
        </w:rPr>
        <w:t xml:space="preserve"> </w:t>
      </w:r>
      <w:r>
        <w:rPr>
          <w:rFonts w:ascii="sans-serif" w:hAnsi="sans-serif"/>
          <w:b w:val="false"/>
          <w:color w:val="000000"/>
          <w:sz w:val="22"/>
        </w:rPr>
        <w:t>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court</w:t>
      </w:r>
      <w:r>
        <w:rPr>
          <w:color w:val="000000"/>
        </w:rPr>
        <w:t xml:space="preserve"> </w:t>
      </w:r>
      <w:r>
        <w:rPr>
          <w:rFonts w:ascii="sans-serif" w:hAnsi="sans-serif"/>
          <w:b w:val="false"/>
          <w:color w:val="000000"/>
          <w:sz w:val="22"/>
        </w:rPr>
        <w:t>proceeding,</w:t>
      </w:r>
      <w:r>
        <w:rPr>
          <w:color w:val="000000"/>
        </w:rPr>
        <w:t xml:space="preserve"> </w:t>
      </w:r>
      <w:r>
        <w:rPr>
          <w:rFonts w:ascii="sans-serif" w:hAnsi="sans-serif"/>
          <w:b w:val="false"/>
          <w:color w:val="000000"/>
          <w:sz w:val="22"/>
        </w:rPr>
        <w:t>if</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(x)</w:t>
      </w:r>
      <w:r>
        <w:rPr>
          <w:color w:val="000000"/>
        </w:rPr>
        <w:t xml:space="preserve"> </w:t>
      </w:r>
      <w:r>
        <w:rPr>
          <w:rFonts w:ascii="sans-serif" w:hAnsi="sans-serif"/>
          <w:b w:val="false"/>
          <w:color w:val="000000"/>
          <w:sz w:val="22"/>
        </w:rPr>
        <w:t>files</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document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29540"/>
                <wp:effectExtent l="0" t="0" r="0" b="0"/>
                <wp:wrapNone/>
                <wp:docPr id="83" name="Frame81"/>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before="0" w:after="0"/>
        <w:jc w:val="both"/>
        <w:rPr/>
      </w:pPr>
      <w:r>
        <w:rPr/>
      </w:r>
    </w:p>
    <w:p>
      <w:pPr>
        <w:pStyle w:val="TextBody"/>
        <w:bidi w:val="0"/>
        <w:spacing w:lineRule="auto" w:line="556" w:before="39" w:after="283"/>
        <w:jc w:val="both"/>
        <w:rPr>
          <w:rFonts w:ascii="sans-serif" w:hAnsi="sans-serif"/>
          <w:b w:val="false"/>
          <w:color w:val="000000"/>
          <w:sz w:val="22"/>
        </w:rPr>
      </w:pPr>
      <w:r>
        <w:rPr>
          <w:rFonts w:ascii="sans-serif" w:hAnsi="sans-serif"/>
          <w:b w:val="false"/>
          <w:color w:val="000000"/>
          <w:sz w:val="22"/>
        </w:rPr>
        <w:t>containing the trade secret under seal, and (y) does not disclose the trade secret, except pursuant to court order.</w:t>
      </w:r>
    </w:p>
    <w:p>
      <w:pPr>
        <w:pStyle w:val="TextBody"/>
        <w:bidi w:val="0"/>
        <w:spacing w:lineRule="auto" w:line="556" w:before="1" w:after="283"/>
        <w:ind w:left="0" w:right="0" w:hanging="721"/>
        <w:jc w:val="both"/>
        <w:rPr/>
      </w:pPr>
      <w:r>
        <w:rPr>
          <w:rFonts w:ascii="sans-serif" w:hAnsi="sans-serif"/>
          <w:b w:val="false"/>
          <w:color w:val="000000"/>
          <w:sz w:val="22"/>
        </w:rPr>
        <w:t>15.If any claim</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not subject to release,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extent</w:t>
      </w:r>
      <w:r>
        <w:rPr>
          <w:color w:val="000000"/>
        </w:rPr>
        <w:t xml:space="preserve"> </w:t>
      </w:r>
      <w:r>
        <w:rPr>
          <w:rFonts w:ascii="sans-serif" w:hAnsi="sans-serif"/>
          <w:b w:val="false"/>
          <w:color w:val="000000"/>
          <w:sz w:val="22"/>
        </w:rPr>
        <w:t>permitted by</w:t>
      </w:r>
      <w:r>
        <w:rPr>
          <w:color w:val="000000"/>
        </w:rPr>
        <w:t xml:space="preserve"> </w:t>
      </w:r>
      <w:r>
        <w:rPr>
          <w:rFonts w:ascii="sans-serif" w:hAnsi="sans-serif"/>
          <w:b w:val="false"/>
          <w:color w:val="000000"/>
          <w:sz w:val="22"/>
        </w:rPr>
        <w:t>law, Employee</w:t>
      </w:r>
      <w:r>
        <w:rPr>
          <w:color w:val="000000"/>
        </w:rPr>
        <w:t xml:space="preserve"> </w:t>
      </w:r>
      <w:r>
        <w:rPr>
          <w:rFonts w:ascii="sans-serif" w:hAnsi="sans-serif"/>
          <w:b w:val="false"/>
          <w:color w:val="000000"/>
          <w:sz w:val="22"/>
        </w:rPr>
        <w:t>waives</w:t>
      </w:r>
      <w:r>
        <w:rPr>
          <w:color w:val="000000"/>
        </w:rPr>
        <w:t xml:space="preserve"> </w:t>
      </w:r>
      <w:r>
        <w:rPr>
          <w:rFonts w:ascii="sans-serif" w:hAnsi="sans-serif"/>
          <w:b w:val="false"/>
          <w:color w:val="000000"/>
          <w:sz w:val="22"/>
        </w:rPr>
        <w:t>any right or ability to be a class or collective action representative or to otherwise participate in any putative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certified</w:t>
      </w:r>
      <w:r>
        <w:rPr>
          <w:color w:val="000000"/>
        </w:rPr>
        <w:t xml:space="preserve"> </w:t>
      </w:r>
      <w:r>
        <w:rPr>
          <w:rFonts w:ascii="sans-serif" w:hAnsi="sans-serif"/>
          <w:b w:val="false"/>
          <w:color w:val="000000"/>
          <w:sz w:val="22"/>
        </w:rPr>
        <w:t>class,</w:t>
      </w:r>
      <w:r>
        <w:rPr>
          <w:color w:val="000000"/>
        </w:rPr>
        <w:t xml:space="preserve"> </w:t>
      </w:r>
      <w:r>
        <w:rPr>
          <w:rFonts w:ascii="sans-serif" w:hAnsi="sans-serif"/>
          <w:b w:val="false"/>
          <w:color w:val="000000"/>
          <w:sz w:val="22"/>
        </w:rPr>
        <w:t>collective</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multi-party</w:t>
      </w:r>
      <w:r>
        <w:rPr>
          <w:color w:val="000000"/>
        </w:rPr>
        <w:t xml:space="preserve"> </w:t>
      </w:r>
      <w:r>
        <w:rPr>
          <w:rFonts w:ascii="sans-serif" w:hAnsi="sans-serif"/>
          <w:b w:val="false"/>
          <w:color w:val="000000"/>
          <w:sz w:val="22"/>
        </w:rPr>
        <w:t>action</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proceeding</w:t>
      </w:r>
      <w:r>
        <w:rPr>
          <w:color w:val="000000"/>
        </w:rPr>
        <w:t xml:space="preserve"> </w:t>
      </w:r>
      <w:r>
        <w:rPr>
          <w:rFonts w:ascii="sans-serif" w:hAnsi="sans-serif"/>
          <w:b w:val="false"/>
          <w:color w:val="000000"/>
          <w:sz w:val="22"/>
        </w:rPr>
        <w:t>based</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such</w:t>
      </w:r>
      <w:r>
        <w:rPr>
          <w:color w:val="000000"/>
        </w:rPr>
        <w:t xml:space="preserve"> </w:t>
      </w:r>
      <w:r>
        <w:rPr>
          <w:rFonts w:ascii="sans-serif" w:hAnsi="sans-serif"/>
          <w:b w:val="false"/>
          <w:color w:val="000000"/>
          <w:sz w:val="22"/>
        </w:rPr>
        <w:t>a</w:t>
      </w:r>
      <w:r>
        <w:rPr>
          <w:color w:val="000000"/>
        </w:rPr>
        <w:t xml:space="preserve"> </w:t>
      </w:r>
      <w:r>
        <w:rPr>
          <w:rFonts w:ascii="sans-serif" w:hAnsi="sans-serif"/>
          <w:b w:val="false"/>
          <w:color w:val="000000"/>
          <w:sz w:val="22"/>
        </w:rPr>
        <w:t>claim</w:t>
      </w:r>
      <w:r>
        <w:rPr>
          <w:color w:val="000000"/>
        </w:rPr>
        <w:t xml:space="preserve"> </w:t>
      </w:r>
      <w:r>
        <w:rPr>
          <w:rFonts w:ascii="sans-serif" w:hAnsi="sans-serif"/>
          <w:b w:val="false"/>
          <w:color w:val="000000"/>
          <w:sz w:val="22"/>
        </w:rPr>
        <w:t>in which the Employer or any other related entity identified in this Agreement is a party.</w:t>
      </w:r>
    </w:p>
    <w:p>
      <w:pPr>
        <w:pStyle w:val="TextBody"/>
        <w:bidi w:val="0"/>
        <w:spacing w:lineRule="auto" w:line="288" w:before="0" w:after="0"/>
        <w:ind w:left="0" w:right="0" w:hanging="718"/>
        <w:jc w:val="both"/>
        <w:rPr/>
      </w:pPr>
      <w:r>
        <w:rPr>
          <w:rFonts w:ascii="sans-serif" w:hAnsi="sans-serif"/>
          <w:b w:val="false"/>
          <w:color w:val="000000"/>
          <w:sz w:val="22"/>
        </w:rPr>
        <w:t>16.By</w:t>
      </w:r>
      <w:r>
        <w:rPr>
          <w:color w:val="000000"/>
        </w:rPr>
        <w:t xml:space="preserve"> </w:t>
      </w:r>
      <w:r>
        <w:rPr>
          <w:rFonts w:ascii="sans-serif" w:hAnsi="sans-serif"/>
          <w:b w:val="false"/>
          <w:color w:val="000000"/>
          <w:sz w:val="22"/>
        </w:rPr>
        <w:t>signing</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r>
        <w:rPr>
          <w:color w:val="000000"/>
        </w:rPr>
        <w:t xml:space="preserve"> </w:t>
      </w:r>
      <w:r>
        <w:rPr>
          <w:rFonts w:ascii="sans-serif" w:hAnsi="sans-serif"/>
          <w:b w:val="false"/>
          <w:color w:val="000000"/>
          <w:sz w:val="22"/>
        </w:rPr>
        <w:t>Employee</w:t>
      </w:r>
      <w:r>
        <w:rPr>
          <w:color w:val="000000"/>
        </w:rPr>
        <w:t xml:space="preserve"> </w:t>
      </w:r>
      <w:r>
        <w:rPr>
          <w:rFonts w:ascii="sans-serif" w:hAnsi="sans-serif"/>
          <w:b w:val="false"/>
          <w:color w:val="000000"/>
          <w:sz w:val="22"/>
        </w:rPr>
        <w:t>certifies</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acknowledges</w:t>
      </w:r>
      <w:r>
        <w:rPr>
          <w:color w:val="000000"/>
        </w:rPr>
        <w:t xml:space="preserve"> </w:t>
      </w:r>
      <w:r>
        <w:rPr>
          <w:rFonts w:ascii="sans-serif" w:hAnsi="sans-serif"/>
          <w:b w:val="false"/>
          <w:color w:val="000000"/>
          <w:sz w:val="22"/>
        </w:rPr>
        <w:t>that:</w:t>
      </w:r>
    </w:p>
    <w:p>
      <w:pPr>
        <w:pStyle w:val="TextBody"/>
        <w:bidi w:val="0"/>
        <w:spacing w:before="1" w:after="283"/>
        <w:jc w:val="left"/>
        <w:rPr/>
      </w:pPr>
      <w:r>
        <w:rPr/>
      </w:r>
    </w:p>
    <w:p>
      <w:pPr>
        <w:pStyle w:val="TextBody"/>
        <w:bidi w:val="0"/>
        <w:spacing w:lineRule="auto" w:line="556" w:before="0" w:after="0"/>
        <w:ind w:left="0" w:right="0" w:hanging="361"/>
        <w:jc w:val="both"/>
        <w:rPr/>
      </w:pPr>
      <w:r>
        <w:rPr>
          <w:rFonts w:ascii="sans-serif" w:hAnsi="sans-serif"/>
          <w:b w:val="false"/>
          <w:color w:val="000000"/>
          <w:sz w:val="22"/>
        </w:rPr>
        <w:t>a.Employee has read the</w:t>
      </w:r>
      <w:r>
        <w:rPr>
          <w:color w:val="000000"/>
        </w:rPr>
        <w:t xml:space="preserve"> </w:t>
      </w:r>
      <w:r>
        <w:rPr>
          <w:rFonts w:ascii="sans-serif" w:hAnsi="sans-serif"/>
          <w:b w:val="false"/>
          <w:color w:val="000000"/>
          <w:sz w:val="22"/>
        </w:rPr>
        <w:t>terms of this Agreement completely and understands its terms and effects, including the fact that Employee has agreed to RELEASE and FOREVER DISCHARGE Employer and the Released Parties from any legal action arising out of Employee’s employment relationship with Employer, the terms and conditions of that employment relationship, and the termination of that employment relationship.</w:t>
      </w:r>
    </w:p>
    <w:p>
      <w:pPr>
        <w:pStyle w:val="TextBody"/>
        <w:bidi w:val="0"/>
        <w:spacing w:lineRule="auto" w:line="288" w:before="1" w:after="283"/>
        <w:ind w:left="0" w:right="0" w:hanging="358"/>
        <w:jc w:val="both"/>
        <w:rPr/>
      </w:pPr>
      <w:r>
        <w:rPr>
          <w:rFonts w:ascii="sans-serif" w:hAnsi="sans-serif"/>
          <w:b w:val="false"/>
          <w:color w:val="000000"/>
          <w:sz w:val="22"/>
        </w:rPr>
        <w:t>b.Employee</w:t>
      </w:r>
      <w:r>
        <w:rPr>
          <w:color w:val="000000"/>
        </w:rPr>
        <w:t xml:space="preserve"> </w:t>
      </w:r>
      <w:r>
        <w:rPr>
          <w:rFonts w:ascii="sans-serif" w:hAnsi="sans-serif"/>
          <w:b w:val="false"/>
          <w:color w:val="000000"/>
          <w:sz w:val="22"/>
        </w:rPr>
        <w:t>has</w:t>
      </w:r>
      <w:r>
        <w:rPr>
          <w:color w:val="000000"/>
        </w:rPr>
        <w:t xml:space="preserve"> </w:t>
      </w:r>
      <w:r>
        <w:rPr>
          <w:rFonts w:ascii="sans-serif" w:hAnsi="sans-serif"/>
          <w:b w:val="false"/>
          <w:color w:val="000000"/>
          <w:sz w:val="22"/>
        </w:rPr>
        <w:t>had</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opportunity</w:t>
      </w:r>
      <w:r>
        <w:rPr>
          <w:color w:val="000000"/>
        </w:rPr>
        <w:t xml:space="preserve"> </w:t>
      </w:r>
      <w:r>
        <w:rPr>
          <w:rFonts w:ascii="sans-serif" w:hAnsi="sans-serif"/>
          <w:b w:val="false"/>
          <w:color w:val="000000"/>
          <w:sz w:val="22"/>
        </w:rPr>
        <w:t>to consider</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terms</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this</w:t>
      </w:r>
      <w:r>
        <w:rPr>
          <w:color w:val="000000"/>
        </w:rPr>
        <w:t xml:space="preserve"> </w:t>
      </w:r>
      <w:r>
        <w:rPr>
          <w:rFonts w:ascii="sans-serif" w:hAnsi="sans-serif"/>
          <w:b w:val="false"/>
          <w:color w:val="000000"/>
          <w:sz w:val="22"/>
        </w:rPr>
        <w:t>Agreement.</w:t>
      </w:r>
    </w:p>
    <w:p>
      <w:pPr>
        <w:pStyle w:val="TextBody"/>
        <w:bidi w:val="0"/>
        <w:spacing w:lineRule="auto" w:line="556" w:before="267" w:after="283"/>
        <w:ind w:left="0" w:right="0" w:hanging="361"/>
        <w:jc w:val="both"/>
        <w:rPr>
          <w:rFonts w:ascii="sans-serif" w:hAnsi="sans-serif"/>
          <w:b w:val="false"/>
          <w:color w:val="000000"/>
          <w:sz w:val="22"/>
        </w:rPr>
      </w:pPr>
      <w:r>
        <w:rPr>
          <w:rFonts w:ascii="sans-serif" w:hAnsi="sans-serif"/>
          <w:b w:val="false"/>
          <w:color w:val="000000"/>
          <w:sz w:val="22"/>
        </w:rPr>
        <w:t>c.Employee affirms that Employee has not filed, caused to be filed, or presently is a party to any claim against the Employer.</w:t>
      </w:r>
    </w:p>
    <w:p>
      <w:pPr>
        <w:pStyle w:val="TextBody"/>
        <w:bidi w:val="0"/>
        <w:spacing w:lineRule="auto" w:line="556" w:before="1" w:after="283"/>
        <w:ind w:left="0" w:right="0" w:hanging="361"/>
        <w:jc w:val="both"/>
        <w:rPr/>
      </w:pPr>
      <w:r>
        <w:rPr>
          <w:rFonts w:ascii="sans-serif" w:hAnsi="sans-serif"/>
          <w:b w:val="false"/>
          <w:color w:val="000000"/>
          <w:sz w:val="22"/>
        </w:rPr>
        <w:t>d.Employee also affirms that Employee has been paid and/or has received all compensation, wages, bonuses, commissions, and/or benefits which are due and payable as of the date Employee signs this Agreement.</w:t>
      </w:r>
      <w:r>
        <w:rPr>
          <w:color w:val="000000"/>
        </w:rPr>
        <w:t xml:space="preserve"> </w:t>
      </w:r>
      <w:r>
        <w:rPr>
          <w:rFonts w:ascii="sans-serif" w:hAnsi="sans-serif"/>
          <w:b w:val="false"/>
          <w:color w:val="000000"/>
          <w:sz w:val="22"/>
        </w:rPr>
        <w:t>Employee affirms that Employee has been granted any leave to which Employee was entitled under the Family and Medical Leave Act or related state or local leave or disability accommodation laws.</w:t>
      </w:r>
    </w:p>
    <w:p>
      <w:pPr>
        <w:pStyle w:val="TextBody"/>
        <w:bidi w:val="0"/>
        <w:spacing w:lineRule="auto" w:line="556" w:before="1" w:after="283"/>
        <w:ind w:left="0" w:right="0" w:hanging="361"/>
        <w:jc w:val="both"/>
        <w:rPr>
          <w:rFonts w:ascii="sans-serif" w:hAnsi="sans-serif"/>
          <w:b w:val="false"/>
          <w:color w:val="000000"/>
          <w:sz w:val="22"/>
        </w:rPr>
      </w:pPr>
      <w:r>
        <w:rPr>
          <w:rFonts w:ascii="sans-serif" w:hAnsi="sans-serif"/>
          <w:b w:val="false"/>
          <w:color w:val="000000"/>
          <w:sz w:val="22"/>
        </w:rPr>
        <w:t>e.Employee further affirms that Employee has no known workplace injuries or occupational diseases.</w:t>
      </w:r>
    </w:p>
    <w:p>
      <w:pPr>
        <w:pStyle w:val="TextBody"/>
        <w:bidi w:val="0"/>
        <w:spacing w:lineRule="auto" w:line="554" w:before="1" w:after="283"/>
        <w:ind w:left="0" w:right="0" w:hanging="361"/>
        <w:jc w:val="both"/>
        <w:rPr/>
      </w:pPr>
      <w:r>
        <w:rPr>
          <w:rFonts w:ascii="sans-serif" w:hAnsi="sans-serif"/>
          <w:b w:val="false"/>
          <w:color w:val="000000"/>
          <w:sz w:val="22"/>
        </w:rPr>
        <w:t>f.Employee also affirms that Employee has not divulged any proprietary or confidential information</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will</w:t>
      </w:r>
      <w:r>
        <w:rPr>
          <w:color w:val="000000"/>
        </w:rPr>
        <w:t xml:space="preserve"> </w:t>
      </w:r>
      <w:r>
        <w:rPr>
          <w:rFonts w:ascii="sans-serif" w:hAnsi="sans-serif"/>
          <w:b w:val="false"/>
          <w:color w:val="000000"/>
          <w:sz w:val="22"/>
        </w:rPr>
        <w:t>continue</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maintain</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confidentiality</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such</w:t>
      </w:r>
    </w:p>
    <w:p>
      <w:pPr>
        <w:pStyle w:val="TextBody"/>
        <w:bidi w:val="0"/>
        <w:spacing w:lineRule="auto" w:line="288"/>
        <w:jc w:val="both"/>
        <w:rPr/>
      </w:pPr>
      <w:r>
        <w:rPr>
          <w:rFonts w:ascii="sans-serif" w:hAnsi="sans-serif"/>
          <w:b w:val="false"/>
          <w:color w:val="000000"/>
          <w:sz w:val="22"/>
        </w:rPr>
        <w:t>information</w:t>
      </w:r>
      <w:r>
        <w:rPr>
          <w:color w:val="000000"/>
        </w:rPr>
        <w:t xml:space="preserve"> </w:t>
      </w:r>
      <w:r>
        <w:rPr>
          <w:rFonts w:ascii="sans-serif" w:hAnsi="sans-serif"/>
          <w:b w:val="false"/>
          <w:color w:val="000000"/>
          <w:sz w:val="22"/>
        </w:rPr>
        <w:t>consistent</w:t>
      </w:r>
      <w:r>
        <w:rPr>
          <w:color w:val="000000"/>
        </w:rPr>
        <w:t xml:space="preserve"> </w:t>
      </w:r>
      <w:r>
        <w:rPr>
          <w:rFonts w:ascii="sans-serif" w:hAnsi="sans-serif"/>
          <w:b w:val="false"/>
          <w:color w:val="000000"/>
          <w:sz w:val="22"/>
        </w:rPr>
        <w:t>with</w:t>
      </w:r>
      <w:r>
        <w:rPr>
          <w:color w:val="000000"/>
        </w:rPr>
        <w:t xml:space="preserve"> </w:t>
      </w:r>
      <w:r>
        <w:rPr>
          <w:rFonts w:ascii="sans-serif" w:hAnsi="sans-serif"/>
          <w:b w:val="false"/>
          <w:color w:val="000000"/>
          <w:sz w:val="22"/>
        </w:rPr>
        <w:t>statute</w:t>
      </w:r>
      <w:r>
        <w:rPr>
          <w:color w:val="000000"/>
        </w:rPr>
        <w:t xml:space="preserve"> </w:t>
      </w:r>
      <w:r>
        <w:rPr>
          <w:rFonts w:ascii="sans-serif" w:hAnsi="sans-serif"/>
          <w:b w:val="false"/>
          <w:color w:val="000000"/>
          <w:sz w:val="22"/>
        </w:rPr>
        <w:t>and/or</w:t>
      </w:r>
      <w:r>
        <w:rPr>
          <w:color w:val="000000"/>
        </w:rPr>
        <w:t xml:space="preserve"> </w:t>
      </w:r>
      <w:r>
        <w:rPr>
          <w:rFonts w:ascii="sans-serif" w:hAnsi="sans-serif"/>
          <w:b w:val="false"/>
          <w:color w:val="000000"/>
          <w:sz w:val="22"/>
        </w:rPr>
        <w:t>common</w:t>
      </w:r>
      <w:r>
        <w:rPr>
          <w:color w:val="000000"/>
        </w:rPr>
        <w:t xml:space="preserve"> </w:t>
      </w:r>
      <w:r>
        <w:rPr>
          <w:rFonts w:ascii="sans-serif" w:hAnsi="sans-serif"/>
          <w:b w:val="false"/>
          <w:color w:val="000000"/>
          <w:sz w:val="22"/>
        </w:rPr>
        <w:t>law</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Employee’s</w:t>
      </w:r>
      <w:r>
        <w:rPr>
          <w:color w:val="000000"/>
        </w:rPr>
        <w:t xml:space="preserve"> </w:t>
      </w:r>
      <w:r>
        <w:rPr>
          <w:rFonts w:ascii="sans-serif" w:hAnsi="sans-serif"/>
          <w:b w:val="false"/>
          <w:color w:val="000000"/>
          <w:sz w:val="22"/>
        </w:rPr>
        <w:t>contractual</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29540"/>
                <wp:effectExtent l="0" t="0" r="0" b="0"/>
                <wp:wrapNone/>
                <wp:docPr id="84" name="Frame82"/>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before="0" w:after="0"/>
        <w:jc w:val="both"/>
        <w:rPr/>
      </w:pPr>
      <w:r>
        <w:rPr/>
      </w:r>
    </w:p>
    <w:p>
      <w:pPr>
        <w:pStyle w:val="TextBody"/>
        <w:bidi w:val="0"/>
        <w:spacing w:lineRule="auto" w:line="556" w:before="39" w:after="283"/>
        <w:jc w:val="both"/>
        <w:rPr/>
      </w:pPr>
      <w:r>
        <w:rPr>
          <w:rFonts w:ascii="sans-serif" w:hAnsi="sans-serif"/>
          <w:b w:val="false"/>
          <w:color w:val="000000"/>
          <w:sz w:val="22"/>
        </w:rPr>
        <w:t>obligations as set forth herein and in Section 4 (Covenant Not to Disclose) of Employee’s Employment Agreement dated January 23, 2023 (the “Employment Agreement”), which provision shall remain in full force and effect.</w:t>
      </w:r>
      <w:r>
        <w:rPr>
          <w:color w:val="000000"/>
        </w:rPr>
        <w:t xml:space="preserve"> </w:t>
      </w:r>
      <w:r>
        <w:rPr>
          <w:rFonts w:ascii="sans-serif" w:hAnsi="sans-serif"/>
          <w:b w:val="false"/>
          <w:color w:val="000000"/>
          <w:sz w:val="22"/>
        </w:rPr>
        <w:t>This Agreement constitutes written notice of termination of employment pursuant to Section 3 of the Employment Agreement.</w:t>
      </w:r>
    </w:p>
    <w:p>
      <w:pPr>
        <w:pStyle w:val="TextBody"/>
        <w:bidi w:val="0"/>
        <w:spacing w:lineRule="auto" w:line="556" w:before="0" w:after="0"/>
        <w:ind w:left="0" w:right="0" w:hanging="721"/>
        <w:jc w:val="both"/>
        <w:rPr>
          <w:rFonts w:ascii="sans-serif" w:hAnsi="sans-serif"/>
          <w:b w:val="false"/>
          <w:color w:val="000000"/>
          <w:sz w:val="22"/>
        </w:rPr>
      </w:pPr>
      <w:r>
        <w:rPr>
          <w:rFonts w:ascii="sans-serif" w:hAnsi="sans-serif"/>
          <w:b w:val="false"/>
          <w:color w:val="000000"/>
          <w:sz w:val="22"/>
        </w:rPr>
        <w:t>17.Employee further affirms that Employee has not been retaliated against for reporting any allegations of corporate fraud by Employer or its officers.</w:t>
      </w:r>
    </w:p>
    <w:p>
      <w:pPr>
        <w:pStyle w:val="TextBody"/>
        <w:bidi w:val="0"/>
        <w:spacing w:lineRule="auto" w:line="288" w:before="1" w:after="283"/>
        <w:ind w:left="0" w:right="0" w:hanging="718"/>
        <w:jc w:val="both"/>
        <w:rPr/>
      </w:pPr>
      <w:r>
        <w:rPr>
          <w:rFonts w:ascii="sans-serif" w:hAnsi="sans-serif"/>
          <w:b w:val="false"/>
          <w:color w:val="000000"/>
          <w:sz w:val="22"/>
        </w:rPr>
        <w:t>18.Employee</w:t>
      </w:r>
      <w:r>
        <w:rPr>
          <w:color w:val="000000"/>
        </w:rPr>
        <w:t xml:space="preserve"> </w:t>
      </w:r>
      <w:r>
        <w:rPr>
          <w:rFonts w:ascii="sans-serif" w:hAnsi="sans-serif"/>
          <w:b w:val="false"/>
          <w:color w:val="000000"/>
          <w:sz w:val="22"/>
        </w:rPr>
        <w:t>further</w:t>
      </w:r>
      <w:r>
        <w:rPr>
          <w:color w:val="000000"/>
        </w:rPr>
        <w:t xml:space="preserve"> </w:t>
      </w:r>
      <w:r>
        <w:rPr>
          <w:rFonts w:ascii="sans-serif" w:hAnsi="sans-serif"/>
          <w:b w:val="false"/>
          <w:color w:val="000000"/>
          <w:sz w:val="22"/>
        </w:rPr>
        <w:t>agrees</w:t>
      </w:r>
      <w:r>
        <w:rPr>
          <w:color w:val="000000"/>
        </w:rPr>
        <w:t xml:space="preserve"> </w:t>
      </w:r>
      <w:r>
        <w:rPr>
          <w:rFonts w:ascii="sans-serif" w:hAnsi="sans-serif"/>
          <w:b w:val="false"/>
          <w:color w:val="000000"/>
          <w:sz w:val="22"/>
        </w:rPr>
        <w:t>that:</w:t>
      </w:r>
    </w:p>
    <w:p>
      <w:pPr>
        <w:pStyle w:val="TextBody"/>
        <w:bidi w:val="0"/>
        <w:spacing w:before="1" w:after="283"/>
        <w:jc w:val="left"/>
        <w:rPr/>
      </w:pPr>
      <w:r>
        <w:rPr/>
      </w:r>
    </w:p>
    <w:p>
      <w:pPr>
        <w:pStyle w:val="TextBody"/>
        <w:bidi w:val="0"/>
        <w:spacing w:lineRule="auto" w:line="554" w:before="0" w:after="0"/>
        <w:ind w:left="0" w:right="0" w:hanging="361"/>
        <w:jc w:val="left"/>
        <w:rPr>
          <w:rFonts w:ascii="sans-serif" w:hAnsi="sans-serif"/>
          <w:b w:val="false"/>
          <w:color w:val="000000"/>
          <w:sz w:val="22"/>
        </w:rPr>
      </w:pPr>
      <w:r>
        <w:rPr>
          <w:rFonts w:ascii="sans-serif" w:hAnsi="sans-serif"/>
          <w:b w:val="false"/>
          <w:color w:val="000000"/>
          <w:sz w:val="22"/>
        </w:rPr>
        <w:t>a.Employee has been advised to consult with an attorney prior to executing this Agreement and Employee has done so to the extent Employee chose to do so.</w:t>
      </w:r>
    </w:p>
    <w:p>
      <w:pPr>
        <w:pStyle w:val="TextBody"/>
        <w:bidi w:val="0"/>
        <w:spacing w:lineRule="auto" w:line="556" w:before="4" w:after="283"/>
        <w:ind w:left="0" w:right="0" w:hanging="361"/>
        <w:jc w:val="left"/>
        <w:rPr/>
      </w:pPr>
      <w:r>
        <w:rPr>
          <w:rFonts w:ascii="sans-serif" w:hAnsi="sans-serif"/>
          <w:b w:val="false"/>
          <w:color w:val="000000"/>
          <w:sz w:val="22"/>
        </w:rPr>
        <w:t>b.Employee understands and means everything that Employee said in this Agreement and</w:t>
      </w:r>
      <w:r>
        <w:rPr>
          <w:color w:val="000000"/>
        </w:rPr>
        <w:t xml:space="preserve"> </w:t>
      </w:r>
      <w:r>
        <w:rPr>
          <w:rFonts w:ascii="sans-serif" w:hAnsi="sans-serif"/>
          <w:b w:val="false"/>
          <w:color w:val="000000"/>
          <w:sz w:val="22"/>
        </w:rPr>
        <w:t>Employee agrees to all its terms, and</w:t>
      </w:r>
    </w:p>
    <w:p>
      <w:pPr>
        <w:pStyle w:val="TextBody"/>
        <w:bidi w:val="0"/>
        <w:spacing w:lineRule="auto" w:line="556" w:before="1" w:after="283"/>
        <w:ind w:left="0" w:right="0" w:hanging="361"/>
        <w:jc w:val="left"/>
        <w:rPr/>
      </w:pPr>
      <w:r>
        <w:rPr>
          <w:rFonts w:ascii="sans-serif" w:hAnsi="sans-serif"/>
          <w:b w:val="false"/>
          <w:color w:val="000000"/>
          <w:sz w:val="22"/>
        </w:rPr>
        <w:t>c.Employee</w:t>
      </w:r>
      <w:r>
        <w:rPr>
          <w:color w:val="000000"/>
        </w:rPr>
        <w:t xml:space="preserve"> </w:t>
      </w:r>
      <w:r>
        <w:rPr>
          <w:rFonts w:ascii="sans-serif" w:hAnsi="sans-serif"/>
          <w:b w:val="false"/>
          <w:color w:val="000000"/>
          <w:sz w:val="22"/>
        </w:rPr>
        <w:t>is</w:t>
      </w:r>
      <w:r>
        <w:rPr>
          <w:color w:val="000000"/>
        </w:rPr>
        <w:t xml:space="preserve"> </w:t>
      </w:r>
      <w:r>
        <w:rPr>
          <w:rFonts w:ascii="sans-serif" w:hAnsi="sans-serif"/>
          <w:b w:val="false"/>
          <w:color w:val="000000"/>
          <w:sz w:val="22"/>
        </w:rPr>
        <w:t>not</w:t>
      </w:r>
      <w:r>
        <w:rPr>
          <w:color w:val="000000"/>
        </w:rPr>
        <w:t xml:space="preserve"> </w:t>
      </w:r>
      <w:r>
        <w:rPr>
          <w:rFonts w:ascii="sans-serif" w:hAnsi="sans-serif"/>
          <w:b w:val="false"/>
          <w:color w:val="000000"/>
          <w:sz w:val="22"/>
        </w:rPr>
        <w:t>relying</w:t>
      </w:r>
      <w:r>
        <w:rPr>
          <w:color w:val="000000"/>
        </w:rPr>
        <w:t xml:space="preserve"> </w:t>
      </w:r>
      <w:r>
        <w:rPr>
          <w:rFonts w:ascii="sans-serif" w:hAnsi="sans-serif"/>
          <w:b w:val="false"/>
          <w:color w:val="000000"/>
          <w:sz w:val="22"/>
        </w:rPr>
        <w:t>on</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or</w:t>
      </w:r>
      <w:r>
        <w:rPr>
          <w:color w:val="000000"/>
        </w:rPr>
        <w:t xml:space="preserve"> </w:t>
      </w:r>
      <w:r>
        <w:rPr>
          <w:rFonts w:ascii="sans-serif" w:hAnsi="sans-serif"/>
          <w:b w:val="false"/>
          <w:color w:val="000000"/>
          <w:sz w:val="22"/>
        </w:rPr>
        <w:t>any</w:t>
      </w:r>
      <w:r>
        <w:rPr>
          <w:color w:val="000000"/>
        </w:rPr>
        <w:t xml:space="preserve"> </w:t>
      </w:r>
      <w:r>
        <w:rPr>
          <w:rFonts w:ascii="sans-serif" w:hAnsi="sans-serif"/>
          <w:b w:val="false"/>
          <w:color w:val="000000"/>
          <w:sz w:val="22"/>
        </w:rPr>
        <w:t>representative</w:t>
      </w:r>
      <w:r>
        <w:rPr>
          <w:color w:val="000000"/>
        </w:rPr>
        <w:t xml:space="preserve"> </w:t>
      </w:r>
      <w:r>
        <w:rPr>
          <w:rFonts w:ascii="sans-serif" w:hAnsi="sans-serif"/>
          <w:b w:val="false"/>
          <w:color w:val="000000"/>
          <w:sz w:val="22"/>
        </w:rPr>
        <w:t>of</w:t>
      </w:r>
      <w:r>
        <w:rPr>
          <w:color w:val="000000"/>
        </w:rPr>
        <w:t xml:space="preserve"> </w:t>
      </w:r>
      <w:r>
        <w:rPr>
          <w:rFonts w:ascii="sans-serif" w:hAnsi="sans-serif"/>
          <w:b w:val="false"/>
          <w:color w:val="000000"/>
          <w:sz w:val="22"/>
        </w:rPr>
        <w:t>Employer</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explain</w:t>
      </w:r>
      <w:r>
        <w:rPr>
          <w:color w:val="000000"/>
        </w:rPr>
        <w:t xml:space="preserve"> </w:t>
      </w:r>
      <w:r>
        <w:rPr>
          <w:rFonts w:ascii="sans-serif" w:hAnsi="sans-serif"/>
          <w:b w:val="false"/>
          <w:color w:val="000000"/>
          <w:sz w:val="22"/>
        </w:rPr>
        <w:t>this Agreement to Employee.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ind w:left="0" w:right="0" w:firstLine="720"/>
        <w:jc w:val="left"/>
        <w:rPr/>
      </w:pPr>
      <w:r>
        <w:rPr>
          <w:rFonts w:ascii="sans-serif" w:hAnsi="sans-serif"/>
          <w:b w:val="false"/>
          <w:color w:val="000000"/>
          <w:sz w:val="22"/>
        </w:rPr>
        <w:t>IN</w:t>
      </w:r>
      <w:r>
        <w:rPr>
          <w:color w:val="000000"/>
        </w:rPr>
        <w:t xml:space="preserve"> </w:t>
      </w:r>
      <w:r>
        <w:rPr>
          <w:rFonts w:ascii="sans-serif" w:hAnsi="sans-serif"/>
          <w:b w:val="false"/>
          <w:color w:val="000000"/>
          <w:sz w:val="22"/>
        </w:rPr>
        <w:t>WITNESS</w:t>
      </w:r>
      <w:r>
        <w:rPr>
          <w:color w:val="000000"/>
        </w:rPr>
        <w:t xml:space="preserve"> </w:t>
      </w:r>
      <w:r>
        <w:rPr>
          <w:rFonts w:ascii="sans-serif" w:hAnsi="sans-serif"/>
          <w:b w:val="false"/>
          <w:color w:val="000000"/>
          <w:sz w:val="22"/>
        </w:rPr>
        <w:t>WHEREOF,</w:t>
      </w:r>
      <w:r>
        <w:rPr>
          <w:color w:val="000000"/>
        </w:rPr>
        <w:t xml:space="preserve"> </w:t>
      </w:r>
      <w:r>
        <w:rPr>
          <w:rFonts w:ascii="sans-serif" w:hAnsi="sans-serif"/>
          <w:b w:val="false"/>
          <w:color w:val="000000"/>
          <w:sz w:val="22"/>
        </w:rPr>
        <w:t>and</w:t>
      </w:r>
      <w:r>
        <w:rPr>
          <w:color w:val="000000"/>
        </w:rPr>
        <w:t xml:space="preserve"> </w:t>
      </w:r>
      <w:r>
        <w:rPr>
          <w:rFonts w:ascii="sans-serif" w:hAnsi="sans-serif"/>
          <w:b w:val="false"/>
          <w:color w:val="000000"/>
          <w:sz w:val="22"/>
        </w:rPr>
        <w:t>intending</w:t>
      </w:r>
      <w:r>
        <w:rPr>
          <w:color w:val="000000"/>
        </w:rPr>
        <w:t xml:space="preserve"> </w:t>
      </w:r>
      <w:r>
        <w:rPr>
          <w:rFonts w:ascii="sans-serif" w:hAnsi="sans-serif"/>
          <w:b w:val="false"/>
          <w:color w:val="000000"/>
          <w:sz w:val="22"/>
        </w:rPr>
        <w:t>to</w:t>
      </w:r>
      <w:r>
        <w:rPr>
          <w:color w:val="000000"/>
        </w:rPr>
        <w:t xml:space="preserve"> </w:t>
      </w:r>
      <w:r>
        <w:rPr>
          <w:rFonts w:ascii="sans-serif" w:hAnsi="sans-serif"/>
          <w:b w:val="false"/>
          <w:color w:val="000000"/>
          <w:sz w:val="22"/>
        </w:rPr>
        <w:t>be</w:t>
      </w:r>
      <w:r>
        <w:rPr>
          <w:color w:val="000000"/>
        </w:rPr>
        <w:t xml:space="preserve"> </w:t>
      </w:r>
      <w:r>
        <w:rPr>
          <w:rFonts w:ascii="sans-serif" w:hAnsi="sans-serif"/>
          <w:b w:val="false"/>
          <w:color w:val="000000"/>
          <w:sz w:val="22"/>
        </w:rPr>
        <w:t>legally</w:t>
      </w:r>
      <w:r>
        <w:rPr>
          <w:color w:val="000000"/>
        </w:rPr>
        <w:t xml:space="preserve"> </w:t>
      </w:r>
      <w:r>
        <w:rPr>
          <w:rFonts w:ascii="sans-serif" w:hAnsi="sans-serif"/>
          <w:b w:val="false"/>
          <w:color w:val="000000"/>
          <w:sz w:val="22"/>
        </w:rPr>
        <w:t>bound</w:t>
      </w:r>
      <w:r>
        <w:rPr>
          <w:color w:val="000000"/>
        </w:rPr>
        <w:t xml:space="preserve"> </w:t>
      </w:r>
      <w:r>
        <w:rPr>
          <w:rFonts w:ascii="sans-serif" w:hAnsi="sans-serif"/>
          <w:b w:val="false"/>
          <w:color w:val="000000"/>
          <w:sz w:val="22"/>
        </w:rPr>
        <w:t>hereby,</w:t>
      </w:r>
      <w:r>
        <w:rPr>
          <w:color w:val="000000"/>
        </w:rPr>
        <w:t xml:space="preserve"> </w:t>
      </w:r>
      <w:r>
        <w:rPr>
          <w:rFonts w:ascii="sans-serif" w:hAnsi="sans-serif"/>
          <w:b w:val="false"/>
          <w:color w:val="000000"/>
          <w:sz w:val="22"/>
        </w:rPr>
        <w:t>the</w:t>
      </w:r>
      <w:r>
        <w:rPr>
          <w:color w:val="000000"/>
        </w:rPr>
        <w:t xml:space="preserve"> </w:t>
      </w:r>
      <w:r>
        <w:rPr>
          <w:rFonts w:ascii="sans-serif" w:hAnsi="sans-serif"/>
          <w:b w:val="false"/>
          <w:color w:val="000000"/>
          <w:sz w:val="22"/>
        </w:rPr>
        <w:t>parties</w:t>
      </w:r>
      <w:r>
        <w:rPr>
          <w:color w:val="000000"/>
        </w:rPr>
        <w:t xml:space="preserve"> </w:t>
      </w:r>
      <w:r>
        <w:rPr>
          <w:rFonts w:ascii="sans-serif" w:hAnsi="sans-serif"/>
          <w:b w:val="false"/>
          <w:color w:val="000000"/>
          <w:sz w:val="22"/>
        </w:rPr>
        <w:t>have</w:t>
      </w:r>
      <w:r>
        <w:rPr>
          <w:color w:val="000000"/>
        </w:rPr>
        <w:t xml:space="preserve"> </w:t>
      </w:r>
      <w:r>
        <w:rPr>
          <w:rFonts w:ascii="sans-serif" w:hAnsi="sans-serif"/>
          <w:b w:val="false"/>
          <w:color w:val="000000"/>
          <w:sz w:val="22"/>
        </w:rPr>
        <w:t>executed</w:t>
      </w:r>
      <w:r>
        <w:rPr>
          <w:color w:val="000000"/>
        </w:rPr>
        <w:t xml:space="preserve"> </w:t>
      </w:r>
      <w:r>
        <w:rPr>
          <w:rFonts w:ascii="sans-serif" w:hAnsi="sans-serif"/>
          <w:b w:val="false"/>
          <w:color w:val="000000"/>
          <w:sz w:val="22"/>
        </w:rPr>
        <w:t>the foregoing Agreement this 25th day of March, 2026.</w:t>
      </w:r>
    </w:p>
    <w:p>
      <w:pPr>
        <w:pStyle w:val="TextBody"/>
        <w:bidi w:val="0"/>
        <w:spacing w:before="0" w:after="0"/>
        <w:jc w:val="left"/>
        <w:rPr/>
      </w:pPr>
      <w:r>
        <w:rPr/>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EMPLOYEE</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/s/ JEFFREY L FLECK</w:t>
      </w:r>
    </w:p>
    <w:p>
      <w:pPr>
        <w:pStyle w:val="TextBody"/>
        <w:bidi w:val="0"/>
        <w:spacing w:lineRule="auto" w:line="556" w:before="0" w:after="0"/>
        <w:jc w:val="both"/>
        <w:rPr>
          <w:rFonts w:ascii="sans-serif" w:hAnsi="sans-serif"/>
          <w:b w:val="false"/>
          <w:color w:val="000000"/>
          <w:sz w:val="22"/>
        </w:rPr>
      </w:pPr>
      <w:r>
        <w:rPr>
          <w:rFonts w:ascii="sans-serif" w:hAnsi="sans-serif"/>
          <w:b w:val="false"/>
          <w:color w:val="000000"/>
          <w:sz w:val="22"/>
        </w:rPr>
        <w:t>DATE: 03/25/2026</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EMPLOYER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 RICHARD SHAPREN, VP HRBP</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QUAKER HOUGHTON DBA</w: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QUAKER HOUGHTON</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DATE: 03/26/2026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29540"/>
                <wp:effectExtent l="0" t="0" r="0" b="0"/>
                <wp:wrapNone/>
                <wp:docPr id="85" name="Frame83"/>
                <a:graphic xmlns:a="http://schemas.openxmlformats.org/drawingml/2006/main">
                  <a:graphicData uri="http://schemas.microsoft.com/office/word/2010/wordprocessingShape">
                    <wps:wsp>
                      <wps:cNvSpPr txBox="1"/>
                      <wps:spPr>
                        <a:xfrm>
                          <a:off x="0" y="0"/>
                          <a:ext cx="6480175" cy="129540"/>
                        </a:xfrm>
                        <a:prstGeom prst="rect"/>
                        <a:solidFill>
                          <a:srgbClr val="FFFFFF"/>
                        </a:solidFill>
                      </wps:spPr>
                      <wps:txb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OF THE COMPANY PURSUANT TO RULE 13a 14(a) OF THE SECURITIES EXCHANGE ACT OF 1934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A. Berquist,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Quaker Chemical Corporation;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53" w:type="dxa"/>
        <w:jc w:val="left"/>
        <w:tblInd w:w="0" w:type="dxa"/>
        <w:tblLayout w:type="fixed"/>
        <w:tblCellMar>
          <w:top w:w="28" w:type="dxa"/>
          <w:left w:w="28" w:type="dxa"/>
          <w:bottom w:w="28" w:type="dxa"/>
          <w:right w:w="28" w:type="dxa"/>
        </w:tblCellMar>
      </w:tblPr>
      <w:tblGrid>
        <w:gridCol w:w="645"/>
        <w:gridCol w:w="568"/>
        <w:gridCol w:w="571"/>
        <w:gridCol w:w="605"/>
        <w:gridCol w:w="605"/>
        <w:gridCol w:w="85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Joseph A. Berquist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OF THE COMPANY PURSUANT TO RULE 13a-14(a) OF THE SECURITIES EXCHANGE ACT OF 1934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Thomas Coler, certify that: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Quaker Chemical Corporation;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839" w:type="dxa"/>
        <w:jc w:val="left"/>
        <w:tblInd w:w="0" w:type="dxa"/>
        <w:tblLayout w:type="fixed"/>
        <w:tblCellMar>
          <w:top w:w="28" w:type="dxa"/>
          <w:left w:w="28" w:type="dxa"/>
          <w:bottom w:w="28" w:type="dxa"/>
          <w:right w:w="28" w:type="dxa"/>
        </w:tblCellMar>
      </w:tblPr>
      <w:tblGrid>
        <w:gridCol w:w="645"/>
        <w:gridCol w:w="568"/>
        <w:gridCol w:w="571"/>
        <w:gridCol w:w="602"/>
        <w:gridCol w:w="602"/>
        <w:gridCol w:w="85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Thomas Coler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certifies that the Form 10-Q Quarterly Report of Quaker Chemical Corporation (the “Company”) for the quarterly period ended March 31, 2026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598" w:type="dxa"/>
        <w:jc w:val="left"/>
        <w:tblInd w:w="0" w:type="dxa"/>
        <w:tblLayout w:type="fixed"/>
        <w:tblCellMar>
          <w:top w:w="28" w:type="dxa"/>
          <w:left w:w="28" w:type="dxa"/>
          <w:bottom w:w="28" w:type="dxa"/>
          <w:right w:w="28" w:type="dxa"/>
        </w:tblCellMar>
      </w:tblPr>
      <w:tblGrid>
        <w:gridCol w:w="645"/>
        <w:gridCol w:w="568"/>
        <w:gridCol w:w="571"/>
        <w:gridCol w:w="1408"/>
        <w:gridCol w:w="1408"/>
        <w:gridCol w:w="199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81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Joseph A. Berquist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of Quaker Chemical Corporation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certifies that the Form 10-Q Quarterly Report of Quaker Chemical Corporation (the “Company”) for the quarterly period ended March 31, 2026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538" w:type="dxa"/>
        <w:jc w:val="left"/>
        <w:tblInd w:w="0" w:type="dxa"/>
        <w:tblLayout w:type="fixed"/>
        <w:tblCellMar>
          <w:top w:w="28" w:type="dxa"/>
          <w:left w:w="28" w:type="dxa"/>
          <w:bottom w:w="28" w:type="dxa"/>
          <w:right w:w="28" w:type="dxa"/>
        </w:tblCellMar>
      </w:tblPr>
      <w:tblGrid>
        <w:gridCol w:w="645"/>
        <w:gridCol w:w="568"/>
        <w:gridCol w:w="571"/>
        <w:gridCol w:w="1392"/>
        <w:gridCol w:w="1392"/>
        <w:gridCol w:w="197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Thomas Coler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Thomas Coler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of Quaker Chemical Corporation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62/000008136219000013/exhibit31.htm" TargetMode="External"/><Relationship Id="rId3" Type="http://schemas.openxmlformats.org/officeDocument/2006/relationships/hyperlink" Target="https://www.sec.gov/Archives/edgar/data/81362/000110465922128616/tm2233147d1_ex3-1.htm" TargetMode="Externa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40476</Words>
  <Characters>230451</Characters>
  <CharactersWithSpaces>269443</CharactersWithSpaces>
  <Paragraphs>2822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