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No.5)</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Quaker Chemical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747316107</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 7.)</w:t>
      </w:r>
    </w:p>
    <w:p>
      <w:pPr>
        <w:spacing w:after="0" w:line="200" w:lineRule="exact"/>
        <w:rPr>
          <w:sz w:val="24"/>
          <w:szCs w:val="24"/>
          <w:color w:val="auto"/>
        </w:rPr>
      </w:pPr>
    </w:p>
    <w:p>
      <w:pPr>
        <w:spacing w:after="0" w:line="21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7 Pages</w:t>
      </w:r>
    </w:p>
    <w:p>
      <w:pPr>
        <w:spacing w:after="0" w:line="377" w:lineRule="exact"/>
        <w:rPr>
          <w:sz w:val="24"/>
          <w:szCs w:val="24"/>
          <w:color w:val="auto"/>
        </w:rPr>
      </w:pPr>
    </w:p>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747316107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hanging="421"/>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220"/>
        <w:spacing w:after="0"/>
        <w:tabs>
          <w:tab w:leader="none" w:pos="2720" w:val="left"/>
        </w:tabs>
        <w:rPr>
          <w:sz w:val="20"/>
          <w:szCs w:val="20"/>
          <w:color w:val="auto"/>
        </w:rPr>
      </w:pPr>
      <w:r>
        <w:rPr>
          <w:rFonts w:ascii="Courier New" w:cs="Courier New" w:eastAsia="Courier New" w:hAnsi="Courier New"/>
          <w:sz w:val="18"/>
          <w:szCs w:val="18"/>
          <w:color w:val="auto"/>
        </w:rPr>
        <w:t>Quest Advisory Corp.</w:t>
      </w:r>
      <w:r>
        <w:rPr>
          <w:sz w:val="20"/>
          <w:szCs w:val="20"/>
          <w:color w:val="auto"/>
        </w:rPr>
        <w:tab/>
      </w:r>
      <w:r>
        <w:rPr>
          <w:rFonts w:ascii="Courier New" w:cs="Courier New" w:eastAsia="Courier New" w:hAnsi="Courier New"/>
          <w:sz w:val="16"/>
          <w:szCs w:val="16"/>
          <w:color w:val="auto"/>
        </w:rPr>
        <w:t>13-2579297</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8"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220" w:right="5779" w:hanging="1"/>
        <w:spacing w:after="0" w:line="470" w:lineRule="auto"/>
        <w:tabs>
          <w:tab w:leader="none" w:pos="64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9"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533,414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533,414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spacing w:after="0" w:line="207" w:lineRule="exact"/>
        <w:rPr>
          <w:sz w:val="24"/>
          <w:szCs w:val="24"/>
          <w:color w:val="auto"/>
        </w:rPr>
      </w:pPr>
    </w:p>
    <w:p>
      <w:pPr>
        <w:ind w:left="540" w:right="5159" w:hanging="321"/>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ectPr>
          <w:pgSz w:w="11900" w:h="16838" w:orient="portrait"/>
          <w:cols w:equalWidth="0" w:num="1">
            <w:col w:w="10219"/>
          </w:cols>
          <w:pgMar w:left="240" w:top="244" w:right="1440" w:bottom="0" w:gutter="0" w:footer="0" w:header="0"/>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533,414</w:t>
      </w:r>
    </w:p>
    <w:p>
      <w:pPr>
        <w:spacing w:after="0" w:line="201"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202"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6.05%</w:t>
      </w:r>
    </w:p>
    <w:p>
      <w:pPr>
        <w:spacing w:after="0" w:line="206" w:lineRule="exact"/>
        <w:rPr>
          <w:rFonts w:ascii="Courier New" w:cs="Courier New" w:eastAsia="Courier New" w:hAnsi="Courier New"/>
          <w:sz w:val="18"/>
          <w:szCs w:val="18"/>
          <w:color w:val="auto"/>
        </w:rPr>
      </w:pPr>
    </w:p>
    <w:p>
      <w:pPr>
        <w:ind w:left="540" w:right="7059" w:hanging="427"/>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747316107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ind w:left="740" w:hanging="416"/>
        <w:spacing w:after="0" w:line="238"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0"/>
          <w:szCs w:val="20"/>
          <w:color w:val="auto"/>
        </w:rPr>
      </w:pPr>
    </w:p>
    <w:p>
      <w:pPr>
        <w:ind w:left="740"/>
        <w:spacing w:after="0"/>
        <w:tabs>
          <w:tab w:leader="none" w:pos="2840" w:val="left"/>
        </w:tabs>
        <w:rPr>
          <w:sz w:val="20"/>
          <w:szCs w:val="20"/>
          <w:color w:val="auto"/>
        </w:rPr>
      </w:pPr>
      <w:r>
        <w:rPr>
          <w:rFonts w:ascii="Courier New" w:cs="Courier New" w:eastAsia="Courier New" w:hAnsi="Courier New"/>
          <w:sz w:val="18"/>
          <w:szCs w:val="18"/>
          <w:color w:val="auto"/>
        </w:rPr>
        <w:t>Charles M. Royce</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pacing w:after="0" w:line="21" w:lineRule="exact"/>
        <w:rPr>
          <w:rFonts w:ascii="Courier New" w:cs="Courier New" w:eastAsia="Courier New" w:hAnsi="Courier New"/>
          <w:sz w:val="16"/>
          <w:szCs w:val="16"/>
          <w:color w:val="auto"/>
        </w:rPr>
      </w:pPr>
    </w:p>
    <w:p>
      <w:pPr>
        <w:ind w:left="5700" w:hanging="530"/>
        <w:spacing w:after="0"/>
        <w:tabs>
          <w:tab w:leader="none" w:pos="570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spacing w:after="0" w:line="21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(b)</w:t>
      </w: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520" w:type="dxa"/>
            <w:vAlign w:val="bottom"/>
          </w:tcPr>
          <w:p>
            <w:pPr>
              <w:ind w:left="620"/>
              <w:spacing w:after="0"/>
              <w:rPr>
                <w:sz w:val="20"/>
                <w:szCs w:val="20"/>
                <w:color w:val="auto"/>
              </w:rPr>
            </w:pPr>
            <w:r>
              <w:rPr>
                <w:rFonts w:ascii="Courier New" w:cs="Courier New" w:eastAsia="Courier New" w:hAnsi="Courier New"/>
                <w:sz w:val="18"/>
                <w:szCs w:val="18"/>
                <w:color w:val="auto"/>
              </w:rPr>
              <w:t>U.S.A.</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405"/>
        </w:trPr>
        <w:tc>
          <w:tcPr>
            <w:tcW w:w="152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640" w:type="dxa"/>
            <w:vAlign w:val="bottom"/>
          </w:tcPr>
          <w:p>
            <w:pPr>
              <w:jc w:val="center"/>
              <w:ind w:left="112"/>
              <w:spacing w:after="0"/>
              <w:rPr>
                <w:sz w:val="20"/>
                <w:szCs w:val="20"/>
                <w:color w:val="auto"/>
              </w:rPr>
            </w:pPr>
            <w:r>
              <w:rPr>
                <w:rFonts w:ascii="Courier New" w:cs="Courier New" w:eastAsia="Courier New" w:hAnsi="Courier New"/>
                <w:sz w:val="18"/>
                <w:szCs w:val="18"/>
                <w:color w:val="auto"/>
              </w:rPr>
              <w:t>5</w:t>
            </w:r>
          </w:p>
        </w:tc>
        <w:tc>
          <w:tcPr>
            <w:tcW w:w="32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6</w:t>
            </w:r>
          </w:p>
        </w:tc>
        <w:tc>
          <w:tcPr>
            <w:tcW w:w="3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7</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See</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Item 2(a) of attached schedule</w:t>
            </w: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rPr>
              <w:t>8</w:t>
            </w:r>
          </w:p>
        </w:tc>
        <w:tc>
          <w:tcPr>
            <w:tcW w:w="3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2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rPr>
              <w:t>WITH</w:t>
            </w:r>
          </w:p>
        </w:tc>
        <w:tc>
          <w:tcPr>
            <w:tcW w:w="640" w:type="dxa"/>
            <w:vAlign w:val="bottom"/>
          </w:tcPr>
          <w:p>
            <w:pPr>
              <w:spacing w:after="0"/>
              <w:rPr>
                <w:sz w:val="17"/>
                <w:szCs w:val="17"/>
                <w:color w:val="auto"/>
              </w:rPr>
            </w:pPr>
          </w:p>
        </w:tc>
        <w:tc>
          <w:tcPr>
            <w:tcW w:w="3200" w:type="dxa"/>
            <w:vAlign w:val="bottom"/>
          </w:tcPr>
          <w:p>
            <w:pPr>
              <w:spacing w:after="0"/>
              <w:rPr>
                <w:sz w:val="17"/>
                <w:szCs w:val="17"/>
                <w:color w:val="auto"/>
              </w:rPr>
            </w:pPr>
          </w:p>
        </w:tc>
      </w:tr>
    </w:tbl>
    <w:p>
      <w:pPr>
        <w:spacing w:after="0" w:line="207" w:lineRule="exact"/>
        <w:rPr>
          <w:sz w:val="20"/>
          <w:szCs w:val="20"/>
          <w:color w:val="auto"/>
        </w:rPr>
      </w:pPr>
    </w:p>
    <w:p>
      <w:pPr>
        <w:ind w:left="640" w:right="5059" w:hanging="316"/>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320" w:type="dxa"/>
            <w:vAlign w:val="bottom"/>
          </w:tcPr>
          <w:p>
            <w:pPr>
              <w:ind w:left="420"/>
              <w:spacing w:after="0"/>
              <w:rPr>
                <w:sz w:val="20"/>
                <w:szCs w:val="20"/>
                <w:color w:val="auto"/>
              </w:rPr>
            </w:pPr>
            <w:r>
              <w:rPr>
                <w:rFonts w:ascii="Courier New" w:cs="Courier New" w:eastAsia="Courier New" w:hAnsi="Courier New"/>
                <w:sz w:val="18"/>
                <w:szCs w:val="18"/>
                <w:color w:val="auto"/>
              </w:rPr>
              <w:t>See Item</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2(a) of</w:t>
            </w:r>
          </w:p>
        </w:tc>
        <w:tc>
          <w:tcPr>
            <w:tcW w:w="1940" w:type="dxa"/>
            <w:vAlign w:val="bottom"/>
          </w:tcPr>
          <w:p>
            <w:pPr>
              <w:ind w:left="60"/>
              <w:spacing w:after="0"/>
              <w:rPr>
                <w:sz w:val="20"/>
                <w:szCs w:val="20"/>
                <w:color w:val="auto"/>
              </w:rPr>
            </w:pPr>
            <w:r>
              <w:rPr>
                <w:rFonts w:ascii="Courier New" w:cs="Courier New" w:eastAsia="Courier New" w:hAnsi="Courier New"/>
                <w:sz w:val="18"/>
                <w:szCs w:val="18"/>
                <w:color w:val="auto"/>
              </w:rPr>
              <w:t>attached schedule</w:t>
            </w:r>
          </w:p>
        </w:tc>
        <w:tc>
          <w:tcPr>
            <w:tcW w:w="960" w:type="dxa"/>
            <w:vAlign w:val="bottom"/>
          </w:tcPr>
          <w:p>
            <w:pPr>
              <w:spacing w:after="0"/>
              <w:rPr>
                <w:sz w:val="17"/>
                <w:szCs w:val="17"/>
                <w:color w:val="auto"/>
              </w:rPr>
            </w:pPr>
          </w:p>
        </w:tc>
      </w:tr>
      <w:tr>
        <w:trPr>
          <w:trHeight w:val="203"/>
        </w:trPr>
        <w:tc>
          <w:tcPr>
            <w:tcW w:w="2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10  CHECK BOX IF THE</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AGGREGATE AMOUNT IN ROW (9)</w:t>
            </w:r>
          </w:p>
        </w:tc>
      </w:tr>
      <w:tr>
        <w:trPr>
          <w:trHeight w:val="203"/>
        </w:trPr>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EXCLUDES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left="640" w:right="4419" w:hanging="421"/>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See Item 2(a) of attached schedule</w:t>
      </w:r>
    </w:p>
    <w:p>
      <w:pPr>
        <w:spacing w:after="0" w:line="208" w:lineRule="exact"/>
        <w:rPr>
          <w:rFonts w:ascii="Courier New" w:cs="Courier New" w:eastAsia="Courier New" w:hAnsi="Courier New"/>
          <w:sz w:val="18"/>
          <w:szCs w:val="18"/>
          <w:color w:val="auto"/>
        </w:rPr>
      </w:pPr>
    </w:p>
    <w:p>
      <w:pPr>
        <w:ind w:left="640" w:right="6939" w:hanging="421"/>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2300" w:val="left"/>
        </w:tabs>
        <w:rPr>
          <w:sz w:val="20"/>
          <w:szCs w:val="20"/>
          <w:color w:val="auto"/>
        </w:rPr>
      </w:pPr>
      <w:r>
        <w:rPr>
          <w:rFonts w:ascii="Courier New" w:cs="Courier New" w:eastAsia="Courier New" w:hAnsi="Courier New"/>
          <w:sz w:val="18"/>
          <w:szCs w:val="18"/>
          <w:color w:val="auto"/>
        </w:rPr>
        <w:t>CUSIP No. 747316107</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19" w:lineRule="exact"/>
        <w:rPr>
          <w:sz w:val="20"/>
          <w:szCs w:val="20"/>
          <w:color w:val="auto"/>
        </w:rPr>
      </w:pPr>
    </w:p>
    <w:p>
      <w:pPr>
        <w:sectPr>
          <w:pgSz w:w="11900" w:h="16838" w:orient="portrait"/>
          <w:cols w:equalWidth="0" w:num="2">
            <w:col w:w="2960" w:space="200"/>
            <w:col w:w="7059"/>
          </w:cols>
          <w:pgMar w:left="240" w:top="514" w:right="1440" w:bottom="1440" w:gutter="0" w:footer="0" w:header="0"/>
        </w:sectPr>
      </w:pPr>
    </w:p>
    <w:p>
      <w:pPr>
        <w:spacing w:after="0" w:line="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Quaker Chemical Corporation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Ms. Karl Spaeth</w:t>
      </w:r>
    </w:p>
    <w:p>
      <w:pPr>
        <w:spacing w:after="0" w:line="238" w:lineRule="auto"/>
        <w:rPr>
          <w:sz w:val="20"/>
          <w:szCs w:val="20"/>
          <w:color w:val="auto"/>
        </w:rPr>
      </w:pPr>
      <w:r>
        <w:rPr>
          <w:rFonts w:ascii="Courier New" w:cs="Courier New" w:eastAsia="Courier New" w:hAnsi="Courier New"/>
          <w:sz w:val="18"/>
          <w:szCs w:val="18"/>
          <w:color w:val="auto"/>
        </w:rPr>
        <w:t>Vice President and Corporate Secretary</w:t>
      </w:r>
    </w:p>
    <w:p>
      <w:pPr>
        <w:spacing w:after="0"/>
        <w:rPr>
          <w:sz w:val="20"/>
          <w:szCs w:val="20"/>
          <w:color w:val="auto"/>
        </w:rPr>
      </w:pPr>
      <w:r>
        <w:rPr>
          <w:rFonts w:ascii="Courier New" w:cs="Courier New" w:eastAsia="Courier New" w:hAnsi="Courier New"/>
          <w:sz w:val="18"/>
          <w:szCs w:val="18"/>
          <w:color w:val="auto"/>
        </w:rPr>
        <w:t>Elm and Lee Streets</w:t>
      </w:r>
    </w:p>
    <w:p>
      <w:pPr>
        <w:spacing w:after="0" w:line="237" w:lineRule="auto"/>
        <w:tabs>
          <w:tab w:leader="none" w:pos="1980" w:val="left"/>
        </w:tabs>
        <w:rPr>
          <w:sz w:val="20"/>
          <w:szCs w:val="20"/>
          <w:color w:val="auto"/>
        </w:rPr>
      </w:pPr>
      <w:r>
        <w:rPr>
          <w:rFonts w:ascii="Courier New" w:cs="Courier New" w:eastAsia="Courier New" w:hAnsi="Courier New"/>
          <w:sz w:val="18"/>
          <w:szCs w:val="18"/>
          <w:color w:val="auto"/>
        </w:rPr>
        <w:t>Conshohocken, PA</w:t>
        <w:tab/>
        <w:t>19428</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Quest Advisory Corp. ("Quest") and Charles M. Royce. Mr. Royce may be deemed to be a controlling person of Quest and as such may be deemed to beneficially own the shares of Common Stock of Quaker Chemical Corporation</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beneficially owned by Quest. Mr. Royce does not own any shares outside of Quest, and disclaims beneficial ownership of the shares held by Quest.</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of each is:</w:t>
      </w:r>
    </w:p>
    <w:p>
      <w:pPr>
        <w:spacing w:after="0" w:line="201" w:lineRule="exact"/>
        <w:rPr>
          <w:sz w:val="20"/>
          <w:szCs w:val="20"/>
          <w:color w:val="auto"/>
        </w:rPr>
      </w:pPr>
    </w:p>
    <w:p>
      <w:pPr>
        <w:ind w:left="540"/>
        <w:spacing w:after="0"/>
        <w:tabs>
          <w:tab w:leader="none" w:pos="5040" w:val="left"/>
        </w:tabs>
        <w:rPr>
          <w:sz w:val="20"/>
          <w:szCs w:val="20"/>
          <w:color w:val="auto"/>
        </w:rPr>
      </w:pPr>
      <w:r>
        <w:rPr>
          <w:rFonts w:ascii="Courier New" w:cs="Courier New" w:eastAsia="Courier New" w:hAnsi="Courier New"/>
          <w:sz w:val="18"/>
          <w:szCs w:val="18"/>
          <w:color w:val="auto"/>
        </w:rPr>
        <w:t>1414 Avenue of the Americas, New York, NY</w:t>
        <w:tab/>
        <w:t>10019</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right="4319" w:firstLine="527"/>
        <w:spacing w:after="0" w:line="235" w:lineRule="auto"/>
        <w:rPr>
          <w:sz w:val="20"/>
          <w:szCs w:val="20"/>
          <w:color w:val="auto"/>
        </w:rPr>
      </w:pPr>
      <w:r>
        <w:rPr>
          <w:rFonts w:ascii="Courier New" w:cs="Courier New" w:eastAsia="Courier New" w:hAnsi="Courier New"/>
          <w:sz w:val="18"/>
          <w:szCs w:val="18"/>
          <w:color w:val="auto"/>
        </w:rPr>
        <w:t>Quest is a New York Corporation, and Mr. Royce is a citizen of the U.S.A.</w:t>
      </w: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747316107</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line="238" w:lineRule="auto"/>
        <w:rPr>
          <w:sz w:val="20"/>
          <w:szCs w:val="20"/>
          <w:color w:val="auto"/>
        </w:rPr>
      </w:pPr>
      <w:r>
        <w:rPr>
          <w:rFonts w:ascii="Courier New" w:cs="Courier New" w:eastAsia="Courier New" w:hAnsi="Courier New"/>
          <w:sz w:val="18"/>
          <w:szCs w:val="18"/>
          <w:color w:val="auto"/>
        </w:rPr>
        <w:t>2(b), check whether the person filing is a:</w:t>
      </w:r>
    </w:p>
    <w:p>
      <w:pPr>
        <w:spacing w:after="0" w:line="207" w:lineRule="exact"/>
        <w:rPr>
          <w:sz w:val="20"/>
          <w:szCs w:val="20"/>
          <w:color w:val="auto"/>
        </w:rPr>
      </w:pPr>
    </w:p>
    <w:p>
      <w:pPr>
        <w:ind w:left="1380" w:right="3479" w:hanging="845"/>
        <w:spacing w:after="0" w:line="235" w:lineRule="auto"/>
        <w:tabs>
          <w:tab w:leader="none" w:pos="9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rFonts w:ascii="Courier New" w:cs="Courier New" w:eastAsia="Courier New" w:hAnsi="Courier New"/>
          <w:sz w:val="18"/>
          <w:szCs w:val="18"/>
          <w:color w:val="auto"/>
        </w:rPr>
      </w:pPr>
    </w:p>
    <w:p>
      <w:pPr>
        <w:ind w:left="1380" w:right="3479" w:hanging="845"/>
        <w:spacing w:after="0" w:line="235" w:lineRule="auto"/>
        <w:tabs>
          <w:tab w:leader="none" w:pos="9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5" w:lineRule="exact"/>
        <w:rPr>
          <w:rFonts w:ascii="Courier New" w:cs="Courier New" w:eastAsia="Courier New" w:hAnsi="Courier New"/>
          <w:sz w:val="18"/>
          <w:szCs w:val="18"/>
          <w:color w:val="auto"/>
        </w:rPr>
      </w:pPr>
    </w:p>
    <w:p>
      <w:pPr>
        <w:ind w:left="1380" w:right="3779" w:hanging="845"/>
        <w:spacing w:after="0" w:line="235" w:lineRule="auto"/>
        <w:tabs>
          <w:tab w:leader="none" w:pos="9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3479" w:hanging="845"/>
        <w:spacing w:after="0" w:line="237" w:lineRule="auto"/>
        <w:tabs>
          <w:tab w:leader="none" w:pos="95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the provisions of the Employee Retirement Income Security Act of 1974 or Endowment Fund</w:t>
      </w:r>
    </w:p>
    <w:p>
      <w:pPr>
        <w:ind w:left="960" w:hanging="425"/>
        <w:spacing w:after="0" w:line="238"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w:t>
      </w:r>
    </w:p>
    <w:p>
      <w:pPr>
        <w:ind w:left="960" w:hanging="425"/>
        <w:spacing w:after="0" w:line="238"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2300" w:val="left"/>
          <w:tab w:leader="none" w:pos="3140" w:val="left"/>
        </w:tabs>
        <w:rPr>
          <w:sz w:val="20"/>
          <w:szCs w:val="20"/>
          <w:color w:val="auto"/>
        </w:rPr>
      </w:pPr>
      <w:r>
        <w:rPr>
          <w:rFonts w:ascii="Courier New" w:cs="Courier New" w:eastAsia="Courier New" w:hAnsi="Courier New"/>
          <w:sz w:val="18"/>
          <w:szCs w:val="18"/>
          <w:color w:val="auto"/>
        </w:rPr>
        <w:t>CUSIP No. 747316107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7 Pages</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Quest:</w:t>
      </w:r>
      <w:r>
        <w:rPr>
          <w:rFonts w:ascii="Courier New" w:cs="Courier New" w:eastAsia="Courier New" w:hAnsi="Courier New"/>
          <w:sz w:val="16"/>
          <w:szCs w:val="16"/>
          <w:color w:val="auto"/>
        </w:rPr>
        <w:t>533,414</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060"/>
        <w:spacing w:after="0" w:line="238" w:lineRule="auto"/>
        <w:tabs>
          <w:tab w:leader="none" w:pos="2420" w:val="left"/>
        </w:tabs>
        <w:rPr>
          <w:sz w:val="20"/>
          <w:szCs w:val="20"/>
          <w:color w:val="auto"/>
        </w:rPr>
      </w:pPr>
      <w:r>
        <w:rPr>
          <w:rFonts w:ascii="Courier New" w:cs="Courier New" w:eastAsia="Courier New" w:hAnsi="Courier New"/>
          <w:sz w:val="18"/>
          <w:szCs w:val="18"/>
          <w:color w:val="auto"/>
        </w:rPr>
        <w:t>Quest:</w:t>
      </w:r>
      <w:r>
        <w:rPr>
          <w:sz w:val="20"/>
          <w:szCs w:val="20"/>
          <w:color w:val="auto"/>
        </w:rPr>
        <w:tab/>
      </w:r>
      <w:r>
        <w:rPr>
          <w:rFonts w:ascii="Courier New" w:cs="Courier New" w:eastAsia="Courier New" w:hAnsi="Courier New"/>
          <w:sz w:val="18"/>
          <w:szCs w:val="18"/>
          <w:color w:val="auto"/>
        </w:rPr>
        <w:t>6.05%</w:t>
      </w:r>
    </w:p>
    <w:p>
      <w:pPr>
        <w:spacing w:after="0" w:line="202" w:lineRule="exact"/>
        <w:rPr>
          <w:sz w:val="20"/>
          <w:szCs w:val="20"/>
          <w:color w:val="auto"/>
        </w:rPr>
      </w:pPr>
    </w:p>
    <w:p>
      <w:pPr>
        <w:ind w:left="1380" w:hanging="845"/>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3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Quest</w:t>
      </w:r>
      <w:r>
        <w:rPr>
          <w:rFonts w:ascii="Courier New" w:cs="Courier New" w:eastAsia="Courier New" w:hAnsi="Courier New"/>
          <w:sz w:val="16"/>
          <w:szCs w:val="16"/>
          <w:color w:val="auto"/>
        </w:rPr>
        <w:t>533,414</w:t>
      </w:r>
    </w:p>
    <w:p>
      <w:pPr>
        <w:spacing w:after="0" w:line="207" w:lineRule="exact"/>
        <w:rPr>
          <w:rFonts w:ascii="Courier New" w:cs="Courier New" w:eastAsia="Courier New" w:hAnsi="Courier New"/>
          <w:sz w:val="18"/>
          <w:szCs w:val="18"/>
          <w:color w:val="auto"/>
        </w:rPr>
      </w:pPr>
    </w:p>
    <w:p>
      <w:pPr>
        <w:ind w:left="3480" w:right="3999" w:hanging="2524"/>
        <w:spacing w:after="0" w:line="235" w:lineRule="auto"/>
        <w:tabs>
          <w:tab w:leader="none" w:pos="1795"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Quest __________</w:t>
      </w:r>
    </w:p>
    <w:p>
      <w:pPr>
        <w:spacing w:after="0" w:line="203" w:lineRule="exact"/>
        <w:rPr>
          <w:sz w:val="20"/>
          <w:szCs w:val="20"/>
          <w:color w:val="auto"/>
        </w:rPr>
      </w:pPr>
    </w:p>
    <w:p>
      <w:pPr>
        <w:ind w:left="1800" w:hanging="949"/>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p>
      <w:pPr>
        <w:ind w:left="1800"/>
        <w:spacing w:after="0"/>
        <w:tabs>
          <w:tab w:leader="none" w:pos="4000" w:val="left"/>
          <w:tab w:leader="none" w:pos="514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Quest</w:t>
      </w:r>
      <w:r>
        <w:rPr>
          <w:sz w:val="20"/>
          <w:szCs w:val="20"/>
          <w:color w:val="auto"/>
        </w:rPr>
        <w:tab/>
      </w:r>
      <w:r>
        <w:rPr>
          <w:rFonts w:ascii="Courier New" w:cs="Courier New" w:eastAsia="Courier New" w:hAnsi="Courier New"/>
          <w:sz w:val="16"/>
          <w:szCs w:val="16"/>
          <w:color w:val="auto"/>
        </w:rPr>
        <w:t>533,414</w:t>
      </w:r>
    </w:p>
    <w:p>
      <w:pPr>
        <w:spacing w:after="0" w:line="202" w:lineRule="exact"/>
        <w:rPr>
          <w:sz w:val="20"/>
          <w:szCs w:val="20"/>
          <w:color w:val="auto"/>
        </w:rPr>
      </w:pPr>
    </w:p>
    <w:p>
      <w:pPr>
        <w:ind w:left="1800" w:hanging="844"/>
        <w:spacing w:after="0"/>
        <w:tabs>
          <w:tab w:leader="none" w:pos="18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ind w:left="1800"/>
        <w:spacing w:after="0"/>
        <w:tabs>
          <w:tab w:leader="none" w:pos="4420" w:val="left"/>
          <w:tab w:leader="none" w:pos="526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Quest</w:t>
      </w:r>
      <w:r>
        <w:rPr>
          <w:sz w:val="20"/>
          <w:szCs w:val="20"/>
          <w:color w:val="auto"/>
        </w:rPr>
        <w:tab/>
      </w:r>
      <w:r>
        <w:rPr>
          <w:rFonts w:ascii="Courier New" w:cs="Courier New" w:eastAsia="Courier New" w:hAnsi="Courier New"/>
          <w:sz w:val="16"/>
          <w:szCs w:val="16"/>
          <w:color w:val="auto"/>
        </w:rPr>
        <w:t>__________</w:t>
      </w:r>
    </w:p>
    <w:p>
      <w:pPr>
        <w:spacing w:after="0" w:line="207" w:lineRule="exact"/>
        <w:rPr>
          <w:sz w:val="20"/>
          <w:szCs w:val="20"/>
          <w:color w:val="auto"/>
        </w:rPr>
      </w:pPr>
    </w:p>
    <w:p>
      <w:pPr>
        <w:ind w:left="120" w:right="3679" w:hanging="104"/>
        <w:spacing w:after="0" w:line="235" w:lineRule="auto"/>
        <w:rPr>
          <w:sz w:val="20"/>
          <w:szCs w:val="20"/>
          <w:color w:val="auto"/>
        </w:rPr>
      </w:pPr>
      <w:r>
        <w:rPr>
          <w:rFonts w:ascii="Courier New" w:cs="Courier New" w:eastAsia="Courier New" w:hAnsi="Courier New"/>
          <w:sz w:val="18"/>
          <w:szCs w:val="18"/>
          <w:color w:val="auto"/>
        </w:rPr>
        <w:t>See item 2(a) above for information relating to the beneficial ownership of Mr. Royce.</w:t>
      </w:r>
    </w:p>
    <w:p>
      <w:pPr>
        <w:spacing w:after="0" w:line="203" w:lineRule="exact"/>
        <w:rPr>
          <w:sz w:val="20"/>
          <w:szCs w:val="20"/>
          <w:color w:val="auto"/>
        </w:rPr>
      </w:pPr>
    </w:p>
    <w:p>
      <w:pPr>
        <w:spacing w:after="0"/>
        <w:tabs>
          <w:tab w:leader="none" w:pos="940" w:val="left"/>
          <w:tab w:leader="none" w:pos="66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960" w:right="33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filing is on behalf of Quest and Mr. Royce as</w:t>
      </w:r>
    </w:p>
    <w:p>
      <w:pPr>
        <w:spacing w:after="0"/>
        <w:tabs>
          <w:tab w:leader="none" w:pos="5880" w:val="left"/>
        </w:tabs>
        <w:rPr>
          <w:sz w:val="20"/>
          <w:szCs w:val="20"/>
          <w:color w:val="auto"/>
        </w:rPr>
      </w:pPr>
      <w:r>
        <w:rPr>
          <w:rFonts w:ascii="Courier New" w:cs="Courier New" w:eastAsia="Courier New" w:hAnsi="Courier New"/>
          <w:sz w:val="18"/>
          <w:szCs w:val="18"/>
          <w:color w:val="auto"/>
        </w:rPr>
        <w:t>members of a group pursuant to Rule 13d-(1)(b)(ii)(H).</w:t>
      </w:r>
      <w:r>
        <w:rPr>
          <w:sz w:val="20"/>
          <w:szCs w:val="20"/>
          <w:color w:val="auto"/>
        </w:rPr>
        <w:tab/>
      </w:r>
      <w:r>
        <w:rPr>
          <w:rFonts w:ascii="Courier New" w:cs="Courier New" w:eastAsia="Courier New" w:hAnsi="Courier New"/>
          <w:sz w:val="16"/>
          <w:szCs w:val="16"/>
          <w:color w:val="auto"/>
        </w:rPr>
        <w:t>Quest is</w:t>
      </w:r>
    </w:p>
    <w:p>
      <w:pPr>
        <w:spacing w:after="0" w:line="5"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an investment adviser registered under Section 203 of the Investment Advisers Act of 1940.</w:t>
      </w:r>
    </w:p>
    <w:p>
      <w:pPr>
        <w:spacing w:after="0" w:line="203" w:lineRule="exact"/>
        <w:rPr>
          <w:sz w:val="20"/>
          <w:szCs w:val="20"/>
          <w:color w:val="auto"/>
        </w:rPr>
      </w:pPr>
    </w:p>
    <w:p>
      <w:pPr>
        <w:jc w:val="center"/>
        <w:ind w:right="5999"/>
        <w:spacing w:after="0"/>
        <w:tabs>
          <w:tab w:leader="none" w:pos="30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jc w:val="center"/>
        <w:ind w:right="5999"/>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280" w:type="dxa"/>
            <w:vAlign w:val="bottom"/>
            <w:gridSpan w:val="3"/>
          </w:tcPr>
          <w:p>
            <w:pPr>
              <w:spacing w:after="0"/>
              <w:rPr>
                <w:sz w:val="20"/>
                <w:szCs w:val="20"/>
                <w:color w:val="auto"/>
              </w:rPr>
            </w:pPr>
            <w:r>
              <w:rPr>
                <w:rFonts w:ascii="Courier New" w:cs="Courier New" w:eastAsia="Courier New" w:hAnsi="Courier New"/>
                <w:sz w:val="18"/>
                <w:szCs w:val="18"/>
                <w:color w:val="auto"/>
              </w:rPr>
              <w:t>CUSIP No. 747316107</w:t>
            </w: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4700" w:type="dxa"/>
            <w:vAlign w:val="bottom"/>
          </w:tcPr>
          <w:p>
            <w:pPr>
              <w:ind w:left="260"/>
              <w:spacing w:after="0"/>
              <w:rPr>
                <w:sz w:val="20"/>
                <w:szCs w:val="20"/>
                <w:color w:val="auto"/>
              </w:rPr>
            </w:pPr>
            <w:r>
              <w:rPr>
                <w:rFonts w:ascii="Courier New" w:cs="Courier New" w:eastAsia="Courier New" w:hAnsi="Courier New"/>
                <w:sz w:val="18"/>
                <w:szCs w:val="18"/>
                <w:color w:val="auto"/>
              </w:rPr>
              <w:t>Page 6 of 7 Pages</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10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Certification.</w:t>
            </w:r>
          </w:p>
        </w:tc>
        <w:tc>
          <w:tcPr>
            <w:tcW w:w="4700" w:type="dxa"/>
            <w:vAlign w:val="bottom"/>
          </w:tcPr>
          <w:p>
            <w:pPr>
              <w:spacing w:after="0"/>
              <w:rPr>
                <w:sz w:val="24"/>
                <w:szCs w:val="24"/>
                <w:color w:val="auto"/>
              </w:rPr>
            </w:pPr>
          </w:p>
        </w:tc>
      </w:tr>
      <w:tr>
        <w:trPr>
          <w:trHeight w:val="405"/>
        </w:trPr>
        <w:tc>
          <w:tcPr>
            <w:tcW w:w="122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By signing</w:t>
            </w:r>
          </w:p>
        </w:tc>
        <w:tc>
          <w:tcPr>
            <w:tcW w:w="6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below each of the undersigned certifies that, to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best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knowledge</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 belief, the securities referred to above were</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in</w:t>
            </w:r>
          </w:p>
        </w:tc>
        <w:tc>
          <w:tcPr>
            <w:tcW w:w="6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ordinary course of business and were not acquired for</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purpose</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and do</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not have the effect of changing or influencing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control</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the issuer</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such securities and were not acquired in</w:t>
            </w:r>
          </w:p>
        </w:tc>
      </w:tr>
      <w:tr>
        <w:trPr>
          <w:trHeight w:val="203"/>
        </w:trPr>
        <w:tc>
          <w:tcPr>
            <w:tcW w:w="2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connection with or as</w:t>
            </w:r>
          </w:p>
        </w:tc>
        <w:tc>
          <w:tcPr>
            <w:tcW w:w="5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participant in any transaction having such</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purpose</w:t>
            </w:r>
          </w:p>
        </w:tc>
        <w:tc>
          <w:tcPr>
            <w:tcW w:w="1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effect.</w:t>
            </w:r>
          </w:p>
        </w:tc>
        <w:tc>
          <w:tcPr>
            <w:tcW w:w="620" w:type="dxa"/>
            <w:vAlign w:val="bottom"/>
          </w:tcPr>
          <w:p>
            <w:pPr>
              <w:spacing w:after="0"/>
              <w:rPr>
                <w:sz w:val="17"/>
                <w:szCs w:val="17"/>
                <w:color w:val="auto"/>
              </w:rPr>
            </w:pPr>
          </w:p>
        </w:tc>
        <w:tc>
          <w:tcPr>
            <w:tcW w:w="4700" w:type="dxa"/>
            <w:vAlign w:val="bottom"/>
          </w:tcPr>
          <w:p>
            <w:pPr>
              <w:spacing w:after="0"/>
              <w:rPr>
                <w:sz w:val="17"/>
                <w:szCs w:val="17"/>
                <w:color w:val="auto"/>
              </w:rPr>
            </w:pPr>
          </w:p>
        </w:tc>
      </w:tr>
    </w:tbl>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Exhibits 1. Agreement to file Schedule 13G jointly.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its knowledge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belief, each of the undersigned certifies that the information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this statement with respect to it is true, complete and correct.</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1996</w:t>
      </w:r>
    </w:p>
    <w:p>
      <w:pPr>
        <w:spacing w:after="0" w:line="216" w:lineRule="exact"/>
        <w:rPr>
          <w:sz w:val="20"/>
          <w:szCs w:val="20"/>
          <w:color w:val="auto"/>
        </w:rPr>
      </w:pPr>
    </w:p>
    <w:p>
      <w:pPr>
        <w:sectPr>
          <w:pgSz w:w="11900" w:h="16838" w:orient="portrait"/>
          <w:cols w:equalWidth="0" w:num="2">
            <w:col w:w="540" w:space="420"/>
            <w:col w:w="925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Quest Advisory Corp.</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W. Whitney George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Susan I.Grant atty - in - 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M. Royce</w:t>
      </w:r>
    </w:p>
    <w:p>
      <w:pPr>
        <w:sectPr>
          <w:pgSz w:w="11900" w:h="16838" w:orient="portrait"/>
          <w:cols w:equalWidth="0" w:num="2">
            <w:col w:w="3180" w:space="720"/>
            <w:col w:w="6319"/>
          </w:cols>
          <w:pgMar w:left="240" w:top="514" w:right="1440" w:bottom="144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CUSIP No. 747316107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Exhibit 1</w:t>
      </w:r>
    </w:p>
    <w:p>
      <w:pPr>
        <w:ind w:left="640"/>
        <w:spacing w:after="0" w:line="238" w:lineRule="auto"/>
        <w:rPr>
          <w:sz w:val="20"/>
          <w:szCs w:val="20"/>
          <w:color w:val="auto"/>
        </w:rPr>
      </w:pPr>
      <w:r>
        <w:rPr>
          <w:rFonts w:ascii="Courier New" w:cs="Courier New" w:eastAsia="Courier New" w:hAnsi="Courier New"/>
          <w:sz w:val="18"/>
          <w:szCs w:val="18"/>
          <w:color w:val="auto"/>
        </w:rPr>
        <w:t>AGREEMENT</w:t>
      </w:r>
    </w:p>
    <w:p>
      <w:pPr>
        <w:spacing w:after="0" w:line="200" w:lineRule="exact"/>
        <w:rPr>
          <w:sz w:val="20"/>
          <w:szCs w:val="20"/>
          <w:color w:val="auto"/>
        </w:rPr>
      </w:pPr>
    </w:p>
    <w:p>
      <w:pPr>
        <w:sectPr>
          <w:pgSz w:w="11900" w:h="16838" w:orient="portrait"/>
          <w:cols w:equalWidth="0" w:num="3">
            <w:col w:w="2000" w:space="320"/>
            <w:col w:w="320" w:space="520"/>
            <w:col w:w="7059"/>
          </w:cols>
          <w:pgMar w:left="240" w:top="520" w:right="1440" w:bottom="1440" w:gutter="0" w:footer="0" w:header="0"/>
        </w:sectPr>
      </w:pP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AGREEMENT dated as of February 14, 1996 between</w:t>
      </w:r>
    </w:p>
    <w:p>
      <w:pPr>
        <w:spacing w:after="0" w:line="238" w:lineRule="auto"/>
        <w:rPr>
          <w:sz w:val="20"/>
          <w:szCs w:val="20"/>
          <w:color w:val="auto"/>
        </w:rPr>
      </w:pPr>
      <w:r>
        <w:rPr>
          <w:rFonts w:ascii="Courier New" w:cs="Courier New" w:eastAsia="Courier New" w:hAnsi="Courier New"/>
          <w:sz w:val="18"/>
          <w:szCs w:val="18"/>
          <w:color w:val="auto"/>
        </w:rPr>
        <w:t>Quest Advisory Corp. ("Quest"), a New York corporation, and</w:t>
      </w:r>
    </w:p>
    <w:p>
      <w:pPr>
        <w:spacing w:after="0"/>
        <w:rPr>
          <w:sz w:val="20"/>
          <w:szCs w:val="20"/>
          <w:color w:val="auto"/>
        </w:rPr>
      </w:pPr>
      <w:r>
        <w:rPr>
          <w:rFonts w:ascii="Courier New" w:cs="Courier New" w:eastAsia="Courier New" w:hAnsi="Courier New"/>
          <w:sz w:val="18"/>
          <w:szCs w:val="18"/>
          <w:color w:val="auto"/>
        </w:rPr>
        <w:t>Charles M. Royce.</w:t>
      </w:r>
    </w:p>
    <w:p>
      <w:pPr>
        <w:spacing w:after="0" w:line="206"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WHEREAS, pursuant to paragraph (f) of Rule 13d-1 promulgated under Subsection 13(d)(1) of the Securities Exchange Act of 1934, as amended (the "1934 Act"), the parties hereto have decided to satisfy their filing obligations under the 1934 Act by a single joint filing:</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undersigned hereby agree as follows:</w:t>
      </w:r>
    </w:p>
    <w:p>
      <w:pPr>
        <w:spacing w:after="0" w:line="207" w:lineRule="exact"/>
        <w:rPr>
          <w:sz w:val="20"/>
          <w:szCs w:val="20"/>
          <w:color w:val="auto"/>
        </w:rPr>
      </w:pPr>
    </w:p>
    <w:p>
      <w:pPr>
        <w:ind w:right="2739" w:firstLine="535"/>
        <w:spacing w:after="0" w:line="236" w:lineRule="auto"/>
        <w:tabs>
          <w:tab w:leader="none" w:pos="11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Schedule 13G with respect to Quaker Chemical Corporation to which this is attached as Exhibit 1 is filed on behalf of Quest and Mr. Royce.</w:t>
      </w:r>
    </w:p>
    <w:p>
      <w:pPr>
        <w:spacing w:after="0" w:line="208" w:lineRule="exact"/>
        <w:rPr>
          <w:rFonts w:ascii="Courier New" w:cs="Courier New" w:eastAsia="Courier New" w:hAnsi="Courier New"/>
          <w:sz w:val="18"/>
          <w:szCs w:val="18"/>
          <w:color w:val="auto"/>
        </w:rPr>
      </w:pPr>
    </w:p>
    <w:p>
      <w:pPr>
        <w:ind w:right="2739" w:firstLine="535"/>
        <w:spacing w:after="0" w:line="237" w:lineRule="auto"/>
        <w:tabs>
          <w:tab w:leader="none" w:pos="115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Quest and Mr. Royce is responsible for the completeness and accuracy of the information concerning such person contained therein; provided that each person is not responsible for the completeness or accuracy of the information concerning any other person making such filing.</w:t>
      </w:r>
    </w:p>
    <w:p>
      <w:pPr>
        <w:spacing w:after="0" w:line="200" w:lineRule="exact"/>
        <w:rPr>
          <w:sz w:val="20"/>
          <w:szCs w:val="20"/>
          <w:color w:val="auto"/>
        </w:rPr>
      </w:pPr>
    </w:p>
    <w:p>
      <w:pPr>
        <w:spacing w:after="0" w:line="211"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hereunto set their hands as of the date first above written.</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QUEST ADVISORY CORP.</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By: W. Whitney George</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Susan I. Grant atty-in-fact</w:t>
      </w: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Charles</w:t>
      </w:r>
      <w:r>
        <w:rPr>
          <w:sz w:val="20"/>
          <w:szCs w:val="20"/>
          <w:color w:val="auto"/>
        </w:rPr>
        <w:tab/>
      </w:r>
      <w:r>
        <w:rPr>
          <w:rFonts w:ascii="Courier New" w:cs="Courier New" w:eastAsia="Courier New" w:hAnsi="Courier New"/>
          <w:sz w:val="16"/>
          <w:szCs w:val="16"/>
          <w:color w:val="auto"/>
        </w:rPr>
        <w:t>M. Royce</w:t>
      </w:r>
    </w:p>
    <w:sectPr>
      <w:pgSz w:w="11900" w:h="16838" w:orient="portrait"/>
      <w:cols w:equalWidth="0" w:num="1">
        <w:col w:w="1021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2"/>
      <w:numFmt w:val="bullet"/>
      <w:start w:val="1"/>
    </w:lvl>
    <w:lvl w:ilvl="1">
      <w:lvlJc w:val="left"/>
      <w:lvlText w:val="(%2)"/>
      <w:numFmt w:val="lowerLetter"/>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9"/>
      <w:numFmt w:val="bullet"/>
      <w:start w:val="1"/>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2"/>
      <w:numFmt w:val="bullet"/>
      <w:start w:val="1"/>
    </w:lvl>
    <w:lvl w:ilvl="1">
      <w:lvlJc w:val="left"/>
      <w:lvlText w:val="(%2)"/>
      <w:numFmt w:val="lowerLetter"/>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4"/>
      <w:numFmt w:val="bullet"/>
      <w:start w:val="1"/>
    </w:lvl>
  </w:abstractNum>
  <w:abstractNum w:abstractNumId="10">
    <w:nsid w:val="7FDCC233"/>
    <w:multiLevelType w:val="hybridMultilevel"/>
    <w:lvl w:ilvl="0">
      <w:lvlJc w:val="left"/>
      <w:lvlText w:val="9"/>
      <w:numFmt w:val="bullet"/>
      <w:start w:val="1"/>
    </w:lvl>
  </w:abstractNum>
  <w:abstractNum w:abstractNumId="11">
    <w:nsid w:val="1BEFD79F"/>
    <w:multiLevelType w:val="hybridMultilevel"/>
    <w:lvl w:ilvl="0">
      <w:lvlJc w:val="left"/>
      <w:lvlText w:val="%1"/>
      <w:numFmt w:val="decimal"/>
      <w:start w:val="1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lvl w:ilvl="1">
      <w:lvlJc w:val="left"/>
      <w:lvlText w:val="(%2)"/>
      <w:numFmt w:val="lowerRoman"/>
      <w:start w:val="1"/>
    </w:lvl>
  </w:abstractNum>
  <w:abstractNum w:abstractNumId="15">
    <w:nsid w:val="25E45D32"/>
    <w:multiLevelType w:val="hybridMultilevel"/>
    <w:lvl w:ilvl="0">
      <w:lvlJc w:val="left"/>
      <w:lvlText w:val="(%1)"/>
      <w:numFmt w:val="lowerRoman"/>
      <w:start w:val="3"/>
    </w:lvl>
  </w:abstractNum>
  <w:abstractNum w:abstractNumId="16">
    <w:nsid w:val="519B500D"/>
    <w:multiLevelType w:val="hybridMultilevel"/>
    <w:lvl w:ilvl="0">
      <w:lvlJc w:val="left"/>
      <w:lvlText w:val="(%1)"/>
      <w:numFmt w:val="lowerRoman"/>
      <w:start w:val="4"/>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2019-12-13T06:31:39Z</dcterms:created>
  <dcterms:modified xsi:type="dcterms:W3CDTF">2019-12-13T06:31:39Z</dcterms:modified>
</cp:coreProperties>
</file>