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9"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ind w:left="414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3837940</wp:posOffset>
            </wp:positionH>
            <wp:positionV relativeFrom="paragraph">
              <wp:posOffset>0</wp:posOffset>
            </wp:positionV>
            <wp:extent cx="669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992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QUAKER CHEMICAL CORPORATION</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tbl>
      <w:tblPr>
        <w:tblLayout w:type="fixed"/>
        <w:tblInd w:w="1420" w:type="dxa"/>
        <w:tblCellMar>
          <w:top w:w="0" w:type="dxa"/>
          <w:left w:w="0" w:type="dxa"/>
          <w:bottom w:w="0" w:type="dxa"/>
          <w:right w:w="0" w:type="dxa"/>
        </w:tblCellMar>
      </w:tblPr>
      <w:tr>
        <w:trPr>
          <w:trHeight w:val="19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23-0993790</w:t>
            </w:r>
          </w:p>
        </w:tc>
        <w:tc>
          <w:tcPr>
            <w:tcW w:w="0" w:type="dxa"/>
            <w:vAlign w:val="bottom"/>
          </w:tcPr>
          <w:p>
            <w:pPr>
              <w:spacing w:after="0"/>
              <w:rPr>
                <w:sz w:val="1"/>
                <w:szCs w:val="1"/>
                <w:color w:val="auto"/>
              </w:rPr>
            </w:pPr>
          </w:p>
        </w:tc>
      </w:tr>
      <w:tr>
        <w:trPr>
          <w:trHeight w:val="21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3200" w:type="dxa"/>
            <w:vAlign w:val="bottom"/>
          </w:tcPr>
          <w:p>
            <w:pPr>
              <w:jc w:val="center"/>
              <w:ind w:left="1213"/>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560"/>
        </w:trPr>
        <w:tc>
          <w:tcPr>
            <w:tcW w:w="4540" w:type="dxa"/>
            <w:vAlign w:val="bottom"/>
          </w:tcPr>
          <w:p>
            <w:pPr>
              <w:jc w:val="center"/>
              <w:ind w:right="1192"/>
              <w:spacing w:after="0"/>
              <w:rPr>
                <w:sz w:val="20"/>
                <w:szCs w:val="20"/>
                <w:color w:val="auto"/>
              </w:rPr>
            </w:pPr>
            <w:r>
              <w:rPr>
                <w:rFonts w:ascii="Times New Roman" w:cs="Times New Roman" w:eastAsia="Times New Roman" w:hAnsi="Times New Roman"/>
                <w:sz w:val="14"/>
                <w:szCs w:val="14"/>
                <w:b w:val="1"/>
                <w:bCs w:val="1"/>
                <w:color w:val="auto"/>
              </w:rPr>
              <w:t>901 E. Hector Street,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4"/>
                <w:szCs w:val="14"/>
                <w:b w:val="1"/>
                <w:bCs w:val="1"/>
                <w:color w:val="auto"/>
              </w:rPr>
              <w:t>Conshohocken, Pennsylvania</w:t>
            </w:r>
          </w:p>
        </w:tc>
        <w:tc>
          <w:tcPr>
            <w:tcW w:w="3200" w:type="dxa"/>
            <w:vAlign w:val="bottom"/>
            <w:vMerge w:val="restart"/>
          </w:tcPr>
          <w:p>
            <w:pPr>
              <w:jc w:val="center"/>
              <w:ind w:left="1213"/>
              <w:spacing w:after="0"/>
              <w:rPr>
                <w:sz w:val="20"/>
                <w:szCs w:val="20"/>
                <w:color w:val="auto"/>
              </w:rPr>
            </w:pPr>
            <w:r>
              <w:rPr>
                <w:rFonts w:ascii="Times New Roman" w:cs="Times New Roman" w:eastAsia="Times New Roman" w:hAnsi="Times New Roman"/>
                <w:sz w:val="14"/>
                <w:szCs w:val="14"/>
                <w:b w:val="1"/>
                <w:bCs w:val="1"/>
                <w:color w:val="auto"/>
              </w:rPr>
              <w:t>19428 – 2380</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540" w:type="dxa"/>
            <w:vAlign w:val="bottom"/>
          </w:tcPr>
          <w:p>
            <w:pPr>
              <w:jc w:val="center"/>
              <w:ind w:right="119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200" w:type="dxa"/>
            <w:vAlign w:val="bottom"/>
          </w:tcPr>
          <w:p>
            <w:pPr>
              <w:jc w:val="center"/>
              <w:ind w:left="1193"/>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610-832-4000</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338"/>
        </w:trPr>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37"/>
        </w:trPr>
        <w:tc>
          <w:tcPr>
            <w:tcW w:w="10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r>
        <w:trPr>
          <w:trHeight w:val="186"/>
        </w:trPr>
        <w:tc>
          <w:tcPr>
            <w:tcW w:w="10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$1 par value</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KWR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3" w:lineRule="exact"/>
        <w:rPr>
          <w:sz w:val="24"/>
          <w:szCs w:val="24"/>
          <w:color w:val="auto"/>
        </w:rPr>
      </w:pPr>
    </w:p>
    <w:p>
      <w:pPr>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2040" w:type="dxa"/>
        <w:tblCellMar>
          <w:top w:w="0" w:type="dxa"/>
          <w:left w:w="0" w:type="dxa"/>
          <w:bottom w:w="0" w:type="dxa"/>
          <w:right w:w="0" w:type="dxa"/>
        </w:tblCellMar>
      </w:tblPr>
      <w:tr>
        <w:trPr>
          <w:trHeight w:val="188"/>
        </w:trPr>
        <w:tc>
          <w:tcPr>
            <w:tcW w:w="160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Large accelerated filer</w:t>
            </w:r>
          </w:p>
        </w:tc>
        <w:tc>
          <w:tcPr>
            <w:tcW w:w="2080" w:type="dxa"/>
            <w:vAlign w:val="bottom"/>
          </w:tcPr>
          <w:p>
            <w:pPr>
              <w:ind w:left="320"/>
              <w:spacing w:after="0"/>
              <w:rPr>
                <w:sz w:val="20"/>
                <w:szCs w:val="20"/>
                <w:color w:val="auto"/>
              </w:rPr>
            </w:pPr>
            <w:r>
              <w:rPr>
                <w:rFonts w:ascii="Wingdings" w:cs="Wingdings" w:eastAsia="Wingdings" w:hAnsi="Wingdings"/>
                <w:sz w:val="14"/>
                <w:szCs w:val="14"/>
                <w:b w:val="1"/>
                <w:bCs w:val="1"/>
                <w:color w:val="auto"/>
              </w:rPr>
              <w:t>x</w:t>
            </w: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r>
        <w:trPr>
          <w:trHeight w:val="229"/>
        </w:trPr>
        <w:tc>
          <w:tcPr>
            <w:tcW w:w="160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Non-accelerated filer</w:t>
            </w:r>
          </w:p>
        </w:tc>
        <w:tc>
          <w:tcPr>
            <w:tcW w:w="2080" w:type="dxa"/>
            <w:vAlign w:val="bottom"/>
          </w:tcPr>
          <w:p>
            <w:pPr>
              <w:ind w:left="320"/>
              <w:spacing w:after="0"/>
              <w:rPr>
                <w:sz w:val="20"/>
                <w:szCs w:val="20"/>
                <w:color w:val="auto"/>
              </w:rPr>
            </w:pPr>
            <w:r>
              <w:rPr>
                <w:rFonts w:ascii="Wingdings" w:cs="Wingdings" w:eastAsia="Wingdings" w:hAnsi="Wingdings"/>
                <w:sz w:val="14"/>
                <w:szCs w:val="14"/>
                <w:b w:val="1"/>
                <w:bCs w:val="1"/>
                <w:color w:val="auto"/>
              </w:rPr>
              <w:t>o</w:t>
            </w: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r>
        <w:trPr>
          <w:trHeight w:val="230"/>
        </w:trPr>
        <w:tc>
          <w:tcPr>
            <w:tcW w:w="16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17"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ind w:right="3640"/>
        <w:spacing w:after="0" w:line="4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Number of Shares of Common Stock Outstanding on October 26, 2026</w:t>
            </w:r>
          </w:p>
        </w:tc>
        <w:tc>
          <w:tcPr>
            <w:tcW w:w="4660" w:type="dxa"/>
            <w:vAlign w:val="bottom"/>
          </w:tcPr>
          <w:p>
            <w:pPr>
              <w:jc w:val="right"/>
              <w:ind w:right="2568"/>
              <w:spacing w:after="0"/>
              <w:rPr>
                <w:sz w:val="20"/>
                <w:szCs w:val="20"/>
                <w:color w:val="auto"/>
              </w:rPr>
            </w:pPr>
            <w:r>
              <w:rPr>
                <w:rFonts w:ascii="Times New Roman" w:cs="Times New Roman" w:eastAsia="Times New Roman" w:hAnsi="Times New Roman"/>
                <w:sz w:val="14"/>
                <w:szCs w:val="14"/>
                <w:b w:val="1"/>
                <w:bCs w:val="1"/>
                <w:color w:val="auto"/>
              </w:rPr>
              <w:t>17,191,961</w:t>
            </w:r>
          </w:p>
        </w:tc>
      </w:tr>
      <w:tr>
        <w:trPr>
          <w:trHeight w:val="1110"/>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973"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58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240" w:type="dxa"/>
            <w:vAlign w:val="bottom"/>
            <w:tcBorders>
              <w:top w:val="single" w:sz="8" w:color="auto"/>
            </w:tcBorders>
            <w:gridSpan w:val="2"/>
          </w:tcPr>
          <w:p>
            <w:pPr>
              <w:jc w:val="center"/>
              <w:ind w:left="69"/>
              <w:spacing w:after="0" w:line="202" w:lineRule="exact"/>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2026 and September 30,</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2025</w:t>
            </w:r>
          </w:p>
        </w:tc>
        <w:tc>
          <w:tcPr>
            <w:tcW w:w="1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2026 and</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6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September 30, 2025</w:t>
            </w:r>
          </w:p>
        </w:tc>
        <w:tc>
          <w:tcPr>
            <w:tcW w:w="7540" w:type="dxa"/>
            <w:vAlign w:val="bottom"/>
            <w:tcBorders>
              <w:top w:val="single" w:sz="8" w:color="0000FF"/>
            </w:tcBorders>
            <w:gridSpan w:val="12"/>
          </w:tcPr>
          <w:p>
            <w:pPr>
              <w:spacing w:after="0"/>
              <w:rPr>
                <w:sz w:val="17"/>
                <w:szCs w:val="17"/>
                <w:color w:val="auto"/>
              </w:rPr>
            </w:pPr>
          </w:p>
        </w:tc>
        <w:tc>
          <w:tcPr>
            <w:tcW w:w="3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2026 and December 31, 2025</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2026 and September 30, 2025</w:t>
            </w:r>
          </w:p>
        </w:tc>
        <w:tc>
          <w:tcPr>
            <w:tcW w:w="460" w:type="dxa"/>
            <w:vAlign w:val="bottom"/>
            <w:gridSpan w:val="3"/>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for the Three and Nine Months Ended September 30, 2026 and</w:t>
            </w:r>
          </w:p>
        </w:tc>
        <w:tc>
          <w:tcPr>
            <w:tcW w:w="460" w:type="dxa"/>
            <w:vAlign w:val="bottom"/>
            <w:gridSpan w:val="3"/>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46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September 30, 2025</w:t>
            </w:r>
          </w:p>
        </w:tc>
        <w:tc>
          <w:tcPr>
            <w:tcW w:w="7160" w:type="dxa"/>
            <w:vAlign w:val="bottom"/>
            <w:tcBorders>
              <w:top w:val="single" w:sz="8" w:color="0000FF"/>
            </w:tcBorders>
            <w:gridSpan w:val="10"/>
          </w:tcPr>
          <w:p>
            <w:pPr>
              <w:spacing w:after="0"/>
              <w:rPr>
                <w:sz w:val="17"/>
                <w:szCs w:val="17"/>
                <w:color w:val="auto"/>
              </w:rPr>
            </w:pPr>
          </w:p>
        </w:tc>
        <w:tc>
          <w:tcPr>
            <w:tcW w:w="70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480" w:type="dxa"/>
            <w:vAlign w:val="bottom"/>
            <w:gridSpan w:val="9"/>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Pr>
          <w:p>
            <w:pPr>
              <w:spacing w:after="0"/>
              <w:rPr>
                <w:sz w:val="21"/>
                <w:szCs w:val="21"/>
                <w:color w:val="auto"/>
              </w:rPr>
            </w:pPr>
          </w:p>
        </w:tc>
        <w:tc>
          <w:tcPr>
            <w:tcW w:w="2980" w:type="dxa"/>
            <w:vAlign w:val="bottom"/>
            <w:gridSpan w:val="7"/>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120" w:type="dxa"/>
            <w:vAlign w:val="bottom"/>
            <w:gridSpan w:val="8"/>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5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100" w:type="dxa"/>
            <w:vAlign w:val="bottom"/>
            <w:tcBorders>
              <w:top w:val="single" w:sz="8" w:color="0000FF"/>
            </w:tcBorders>
          </w:tcPr>
          <w:p>
            <w:pPr>
              <w:spacing w:after="0"/>
              <w:rPr>
                <w:sz w:val="21"/>
                <w:szCs w:val="21"/>
                <w:color w:val="auto"/>
              </w:rPr>
            </w:pPr>
          </w:p>
        </w:tc>
        <w:tc>
          <w:tcPr>
            <w:tcW w:w="19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20" w:type="dxa"/>
            <w:vAlign w:val="bottom"/>
            <w:gridSpan w:val="12"/>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Risk Factors.</w:t>
            </w:r>
          </w:p>
        </w:tc>
        <w:tc>
          <w:tcPr>
            <w:tcW w:w="400" w:type="dxa"/>
            <w:vAlign w:val="bottom"/>
          </w:tcPr>
          <w:p>
            <w:pPr>
              <w:spacing w:after="0"/>
              <w:rPr>
                <w:sz w:val="21"/>
                <w:szCs w:val="21"/>
                <w:color w:val="auto"/>
              </w:rPr>
            </w:pPr>
          </w:p>
        </w:tc>
        <w:tc>
          <w:tcPr>
            <w:tcW w:w="8120" w:type="dxa"/>
            <w:vAlign w:val="bottom"/>
            <w:gridSpan w:val="15"/>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0" w:type="dxa"/>
            <w:vAlign w:val="bottom"/>
            <w:gridSpan w:val="10"/>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7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2320" w:type="dxa"/>
            <w:vAlign w:val="bottom"/>
            <w:gridSpan w:val="5"/>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7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320" w:type="dxa"/>
            <w:vAlign w:val="bottom"/>
            <w:gridSpan w:val="5"/>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10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20" w:type="dxa"/>
            <w:vAlign w:val="bottom"/>
            <w:gridSpan w:val="15"/>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Exhibits.</w:t>
            </w:r>
          </w:p>
        </w:tc>
        <w:tc>
          <w:tcPr>
            <w:tcW w:w="700" w:type="dxa"/>
            <w:vAlign w:val="bottom"/>
            <w:gridSpan w:val="2"/>
          </w:tcPr>
          <w:p>
            <w:pPr>
              <w:spacing w:after="0"/>
              <w:rPr>
                <w:sz w:val="21"/>
                <w:szCs w:val="21"/>
                <w:color w:val="auto"/>
              </w:rPr>
            </w:pPr>
          </w:p>
        </w:tc>
        <w:tc>
          <w:tcPr>
            <w:tcW w:w="8120" w:type="dxa"/>
            <w:vAlign w:val="bottom"/>
            <w:gridSpan w:val="15"/>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0000FF"/>
              </w:rPr>
              <w:t>Signatures</w:t>
            </w:r>
            <w:r>
              <w:rPr>
                <w:rFonts w:ascii="Times New Roman" w:cs="Times New Roman" w:eastAsia="Times New Roman" w:hAnsi="Times New Roman"/>
                <w:sz w:val="18"/>
                <w:szCs w:val="18"/>
                <w:b w:val="1"/>
                <w:bCs w:val="1"/>
                <w:i w:val="1"/>
                <w:iCs w:val="1"/>
                <w:color w:val="0000FF"/>
              </w:rPr>
              <w:t>.</w:t>
            </w: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2"/>
        </w:trPr>
        <w:tc>
          <w:tcPr>
            <w:tcW w:w="4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600" w:type="dxa"/>
            <w:vAlign w:val="bottom"/>
            <w:gridSpan w:val="14"/>
          </w:tcPr>
          <w:p>
            <w:pPr>
              <w:jc w:val="right"/>
              <w:ind w:right="20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2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16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77"/>
        </w:trPr>
        <w:tc>
          <w:tcPr>
            <w:tcW w:w="1280" w:type="dxa"/>
            <w:vAlign w:val="bottom"/>
            <w:tcBorders>
              <w:top w:val="single" w:sz="8" w:color="0000FF"/>
            </w:tcBorders>
          </w:tcPr>
          <w:p>
            <w:pPr>
              <w:spacing w:after="0"/>
              <w:rPr>
                <w:sz w:val="24"/>
                <w:szCs w:val="24"/>
                <w:color w:val="auto"/>
              </w:rPr>
            </w:pPr>
          </w:p>
        </w:tc>
        <w:tc>
          <w:tcPr>
            <w:tcW w:w="4740" w:type="dxa"/>
            <w:vAlign w:val="bottom"/>
            <w:gridSpan w:val="2"/>
          </w:tcPr>
          <w:p>
            <w:pPr>
              <w:jc w:val="center"/>
              <w:ind w:left="38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5780" w:type="dxa"/>
            <w:vAlign w:val="bottom"/>
            <w:gridSpan w:val="4"/>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1280" w:type="dxa"/>
            <w:vAlign w:val="bottom"/>
          </w:tcPr>
          <w:p>
            <w:pPr>
              <w:spacing w:after="0"/>
              <w:rPr>
                <w:sz w:val="24"/>
                <w:szCs w:val="24"/>
                <w:color w:val="auto"/>
              </w:rPr>
            </w:pPr>
          </w:p>
        </w:tc>
        <w:tc>
          <w:tcPr>
            <w:tcW w:w="5780" w:type="dxa"/>
            <w:vAlign w:val="bottom"/>
            <w:gridSpan w:val="4"/>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Quaker Chemical Corporation</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00" w:type="dxa"/>
            <w:vAlign w:val="bottom"/>
            <w:gridSpan w:val="7"/>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200" w:type="dxa"/>
            <w:vAlign w:val="bottom"/>
            <w:gridSpan w:val="7"/>
          </w:tcPr>
          <w:p>
            <w:pPr>
              <w:jc w:val="center"/>
              <w:ind w:left="1410"/>
              <w:spacing w:after="0"/>
              <w:rPr>
                <w:sz w:val="20"/>
                <w:szCs w:val="20"/>
                <w:color w:val="auto"/>
              </w:rPr>
            </w:pPr>
            <w:r>
              <w:rPr>
                <w:rFonts w:ascii="Times New Roman" w:cs="Times New Roman" w:eastAsia="Times New Roman" w:hAnsi="Times New Roman"/>
                <w:sz w:val="18"/>
                <w:szCs w:val="18"/>
                <w:b w:val="1"/>
                <w:bCs w:val="1"/>
                <w:i w:val="1"/>
                <w:iCs w:val="1"/>
                <w:color w:val="auto"/>
                <w:w w:val="99"/>
              </w:rPr>
              <w:t>(Unaudited; Dollars in thousands, except per share data)</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8"/>
        </w:trPr>
        <w:tc>
          <w:tcPr>
            <w:tcW w:w="128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6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1"/>
                <w:szCs w:val="21"/>
                <w:color w:val="auto"/>
              </w:rPr>
            </w:pPr>
          </w:p>
        </w:tc>
        <w:tc>
          <w:tcPr>
            <w:tcW w:w="24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4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12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56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1,557,577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1,420,156</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 (excluding amortization expense - See Note 13)</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312,977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998,115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906,308</w:t>
            </w:r>
          </w:p>
        </w:tc>
      </w:tr>
      <w:tr>
        <w:trPr>
          <w:trHeight w:val="27"/>
        </w:trPr>
        <w:tc>
          <w:tcPr>
            <w:tcW w:w="56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193,523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559,462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513,848</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412,657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372,125</w:t>
            </w:r>
          </w:p>
        </w:tc>
      </w:tr>
      <w:tr>
        <w:trPr>
          <w:trHeight w:val="27"/>
        </w:trPr>
        <w:tc>
          <w:tcPr>
            <w:tcW w:w="56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88,840</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31,128</w:t>
            </w:r>
          </w:p>
        </w:tc>
      </w:tr>
      <w:tr>
        <w:trPr>
          <w:trHeight w:val="27"/>
        </w:trPr>
        <w:tc>
          <w:tcPr>
            <w:tcW w:w="566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21,755</w:t>
            </w:r>
          </w:p>
        </w:tc>
      </w:tr>
      <w:tr>
        <w:trPr>
          <w:trHeight w:val="24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7"/>
        </w:trPr>
        <w:tc>
          <w:tcPr>
            <w:tcW w:w="56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(33,265)</w:t>
            </w:r>
          </w:p>
        </w:tc>
      </w:tr>
      <w:tr>
        <w:trPr>
          <w:trHeight w:val="205"/>
        </w:trPr>
        <w:tc>
          <w:tcPr>
            <w:tcW w:w="5660" w:type="dxa"/>
            <w:vAlign w:val="bottom"/>
            <w:gridSpan w:val="2"/>
          </w:tcPr>
          <w:p>
            <w:pPr>
              <w:ind w:left="180"/>
              <w:spacing w:after="0" w:line="205" w:lineRule="exact"/>
              <w:rPr>
                <w:sz w:val="20"/>
                <w:szCs w:val="20"/>
                <w:color w:val="auto"/>
              </w:rPr>
            </w:pPr>
            <w:r>
              <w:rPr>
                <w:rFonts w:ascii="Times New Roman" w:cs="Times New Roman" w:eastAsia="Times New Roman" w:hAnsi="Times New Roman"/>
                <w:sz w:val="18"/>
                <w:szCs w:val="18"/>
                <w:color w:val="auto"/>
              </w:rPr>
              <w:t>Income (loss) before taxes and equity in net income of associated</w:t>
            </w: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34"/>
        </w:trPr>
        <w:tc>
          <w:tcPr>
            <w:tcW w:w="5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companies</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92,856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(13,142)</w:t>
            </w:r>
          </w:p>
        </w:tc>
      </w:tr>
      <w:tr>
        <w:trPr>
          <w:trHeight w:val="27"/>
        </w:trPr>
        <w:tc>
          <w:tcPr>
            <w:tcW w:w="56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income before equity in net income of associated companies</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22,280</w:t>
            </w:r>
          </w:p>
        </w:tc>
      </w:tr>
      <w:tr>
        <w:trPr>
          <w:trHeight w:val="236"/>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(loss) before equity in net income of associated companies</w:t>
            </w: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26,164</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62,709</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(35,422)</w:t>
            </w:r>
          </w:p>
        </w:tc>
      </w:tr>
      <w:tr>
        <w:trPr>
          <w:trHeight w:val="27"/>
        </w:trPr>
        <w:tc>
          <w:tcPr>
            <w:tcW w:w="56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of associated companies</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12,262</w:t>
            </w:r>
          </w:p>
        </w:tc>
      </w:tr>
      <w:tr>
        <w:trPr>
          <w:trHeight w:val="237"/>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29,970</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30,486</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76,525</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(23,160)</w:t>
            </w:r>
          </w:p>
        </w:tc>
      </w:tr>
      <w:tr>
        <w:trPr>
          <w:trHeight w:val="27"/>
        </w:trPr>
        <w:tc>
          <w:tcPr>
            <w:tcW w:w="56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Quaker Chemical Corporation</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29,977</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30,469</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76,481</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data:</w:t>
            </w: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5"/>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Quaker Chemical Corporation common</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5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shareholders – 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56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Quaker Chemical Corporation common</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5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shareholders – diluted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43"/>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2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2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(23,160)</w:t>
            </w:r>
          </w:p>
        </w:tc>
      </w:tr>
      <w:tr>
        <w:trPr>
          <w:trHeight w:val="237"/>
        </w:trPr>
        <w:tc>
          <w:tcPr>
            <w:tcW w:w="6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88,741</w:t>
            </w: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retirement plans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4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change in fair value of derivatives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7"/>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86,421</w:t>
            </w:r>
          </w:p>
        </w:tc>
      </w:tr>
      <w:tr>
        <w:trPr>
          <w:trHeight w:val="27"/>
        </w:trPr>
        <w:tc>
          <w:tcPr>
            <w:tcW w:w="6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63,261</w:t>
            </w: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6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Quaker Chemical Corporation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45,487</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30,317</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86,164</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63,097</w:t>
            </w:r>
          </w:p>
        </w:tc>
      </w:tr>
      <w:tr>
        <w:trPr>
          <w:trHeight w:val="21"/>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3"/>
        </w:trPr>
        <w:tc>
          <w:tcPr>
            <w:tcW w:w="8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167,006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179,829</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417,157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124,751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Work-in-process and finished goods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173,599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141,025</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74,468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58,428</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1,049,041</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921,190</w:t>
            </w:r>
          </w:p>
        </w:tc>
        <w:tc>
          <w:tcPr>
            <w:tcW w:w="0" w:type="dxa"/>
            <w:vAlign w:val="bottom"/>
          </w:tcPr>
          <w:p>
            <w:pPr>
              <w:spacing w:after="0"/>
              <w:rPr>
                <w:sz w:val="1"/>
                <w:szCs w:val="1"/>
                <w:color w:val="auto"/>
              </w:rPr>
            </w:pPr>
          </w:p>
        </w:tc>
      </w:tr>
      <w:tr>
        <w:trPr>
          <w:trHeight w:val="227"/>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at cost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631,861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604,787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(312,812)</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(291,364)</w:t>
            </w:r>
          </w:p>
        </w:tc>
        <w:tc>
          <w:tcPr>
            <w:tcW w:w="0" w:type="dxa"/>
            <w:vAlign w:val="bottom"/>
          </w:tcPr>
          <w:p>
            <w:pPr>
              <w:spacing w:after="0"/>
              <w:rPr>
                <w:sz w:val="1"/>
                <w:szCs w:val="1"/>
                <w:color w:val="auto"/>
              </w:rPr>
            </w:pPr>
          </w:p>
        </w:tc>
      </w:tr>
      <w:tr>
        <w:trPr>
          <w:trHeight w:val="227"/>
        </w:trPr>
        <w:tc>
          <w:tcPr>
            <w:tcW w:w="8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313,423</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lease assets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51,256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38,737</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501,720</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813,174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873,540</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associated companies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117,998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106,915</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12,128</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46,784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30,283</w:t>
            </w:r>
          </w:p>
        </w:tc>
        <w:tc>
          <w:tcPr>
            <w:tcW w:w="0" w:type="dxa"/>
            <w:vAlign w:val="bottom"/>
          </w:tcPr>
          <w:p>
            <w:pPr>
              <w:spacing w:after="0"/>
              <w:rPr>
                <w:sz w:val="1"/>
                <w:szCs w:val="1"/>
                <w:color w:val="auto"/>
              </w:rPr>
            </w:pPr>
          </w:p>
        </w:tc>
      </w:tr>
      <w:tr>
        <w:trPr>
          <w:trHeight w:val="262"/>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2,915,332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2,797,936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borrowings and current portion of 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198,929</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payable</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8,804</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41,192</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restructuring</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pension and postretirement benefits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98,993</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85,097</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425,513</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380,156</w:t>
            </w:r>
          </w:p>
        </w:tc>
        <w:tc>
          <w:tcPr>
            <w:tcW w:w="0" w:type="dxa"/>
            <w:vAlign w:val="bottom"/>
          </w:tcPr>
          <w:p>
            <w:pPr>
              <w:spacing w:after="0"/>
              <w:rPr>
                <w:sz w:val="1"/>
                <w:szCs w:val="1"/>
                <w:color w:val="auto"/>
              </w:rPr>
            </w:pPr>
          </w:p>
        </w:tc>
      </w:tr>
      <w:tr>
        <w:trPr>
          <w:trHeight w:val="227"/>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871,462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834,901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140,814</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accrued pension and postretirement benefits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20,615</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22,192</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1,498,250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1,421,437</w:t>
            </w:r>
          </w:p>
        </w:tc>
        <w:tc>
          <w:tcPr>
            <w:tcW w:w="0" w:type="dxa"/>
            <w:vAlign w:val="bottom"/>
          </w:tcPr>
          <w:p>
            <w:pPr>
              <w:spacing w:after="0"/>
              <w:rPr>
                <w:sz w:val="1"/>
                <w:szCs w:val="1"/>
                <w:color w:val="auto"/>
              </w:rPr>
            </w:pPr>
          </w:p>
        </w:tc>
      </w:tr>
      <w:tr>
        <w:trPr>
          <w:trHeight w:val="21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$1 par value; authorized 30,000,000 shares; issued and outstanding</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September 30, 2026 – 17,191,225 shares; December 31, 2025 – 17,331,779 shares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856,031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874,826</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646,422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596,616</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(105,978)</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(115,661)</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Quaker shareholders’ equity</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1,413,666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1,373,113</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1,417,082</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1,376,499</w:t>
            </w:r>
          </w:p>
        </w:tc>
        <w:tc>
          <w:tcPr>
            <w:tcW w:w="0" w:type="dxa"/>
            <w:vAlign w:val="bottom"/>
          </w:tcPr>
          <w:p>
            <w:pPr>
              <w:spacing w:after="0"/>
              <w:rPr>
                <w:sz w:val="1"/>
                <w:szCs w:val="1"/>
                <w:color w:val="auto"/>
              </w:rPr>
            </w:pPr>
          </w:p>
        </w:tc>
      </w:tr>
      <w:tr>
        <w:trPr>
          <w:trHeight w:val="261"/>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2,915,332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2,797,936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2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24130</wp:posOffset>
            </wp:positionV>
            <wp:extent cx="1714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8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9"/>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6"/>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8"/>
        </w:trPr>
        <w:tc>
          <w:tcPr>
            <w:tcW w:w="8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 (loss)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76,525</w:t>
            </w:r>
          </w:p>
        </w:tc>
        <w:tc>
          <w:tcPr>
            <w:tcW w:w="8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(23,160)</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8"/>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68,471</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 in undistributed earnings of associated companies, net of dividends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(4,366)</w:t>
            </w:r>
          </w:p>
        </w:tc>
      </w:tr>
      <w:tr>
        <w:trPr>
          <w:trHeight w:val="227"/>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(16,503)</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10,419</w:t>
            </w:r>
          </w:p>
        </w:tc>
      </w:tr>
      <w:tr>
        <w:trPr>
          <w:trHeight w:val="228"/>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 charges</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88,840</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 and related charges, net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31,128</w:t>
            </w:r>
          </w:p>
        </w:tc>
      </w:tr>
      <w:tr>
        <w:trPr>
          <w:trHeight w:val="227"/>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Inventory step-up amortization</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6,022</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(gain) on disposal of property, plant and equipment and other assets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w:t>
            </w:r>
          </w:p>
        </w:tc>
      </w:tr>
      <w:tr>
        <w:trPr>
          <w:trHeight w:val="228"/>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adjustments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(5,082)</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 (decrease) in cash from changes in current assets and current liabilities, net of acquisitions: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7"/>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4,585</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(57,185)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(16,473)</w:t>
            </w:r>
          </w:p>
        </w:tc>
      </w:tr>
      <w:tr>
        <w:trPr>
          <w:trHeight w:val="228"/>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(4,258)</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restructuring</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(21,671)</w:t>
            </w:r>
          </w:p>
        </w:tc>
      </w:tr>
      <w:tr>
        <w:trPr>
          <w:trHeight w:val="228"/>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(25,992)</w:t>
            </w:r>
          </w:p>
        </w:tc>
      </w:tr>
      <w:tr>
        <w:trPr>
          <w:trHeight w:val="29"/>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47,582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89,909</w:t>
            </w:r>
          </w:p>
        </w:tc>
      </w:tr>
      <w:tr>
        <w:trPr>
          <w:trHeight w:val="196"/>
        </w:trPr>
        <w:tc>
          <w:tcPr>
            <w:tcW w:w="84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36"/>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8"/>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Investments in property, plant and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(33,630)</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related to acquisitions, net of cash acquired</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(164,209)</w:t>
            </w:r>
          </w:p>
        </w:tc>
      </w:tr>
      <w:tr>
        <w:trPr>
          <w:trHeight w:val="228"/>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disposition of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2,992</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1,828</w:t>
            </w:r>
          </w:p>
        </w:tc>
      </w:tr>
      <w:tr>
        <w:trPr>
          <w:trHeight w:val="221"/>
        </w:trPr>
        <w:tc>
          <w:tcPr>
            <w:tcW w:w="8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(28,716)</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(193,019)</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8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of long-term debt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(629,685)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(25,967)</w:t>
            </w:r>
          </w:p>
        </w:tc>
      </w:tr>
      <w:tr>
        <w:trPr>
          <w:trHeight w:val="228"/>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Borrowings on revolving credit facilities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324,252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328,201</w:t>
            </w:r>
          </w:p>
        </w:tc>
      </w:tr>
      <w:tr>
        <w:trPr>
          <w:trHeight w:val="228"/>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on revolving credit facilities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(463,222)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(159,263)</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on other debt</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r>
      <w:tr>
        <w:trPr>
          <w:trHeight w:val="228"/>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Financing-related debt issuance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paid</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(26,368)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(25,583)</w:t>
            </w:r>
          </w:p>
        </w:tc>
      </w:tr>
      <w:tr>
        <w:trPr>
          <w:trHeight w:val="228"/>
        </w:trPr>
        <w:tc>
          <w:tcPr>
            <w:tcW w:w="8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Shares purchased under share repurchase programs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(36,496)</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stock related activity</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w:t>
            </w:r>
          </w:p>
        </w:tc>
      </w:tr>
      <w:tr>
        <w:trPr>
          <w:trHeight w:val="221"/>
        </w:trPr>
        <w:tc>
          <w:tcPr>
            <w:tcW w:w="8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(30,759)</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79,268</w:t>
            </w:r>
          </w:p>
        </w:tc>
      </w:tr>
      <w:tr>
        <w:trPr>
          <w:trHeight w:val="29"/>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Effect of foreign exchange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w:t>
            </w:r>
          </w:p>
        </w:tc>
      </w:tr>
      <w:tr>
        <w:trPr>
          <w:trHeight w:val="221"/>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(12,823)</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(16,842)</w:t>
            </w: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the beginning of the period</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179,829</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188,880</w:t>
            </w:r>
          </w:p>
        </w:tc>
      </w:tr>
      <w:tr>
        <w:trPr>
          <w:trHeight w:val="249"/>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the end of the period</w:t>
            </w: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167,006</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172,038</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5"/>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disclosures: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28"/>
        </w:trPr>
        <w:tc>
          <w:tcPr>
            <w:tcW w:w="8480" w:type="dxa"/>
            <w:vAlign w:val="bottom"/>
          </w:tcPr>
          <w:p>
            <w:pPr>
              <w:spacing w:after="0"/>
              <w:rPr>
                <w:sz w:val="20"/>
                <w:szCs w:val="20"/>
                <w:color w:val="auto"/>
              </w:rPr>
            </w:pPr>
            <w:r>
              <w:rPr>
                <w:rFonts w:ascii="Times New Roman" w:cs="Times New Roman" w:eastAsia="Times New Roman" w:hAnsi="Times New Roman"/>
                <w:sz w:val="17"/>
                <w:szCs w:val="17"/>
                <w:color w:val="auto"/>
              </w:rPr>
              <w:t>Non-cash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8"/>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purchases of property, plant and equipment, net</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9,671</w:t>
            </w:r>
          </w:p>
        </w:tc>
      </w:tr>
      <w:tr>
        <w:trPr>
          <w:trHeight w:val="29"/>
        </w:trPr>
        <w:tc>
          <w:tcPr>
            <w:tcW w:w="8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Capital in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Excess of Par</w:t>
            </w:r>
          </w:p>
        </w:tc>
        <w:tc>
          <w:tcPr>
            <w:tcW w:w="16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633,731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(201,619)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1,354,183</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12,917</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reported in 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25,968</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($0.485 per share)</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issuance and equity-based compensation plans,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37"/>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8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905,781</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638,079</w:t>
            </w:r>
          </w:p>
        </w:tc>
        <w:tc>
          <w:tcPr>
            <w:tcW w:w="80" w:type="dxa"/>
            <w:vAlign w:val="bottom"/>
          </w:tcPr>
          <w:p>
            <w:pPr>
              <w:spacing w:after="0"/>
              <w:rPr>
                <w:sz w:val="20"/>
                <w:szCs w:val="20"/>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(175,655)</w:t>
            </w:r>
          </w:p>
        </w:tc>
        <w:tc>
          <w:tcPr>
            <w:tcW w:w="8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1,386,500</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(66,563)</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reported in other comprehensive income</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60,601</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 from acquisition</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($0.485 per share)</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purchased under share repurchase program,</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of excise taxes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(32,982)</w:t>
            </w:r>
          </w:p>
        </w:tc>
      </w:tr>
      <w:tr>
        <w:trPr>
          <w:trHeight w:val="225"/>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issuance and equity-based compensation plans,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876,969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563,063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1,345,455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30,486</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reported in other comprehensive (loss)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($0.508 per share)</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(8,826)</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purchased under share repurchase program,</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of excise taxes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issuance and equity-based compensation plans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876,911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584,706</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1,366,883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82"/>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3"/>
        </w:trPr>
        <w:tc>
          <w:tcPr>
            <w:tcW w:w="41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Capital in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Excess of Par</w:t>
            </w:r>
          </w:p>
        </w:tc>
        <w:tc>
          <w:tcPr>
            <w:tcW w:w="16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6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(115,661)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1,376,499</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19,742</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reported in other comprehensive (loss)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($0.508 per share)</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(8,822)</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issuance and equity-based compensation plans,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6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876,213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607,463</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(125,359)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1,379,151</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26,813</w:t>
            </w:r>
          </w:p>
        </w:tc>
      </w:tr>
      <w:tr>
        <w:trPr>
          <w:trHeight w:val="225"/>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reported in other comprehensive income</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($0.508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r>
      <w:tr>
        <w:trPr>
          <w:trHeight w:val="225"/>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purchased under share repurchase program,</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of excise taxes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(24,353)</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issuance and equity-based compensation plans,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r>
      <w:tr>
        <w:trPr>
          <w:trHeight w:val="26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17,213</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855,896</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625,554</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(121,488)</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1,380,599</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29,970</w:t>
            </w:r>
          </w:p>
        </w:tc>
      </w:tr>
      <w:tr>
        <w:trPr>
          <w:trHeight w:val="225"/>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reported in other comprehensive income</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15,509</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($0.530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w:t>
            </w:r>
          </w:p>
        </w:tc>
      </w:tr>
      <w:tr>
        <w:trPr>
          <w:trHeight w:val="225"/>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purchased under share repurchase program,</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of excise taxes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issuance and equity-based compensation plans,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r>
      <w:tr>
        <w:trPr>
          <w:trHeight w:val="26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856,031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646,422</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(105,978)</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1,417,082</w:t>
            </w:r>
          </w:p>
        </w:tc>
      </w:tr>
      <w:tr>
        <w:trPr>
          <w:trHeight w:val="21"/>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7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40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rPr>
              <w:t>Basis of Presentation and Description of Business</w:t>
            </w:r>
          </w:p>
        </w:tc>
        <w:tc>
          <w:tcPr>
            <w:tcW w:w="5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60" w:type="dxa"/>
            <w:vAlign w:val="bottom"/>
            <w:vMerge w:val="continue"/>
          </w:tcPr>
          <w:p>
            <w:pPr>
              <w:spacing w:after="0"/>
              <w:rPr>
                <w:sz w:val="15"/>
                <w:szCs w:val="15"/>
                <w:color w:val="auto"/>
              </w:rPr>
            </w:pPr>
          </w:p>
        </w:tc>
        <w:tc>
          <w:tcPr>
            <w:tcW w:w="4060" w:type="dxa"/>
            <w:vAlign w:val="bottom"/>
            <w:gridSpan w:val="15"/>
            <w:vMerge w:val="continue"/>
          </w:tcPr>
          <w:p>
            <w:pPr>
              <w:spacing w:after="0"/>
              <w:rPr>
                <w:sz w:val="15"/>
                <w:szCs w:val="15"/>
                <w:color w:val="auto"/>
              </w:rPr>
            </w:pPr>
          </w:p>
        </w:tc>
        <w:tc>
          <w:tcPr>
            <w:tcW w:w="5760" w:type="dxa"/>
            <w:vAlign w:val="bottom"/>
            <w:gridSpan w:val="3"/>
          </w:tcPr>
          <w:p>
            <w:pPr>
              <w:jc w:val="center"/>
              <w:ind w:left="5590"/>
              <w:spacing w:after="0" w:line="169" w:lineRule="exact"/>
              <w:rPr>
                <w:sz w:val="20"/>
                <w:szCs w:val="20"/>
                <w:color w:val="auto"/>
              </w:rPr>
            </w:pPr>
            <w:r>
              <w:rPr>
                <w:rFonts w:ascii="Times New Roman" w:cs="Times New Roman" w:eastAsia="Times New Roman" w:hAnsi="Times New Roman"/>
                <w:sz w:val="18"/>
                <w:szCs w:val="18"/>
                <w:color w:val="0000FF"/>
                <w:w w:val="88"/>
              </w:rPr>
              <w:t>9</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3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80" w:type="dxa"/>
            <w:vAlign w:val="bottom"/>
            <w:gridSpan w:val="2"/>
            <w:shd w:val="clear" w:color="auto" w:fill="0000FF"/>
          </w:tcPr>
          <w:p>
            <w:pPr>
              <w:spacing w:after="0"/>
              <w:rPr>
                <w:sz w:val="2"/>
                <w:szCs w:val="2"/>
                <w:color w:val="auto"/>
              </w:rPr>
            </w:pPr>
          </w:p>
        </w:tc>
        <w:tc>
          <w:tcPr>
            <w:tcW w:w="5680" w:type="dxa"/>
            <w:vAlign w:val="bottom"/>
            <w:gridSpan w:val="2"/>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060" w:type="dxa"/>
            <w:vAlign w:val="bottom"/>
            <w:vMerge w:val="continue"/>
          </w:tcPr>
          <w:p>
            <w:pPr>
              <w:spacing w:after="0"/>
              <w:rPr>
                <w:sz w:val="22"/>
                <w:szCs w:val="22"/>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Business Acquisitions</w:t>
            </w:r>
          </w:p>
        </w:tc>
        <w:tc>
          <w:tcPr>
            <w:tcW w:w="2460" w:type="dxa"/>
            <w:vAlign w:val="bottom"/>
            <w:gridSpan w:val="10"/>
          </w:tcPr>
          <w:p>
            <w:pPr>
              <w:spacing w:after="0"/>
              <w:rPr>
                <w:sz w:val="22"/>
                <w:szCs w:val="22"/>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10</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4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Recently Issued Accounting Standards</w:t>
            </w: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12</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Business Segments</w:t>
            </w:r>
          </w:p>
        </w:tc>
        <w:tc>
          <w:tcPr>
            <w:tcW w:w="1380" w:type="dxa"/>
            <w:vAlign w:val="bottom"/>
            <w:gridSpan w:val="7"/>
          </w:tcPr>
          <w:p>
            <w:pPr>
              <w:spacing w:after="0"/>
              <w:rPr>
                <w:sz w:val="21"/>
                <w:szCs w:val="21"/>
                <w:color w:val="auto"/>
              </w:rPr>
            </w:pPr>
          </w:p>
        </w:tc>
        <w:tc>
          <w:tcPr>
            <w:tcW w:w="1320" w:type="dxa"/>
            <w:vAlign w:val="bottom"/>
            <w:gridSpan w:val="4"/>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12</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26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Net Sales and Revenue Recognition</w:t>
            </w:r>
          </w:p>
        </w:tc>
        <w:tc>
          <w:tcPr>
            <w:tcW w:w="1460" w:type="dxa"/>
            <w:vAlign w:val="bottom"/>
            <w:gridSpan w:val="6"/>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14</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Leases</w:t>
            </w:r>
          </w:p>
        </w:tc>
        <w:tc>
          <w:tcPr>
            <w:tcW w:w="2100" w:type="dxa"/>
            <w:vAlign w:val="bottom"/>
            <w:gridSpan w:val="7"/>
          </w:tcPr>
          <w:p>
            <w:pPr>
              <w:spacing w:after="0"/>
              <w:rPr>
                <w:sz w:val="21"/>
                <w:szCs w:val="21"/>
                <w:color w:val="auto"/>
              </w:rPr>
            </w:pPr>
          </w:p>
        </w:tc>
        <w:tc>
          <w:tcPr>
            <w:tcW w:w="1460" w:type="dxa"/>
            <w:vAlign w:val="bottom"/>
            <w:gridSpan w:val="6"/>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15</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4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Restructuring and Related Activities</w:t>
            </w: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16</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8</w:t>
            </w: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20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Share-Based Compensation</w:t>
            </w:r>
          </w:p>
        </w:tc>
        <w:tc>
          <w:tcPr>
            <w:tcW w:w="620" w:type="dxa"/>
            <w:vAlign w:val="bottom"/>
            <w:gridSpan w:val="3"/>
          </w:tcPr>
          <w:p>
            <w:pPr>
              <w:spacing w:after="0"/>
              <w:rPr>
                <w:sz w:val="21"/>
                <w:szCs w:val="21"/>
                <w:color w:val="auto"/>
              </w:rPr>
            </w:pPr>
          </w:p>
        </w:tc>
        <w:tc>
          <w:tcPr>
            <w:tcW w:w="1440" w:type="dxa"/>
            <w:vAlign w:val="bottom"/>
            <w:gridSpan w:val="5"/>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17</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9</w:t>
            </w: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Pension and Other Postretirement Benefits</w:t>
            </w:r>
          </w:p>
        </w:tc>
        <w:tc>
          <w:tcPr>
            <w:tcW w:w="980" w:type="dxa"/>
            <w:vAlign w:val="bottom"/>
            <w:gridSpan w:val="3"/>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18</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10</w:t>
            </w: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Other Expense, net</w:t>
            </w:r>
          </w:p>
        </w:tc>
        <w:tc>
          <w:tcPr>
            <w:tcW w:w="1720" w:type="dxa"/>
            <w:vAlign w:val="bottom"/>
            <w:gridSpan w:val="8"/>
          </w:tcPr>
          <w:p>
            <w:pPr>
              <w:spacing w:after="0"/>
              <w:rPr>
                <w:sz w:val="21"/>
                <w:szCs w:val="21"/>
                <w:color w:val="auto"/>
              </w:rPr>
            </w:pPr>
          </w:p>
        </w:tc>
        <w:tc>
          <w:tcPr>
            <w:tcW w:w="980" w:type="dxa"/>
            <w:vAlign w:val="bottom"/>
            <w:gridSpan w:val="3"/>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19</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Income Taxes</w:t>
            </w:r>
          </w:p>
        </w:tc>
        <w:tc>
          <w:tcPr>
            <w:tcW w:w="2700" w:type="dxa"/>
            <w:vAlign w:val="bottom"/>
            <w:gridSpan w:val="11"/>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19</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12</w:t>
            </w: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4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Earnings Per Share</w:t>
            </w: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20</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13</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2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Goodwill and Other Intangible Assets</w:t>
            </w:r>
          </w:p>
        </w:tc>
        <w:tc>
          <w:tcPr>
            <w:tcW w:w="1320" w:type="dxa"/>
            <w:vAlign w:val="bottom"/>
            <w:gridSpan w:val="4"/>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20</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Debt</w:t>
            </w:r>
          </w:p>
        </w:tc>
        <w:tc>
          <w:tcPr>
            <w:tcW w:w="2380" w:type="dxa"/>
            <w:vAlign w:val="bottom"/>
            <w:gridSpan w:val="10"/>
          </w:tcPr>
          <w:p>
            <w:pPr>
              <w:spacing w:after="0"/>
              <w:rPr>
                <w:sz w:val="21"/>
                <w:szCs w:val="21"/>
                <w:color w:val="auto"/>
              </w:rPr>
            </w:pPr>
          </w:p>
        </w:tc>
        <w:tc>
          <w:tcPr>
            <w:tcW w:w="1320" w:type="dxa"/>
            <w:vAlign w:val="bottom"/>
            <w:gridSpan w:val="4"/>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22</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15</w:t>
            </w:r>
          </w:p>
        </w:tc>
        <w:tc>
          <w:tcPr>
            <w:tcW w:w="36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1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Accumulated Other Comprehensive Income</w:t>
            </w:r>
          </w:p>
        </w:tc>
        <w:tc>
          <w:tcPr>
            <w:tcW w:w="880" w:type="dxa"/>
            <w:vAlign w:val="bottom"/>
            <w:gridSpan w:val="2"/>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25</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16</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1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Fair Value Measurements</w:t>
            </w:r>
          </w:p>
        </w:tc>
        <w:tc>
          <w:tcPr>
            <w:tcW w:w="880" w:type="dxa"/>
            <w:vAlign w:val="bottom"/>
            <w:gridSpan w:val="2"/>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26</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17</w:t>
            </w:r>
          </w:p>
        </w:tc>
        <w:tc>
          <w:tcPr>
            <w:tcW w:w="136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56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18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Hedging Activities</w:t>
            </w:r>
          </w:p>
        </w:tc>
        <w:tc>
          <w:tcPr>
            <w:tcW w:w="2220" w:type="dxa"/>
            <w:vAlign w:val="bottom"/>
            <w:gridSpan w:val="9"/>
          </w:tcPr>
          <w:p>
            <w:pPr>
              <w:spacing w:after="0"/>
              <w:rPr>
                <w:sz w:val="21"/>
                <w:szCs w:val="21"/>
                <w:color w:val="auto"/>
              </w:rPr>
            </w:pP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26</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18</w:t>
            </w: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4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5760" w:type="dxa"/>
            <w:vAlign w:val="bottom"/>
            <w:gridSpan w:val="3"/>
          </w:tcPr>
          <w:p>
            <w:pPr>
              <w:jc w:val="center"/>
              <w:ind w:left="5490"/>
              <w:spacing w:after="0"/>
              <w:rPr>
                <w:sz w:val="20"/>
                <w:szCs w:val="20"/>
                <w:color w:val="auto"/>
              </w:rPr>
            </w:pPr>
            <w:r>
              <w:rPr>
                <w:rFonts w:ascii="Times New Roman" w:cs="Times New Roman" w:eastAsia="Times New Roman" w:hAnsi="Times New Roman"/>
                <w:sz w:val="18"/>
                <w:szCs w:val="18"/>
                <w:color w:val="0000FF"/>
                <w:w w:val="99"/>
              </w:rPr>
              <w:t>28</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90"/>
        </w:trPr>
        <w:tc>
          <w:tcPr>
            <w:tcW w:w="106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6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54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Description of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used in these Notes to Condensed Consolidated Financial Statements of this Quarterly Report on Form 10-Q for the period ended September 30, 2026 (the “Report”), the terms “Quaker Houghton,” the “Company,” “we,” and “our” refer to Quaker Chemical Corporation (doing business as Quaker Houghton), its subsidiaries, and associated companies, unless the context otherwise requires.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of a normal recurring nature, necessary for a fair statement of the financial position, results of operations, and cash flows for the interim periods. The results for the nine months ended September 30, 2026 are not necessarily indicative of the results to be expected for the full year. These financial statements should be read in conjunction with the Company’s Annual Report filed on Form 10-K for the year ended December 31, 2025 (the “2025 Form 10-K”).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Revision of Previously Issued Financial Statements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second quarter of 2026, the Company identified an error in the historical presentation of borrowings and payments on revolving credit facilities that did not qualify for net presentation in its previously issued Consolidated Statements of Cash Flows. The Company determined that the errors, which had no impact on total cash flows provided by (used for) financing activities, were not material to any prior annual or interim periods. The Company will revise its Consolidated Statements of Cash Flows for the years ended December 31, 2025 and 2024 and for the impacted quarterly periods when the impacted periods are presented as comparative periods in future filings.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revised the amounts related to borrowings and repayments on revolving credit facilities within the Company’s Consolidated Statements of Cash Flows for the nine months ended September 30, 2025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9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Borrowings on revolving credit</w:t>
            </w:r>
          </w:p>
        </w:tc>
        <w:tc>
          <w:tcPr>
            <w:tcW w:w="2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Borrowings on Revolving</w:t>
            </w:r>
          </w:p>
        </w:tc>
        <w:tc>
          <w:tcPr>
            <w:tcW w:w="8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Payments on Revolving Credit</w:t>
            </w:r>
          </w:p>
        </w:tc>
      </w:tr>
      <w:tr>
        <w:trPr>
          <w:trHeight w:val="216"/>
        </w:trPr>
        <w:tc>
          <w:tcPr>
            <w:tcW w:w="3420" w:type="dxa"/>
            <w:vAlign w:val="bottom"/>
          </w:tcPr>
          <w:p>
            <w:pPr>
              <w:spacing w:after="0"/>
              <w:rPr>
                <w:sz w:val="18"/>
                <w:szCs w:val="18"/>
                <w:color w:val="auto"/>
              </w:rPr>
            </w:pPr>
          </w:p>
        </w:tc>
        <w:tc>
          <w:tcPr>
            <w:tcW w:w="29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facilities, net</w:t>
            </w:r>
          </w:p>
        </w:tc>
        <w:tc>
          <w:tcPr>
            <w:tcW w:w="2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Credit Facilities</w:t>
            </w:r>
          </w:p>
        </w:tc>
        <w:tc>
          <w:tcPr>
            <w:tcW w:w="80" w:type="dxa"/>
            <w:vAlign w:val="bottom"/>
          </w:tcPr>
          <w:p>
            <w:pPr>
              <w:spacing w:after="0"/>
              <w:rPr>
                <w:sz w:val="18"/>
                <w:szCs w:val="18"/>
                <w:color w:val="auto"/>
              </w:rPr>
            </w:pPr>
          </w:p>
        </w:tc>
        <w:tc>
          <w:tcPr>
            <w:tcW w:w="24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Facilities</w:t>
            </w:r>
          </w:p>
        </w:tc>
      </w:tr>
      <w:tr>
        <w:trPr>
          <w:trHeight w:val="238"/>
        </w:trPr>
        <w:tc>
          <w:tcPr>
            <w:tcW w:w="342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Period Ended</w:t>
            </w:r>
          </w:p>
        </w:tc>
        <w:tc>
          <w:tcPr>
            <w:tcW w:w="29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(as Previously Reported)</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Revised)</w:t>
            </w:r>
          </w:p>
        </w:tc>
        <w:tc>
          <w:tcPr>
            <w:tcW w:w="80" w:type="dxa"/>
            <w:vAlign w:val="bottom"/>
          </w:tcPr>
          <w:p>
            <w:pPr>
              <w:spacing w:after="0"/>
              <w:rPr>
                <w:sz w:val="20"/>
                <w:szCs w:val="20"/>
                <w:color w:val="auto"/>
              </w:rPr>
            </w:pPr>
          </w:p>
        </w:tc>
        <w:tc>
          <w:tcPr>
            <w:tcW w:w="24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(As Revised)</w:t>
            </w:r>
          </w:p>
        </w:tc>
      </w:tr>
      <w:tr>
        <w:trPr>
          <w:trHeight w:val="27"/>
        </w:trPr>
        <w:tc>
          <w:tcPr>
            <w:tcW w:w="34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2025</w:t>
            </w:r>
          </w:p>
        </w:tc>
        <w:tc>
          <w:tcPr>
            <w:tcW w:w="2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168,938</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328,201</w:t>
            </w:r>
          </w:p>
        </w:tc>
        <w:tc>
          <w:tcPr>
            <w:tcW w:w="8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(159,263)</w:t>
            </w:r>
          </w:p>
        </w:tc>
      </w:tr>
      <w:tr>
        <w:trPr>
          <w:trHeight w:val="27"/>
        </w:trPr>
        <w:tc>
          <w:tcPr>
            <w:tcW w:w="342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was organized in 1918 and incorporated as a Pennsylvania business corporation in 1930. 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chemical specialty products and offers chemical management services, which the Company refers to as Fluidcare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for various heavy industrial and manufacturing applications sold in its three reportable segments: (i) Americas; (ii) Europe, Middle East and Africa (“EMEA”); and (iii) Asia/Pacific.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Hyper-inflationary economies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Argentina’s and Türkiye’s economies were considered hyper-inflationary under U.S. GAAP effective July 1, 2018 and April 1, 2022, respectively. As of and for the three and nine months ended September 30, 2026, the Company’s Argentine and Turkish subsidiaries together represented approximately 1% and 2% of the Company’s consolidated total assets and net sales, respectively. During the three and nine months ended September 30, 2026, the Company recorded $0.5 million and $1.2 million of remeasurement losses associated with the applicable currency conversions, respectively. Comparatively, during the three and nine months ended September 30, 2025, the Company recorded $0.9 million and $2.1 million of remeasurement losses associated with the applicable currency conversions, respectively. These losses were recorded within Other expense, net, in the Company’s Condensed Consolidated Statements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Business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Previous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Dipsol</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2025, the Company acquired 100% of the outstanding equity interests of Dipsol Chemicals Co., Ltd. and its subsidiaries (“Dipsol”) for approximately $185.6 million (27.7 billion JPY), which included approximately $30.1 million (4.5 billion JPY) of acquired cash for a net purchase price of approximately $155.5 million (23.2 billion JPY). In July 2025, the Company satisfied all routine and customary post-closing conditions and finalized the purchase price with no adjustments. The Company funded the acquisition purchase price with borrowings under the Company’s Credit Facility. In connection with the acquisition of Dipsol, the Company entered into foreign currency forward contracts, which resulted in a $187.0 million cash payment in April 2025 and a $1.4 million foreign exchange loss recognized during the nine months ended September 30, 2025. Dipsol is headquartered in Japan and is a leading supplier of surface treatment and plating solutions and services primarily for the automotive and other industrial applications end markets. Dipsol has operations in several countries and these operations are reported within the Company’s respective Americas, EMEA, and Asia/Pacific segments. This acquisition expands the Company’s advanced solutions businesses in attractive end markets with solid growth characteristics. Dipsol also provides significant cross-selling opportunities and enhances the Company’s ability to meet the needs of our customers across the globe.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fair values of Dipsol assets acquired and liabilities assumed as of the acquisition date:</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Dipsol Assets Acquired and Liabilities Assumed</w:t>
      </w:r>
    </w:p>
    <w:tbl>
      <w:tblPr>
        <w:tblLayout w:type="fixed"/>
        <w:tblInd w:w="2240" w:type="dxa"/>
        <w:tblCellMar>
          <w:top w:w="0" w:type="dxa"/>
          <w:left w:w="0" w:type="dxa"/>
          <w:bottom w:w="0" w:type="dxa"/>
          <w:right w:w="0" w:type="dxa"/>
        </w:tblCellMar>
      </w:tblPr>
      <w:tr>
        <w:trPr>
          <w:trHeight w:val="253"/>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30"/>
              <w:spacing w:after="0" w:line="253" w:lineRule="exact"/>
              <w:rPr>
                <w:sz w:val="20"/>
                <w:szCs w:val="20"/>
                <w:color w:val="auto"/>
              </w:rPr>
            </w:pPr>
            <w:r>
              <w:rPr>
                <w:rFonts w:ascii="Times New Roman" w:cs="Times New Roman" w:eastAsia="Times New Roman" w:hAnsi="Times New Roman"/>
                <w:sz w:val="18"/>
                <w:szCs w:val="18"/>
                <w:b w:val="1"/>
                <w:bCs w:val="1"/>
                <w:color w:val="auto"/>
                <w:w w:val="94"/>
              </w:rPr>
              <w:t xml:space="preserve">Estimated Fair Value </w:t>
            </w:r>
            <w:r>
              <w:rPr>
                <w:rFonts w:ascii="Times New Roman" w:cs="Times New Roman" w:eastAsia="Times New Roman" w:hAnsi="Times New Roman"/>
                <w:sz w:val="23"/>
                <w:szCs w:val="23"/>
                <w:b w:val="1"/>
                <w:bCs w:val="1"/>
                <w:color w:val="auto"/>
                <w:w w:val="94"/>
                <w:vertAlign w:val="superscript"/>
              </w:rPr>
              <w:t>(1)</w:t>
            </w: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30,084</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w:t>
            </w:r>
          </w:p>
        </w:tc>
      </w:tr>
      <w:tr>
        <w:trPr>
          <w:trHeight w:val="243"/>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43"/>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39,450</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lease assets</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r>
      <w:tr>
        <w:trPr>
          <w:trHeight w:val="243"/>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associated companies</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r>
      <w:tr>
        <w:trPr>
          <w:trHeight w:val="243"/>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172,992</w:t>
            </w:r>
          </w:p>
        </w:tc>
      </w:tr>
      <w:tr>
        <w:trPr>
          <w:trHeight w:val="27"/>
        </w:trPr>
        <w:tc>
          <w:tcPr>
            <w:tcW w:w="4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43"/>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43"/>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43"/>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25,836</w:t>
            </w:r>
          </w:p>
        </w:tc>
      </w:tr>
      <w:tr>
        <w:trPr>
          <w:trHeight w:val="27"/>
        </w:trPr>
        <w:tc>
          <w:tcPr>
            <w:tcW w:w="4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37,988</w:t>
            </w: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w:t>
            </w: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53,059</w:t>
            </w:r>
          </w:p>
        </w:tc>
      </w:tr>
      <w:tr>
        <w:trPr>
          <w:trHeight w:val="26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185,612</w:t>
            </w: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413"/>
        <w:spacing w:after="0" w:line="229" w:lineRule="auto"/>
        <w:tabs>
          <w:tab w:leader="none" w:pos="597"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recorded approximately $0.2 million of measurement period adjustments during the year ended December 31, 2025 to reflect changes in net working capital and tax balances. All measurement period adjustments were offset against goodwill.</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During the first quarter of 2026, the Company finalized the allocation of the purchase price.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allocated $55.0 million of the purchase price to intangible assets across the Americas, EMEA, and Asia/Pacific segments. Customer relationships, product technologies, and trademarks are being amortized over 14 years, 8 years, and 13 years, respectively. The following table presents the intangible assets recognized for each reportable segment:</w:t>
      </w:r>
    </w:p>
    <w:p>
      <w:pPr>
        <w:spacing w:after="0" w:line="118"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30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EMEA</w:t>
            </w:r>
          </w:p>
        </w:tc>
        <w:tc>
          <w:tcPr>
            <w:tcW w:w="2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7"/>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Intangibles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7"/>
        </w:trPr>
        <w:tc>
          <w:tcPr>
            <w:tcW w:w="3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recognized $53.1 million of goodwill, which is comprised of $46.9 million in the Asia/Pacific segment, $5.8 million in the Americas segment, and $0.4 million in the EMEA segment. The goodwill is not deductible for tax purposes. The goodwill is primarily attributable to expected synergies.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sales from Dipsol included in the Condensed Consolidated Statement of Operations for the three and nine months ended September 30, 2026 are $22.3 million and $63.6 million, respectively. Comparatively, total sales from Dipsol included in the Condensed Consolidated Statement of Operations for the three and nine months ended September 30, 2025 were $20.6 million and $41.5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Natech</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2025, the Company acquired 100% of the outstanding equity interests of Natech, Ltd. (“Natech”) for approximately $6.5 million, which includes an initial cash payment of $6.0 million and a deferred payment of $0.5 million, subject to routine and customary post-closing adjustments, including an adjustment for working capital. Assets acquired included cash and cash equivalents of $1.5 million. Natech is based in the United Kingdom and is a manufacturer of surface treatment chemicals for a variety of industrial applications. Natech is reported as part of the EMEA reportable segment. This acquisition strengthens Quaker Houghton’s overall surface treatment product and application capabilities within Europe. The Company allocated $2.1 million of the purchase price to intangible assets and recognized $2.6 million of goodwill in the EMEA segment, none of which is deductible for tax purposes. The goodwill is primarily attributable to expected growth synergies. During the third quarter of 2025, the Company settled the working capital adjustment for an immaterial amount. During the first quarter of 2026, the Company finalized the allocation of the purchase price.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CSI</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2025, the Company acquired 100% of the outstanding equity interests of Chemical Solutions &amp; Innovations (Pty) Ltd. (“CSI”), for approximately $3.9 million, subject to routine and customary post-closing adjustments, including an adjustment for working capital. CSI is based in South Africa and is a supplier of metalworking fluids and lubricants to the South African market. CSI is reported as part of the EMEA reportable segment. This acquisition strengthens Quaker Houghton’s position in South Africa and expands the Company’s presence in that region. The Company allocated $1.4 million of the purchase price to intangible assets and recognized $1.7 million of goodwill in the EMEA segment, none of which is deductible for tax purposes. The goodwill is primarily attributable to expected growth synergies. During the third quarter of 2025, the Company settled the working capital adjustment for an immaterial amount. During the fourth quarter of 2025, the Company finalized the allocation of the purchase price.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of Dipsol, Natech, and CSI subsequent to the acquisition dates are included in the unaudited Condensed Consolidated Statements of Operations for the three and nine months ended September 30, 2026.</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recognized $0.2 million and $1.1 million, respectively, of acquisition-related expenses including legal, financial, consulting and other costs, compared to $0.6 million and $4.8 million, respectively, during the three and nine months ended September 30, 2025. These costs are included in Selling, general and administrative expenses (“SG&amp;A”) in the Condensed Consolidated Statements of Operations.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pro forma and other information is not presented, as the operations of the acquired assets and businesses are not considered material to the overall operations of the Company for the periods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 (Subtopic 220-40):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in November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requires Public Business Entities (“PBEs”) to disclose, in interim and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periods, additional information about certain expenses in the notes to the financial statements, including disclosing the amounts of purchases of inventory, employee compensation, depreciation, and intangible asset amortization in each relevant expense caption. It also requires PBEs to disclose a qualitative description of the amounts remaining in relevant expense captions that are not separately disaggregated quantitatively and to disclose the total amount of selling expenses, and in the annual reporting periods, an entity’s definition of selling expenses. ASU 2024-03 is effective for fiscal years beginning after December 15, 2026, with early adoption permitted. The Company is currently evaluating the disclosure requirements of this standard and the impact on its condensed consolidated financial statements.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FASB issued ASU 2025-06, </w:t>
      </w:r>
      <w:r>
        <w:rPr>
          <w:rFonts w:ascii="Times New Roman" w:cs="Times New Roman" w:eastAsia="Times New Roman" w:hAnsi="Times New Roman"/>
          <w:sz w:val="18"/>
          <w:szCs w:val="18"/>
          <w:i w:val="1"/>
          <w:iCs w:val="1"/>
          <w:color w:val="auto"/>
        </w:rPr>
        <w:t>Intangibles- Goodwill and Other- Internal-Use Software (Subtopic 350-40): Targeted Improvements to the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Internal-Use Software </w:t>
      </w:r>
      <w:r>
        <w:rPr>
          <w:rFonts w:ascii="Times New Roman" w:cs="Times New Roman" w:eastAsia="Times New Roman" w:hAnsi="Times New Roman"/>
          <w:sz w:val="18"/>
          <w:szCs w:val="18"/>
          <w:color w:val="auto"/>
        </w:rPr>
        <w:t>in September 2025. This ASU removes all references to prescriptive and sequential software development stages and will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PBEs to start capitalizing software costs when management has authorized and committed to funding the software project and it is probable that the project will be completed and the software will be used to perform the function intended. The ASU also specifies that the disclosures in Subtopic 360-10, Property, Plant, and Equipment- Overall are required for all capitalized internal-use software costs. ASU 2025-06 is effective for fiscal years beginning after December 15, 2027, with early adoption permitted. The Company is currently evaluating the disclosure requirements of this standard and the impact on its condensed consolidated financial statements.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FASB issued ASU 2025-11, Interim Reporting (Topic 270): Narrow-Scope Improvements in December 2025. This ASU amends Topic 270, by improving the navigability of the required interim disclosures and clarifying when that guidance is applicable. The amendments also provide additional guidance on what disclosures should be provided in interim reporting periods. Additionally, the amendment requires entities to disclose events since the end of the last annual reporting period that have a material impact on the entity. ASU 2025-11 is effective for interim reporting periods within annual reporting periods beginning after December 15, 2027, with early adoption permitted. The Company is currently evaluating the disclosure requirements of this standard and the impact on its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Segments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operating segments, which are consistent with its reportable segments, reflect the structure of the Company’s internal organization and the manner by which the Chief Operating Decision Maker (“CODM”), which is the Company’s Chief Executive Officer, allocates resources and assesses performance.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CODM evaluates performance for the Company’s operating segments based on segment operating earnings. Segment operating earnings for each of the Company’s reportable segments are comprised of the segment’s net sales less directly related product costs and other segment items. Operating expenses not directly attributable to the net sales of each respective segment, such as certain corporate and administrative costs and restructuring charges, are not included in segment operating earnings. Other items not specifically identified with the Company’s reportable segments include Interest expense and Other expense, net.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uses segment operating earnings to allocate resources for each segment predominantly in the annual budget and forecasting process. The CODM considers budget-to-actual variances on a monthly basis for segment operating earnings when making decisions about allocating capital and personnel to the segments. The CODM also uses segment operating earnings to assess the performance for each segment and in the compensation of certain employees.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asset information is not regularly provided to or reviewed by the CODM. Therefore, the Company does not disclose segment asset information for each reportable segment.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performance of the Company’s reportable segments for the three and nine months ended September 30, 2026 and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EMEA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Totals</w:t>
            </w:r>
          </w:p>
        </w:tc>
      </w:tr>
      <w:tr>
        <w:trPr>
          <w:trHeight w:val="27"/>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254,030</w:t>
            </w:r>
          </w:p>
        </w:tc>
        <w:tc>
          <w:tcPr>
            <w:tcW w:w="60" w:type="dxa"/>
            <w:vAlign w:val="bottom"/>
          </w:tcPr>
          <w:p>
            <w:pPr>
              <w:spacing w:after="0"/>
              <w:rPr>
                <w:sz w:val="23"/>
                <w:szCs w:val="23"/>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152,466</w:t>
            </w:r>
          </w:p>
        </w:tc>
        <w:tc>
          <w:tcPr>
            <w:tcW w:w="60" w:type="dxa"/>
            <w:vAlign w:val="bottom"/>
          </w:tcPr>
          <w:p>
            <w:pPr>
              <w:spacing w:after="0"/>
              <w:rPr>
                <w:sz w:val="23"/>
                <w:szCs w:val="23"/>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138,052</w:t>
            </w:r>
          </w:p>
        </w:tc>
        <w:tc>
          <w:tcPr>
            <w:tcW w:w="60" w:type="dxa"/>
            <w:vAlign w:val="bottom"/>
          </w:tcPr>
          <w:p>
            <w:pPr>
              <w:spacing w:after="0"/>
              <w:rPr>
                <w:sz w:val="23"/>
                <w:szCs w:val="23"/>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544,548</w:t>
            </w: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Product costs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131,937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290,274</w:t>
            </w:r>
          </w:p>
        </w:tc>
      </w:tr>
      <w:tr>
        <w:trPr>
          <w:trHeight w:val="27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56,436</w:t>
            </w: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38,306</w:t>
            </w: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122,388</w:t>
            </w: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65,657</w:t>
            </w:r>
          </w:p>
        </w:tc>
        <w:tc>
          <w:tcPr>
            <w:tcW w:w="6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31,174</w:t>
            </w:r>
          </w:p>
        </w:tc>
        <w:tc>
          <w:tcPr>
            <w:tcW w:w="6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60" w:type="dxa"/>
            <w:vAlign w:val="bottom"/>
          </w:tcPr>
          <w:p>
            <w:pPr>
              <w:spacing w:after="0"/>
              <w:rPr>
                <w:sz w:val="20"/>
                <w:szCs w:val="20"/>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131,886</w:t>
            </w:r>
          </w:p>
        </w:tc>
      </w:tr>
      <w:tr>
        <w:trPr>
          <w:trHeight w:val="27"/>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5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704,271</w:t>
            </w:r>
          </w:p>
        </w:tc>
        <w:tc>
          <w:tcPr>
            <w:tcW w:w="6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452,985</w:t>
            </w:r>
          </w:p>
        </w:tc>
        <w:tc>
          <w:tcPr>
            <w:tcW w:w="6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400,321</w:t>
            </w:r>
          </w:p>
        </w:tc>
        <w:tc>
          <w:tcPr>
            <w:tcW w:w="6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1,557,577</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Product costs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23"/>
                <w:szCs w:val="23"/>
                <w:color w:val="auto"/>
              </w:rPr>
            </w:pPr>
          </w:p>
        </w:tc>
        <w:tc>
          <w:tcPr>
            <w:tcW w:w="11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358,894</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240,525</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212,857</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812,276</w:t>
            </w:r>
          </w:p>
        </w:tc>
      </w:tr>
      <w:tr>
        <w:trPr>
          <w:trHeight w:val="27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168,532</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122,985</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81,574</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373,091</w:t>
            </w:r>
          </w:p>
        </w:tc>
      </w:tr>
      <w:tr>
        <w:trPr>
          <w:trHeight w:val="26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176,845</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89,475</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105,890</w:t>
            </w: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372,210</w:t>
            </w:r>
          </w:p>
        </w:tc>
      </w:tr>
      <w:tr>
        <w:trPr>
          <w:trHeight w:val="466"/>
        </w:trPr>
        <w:tc>
          <w:tcPr>
            <w:tcW w:w="54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EMEA</w:t>
            </w: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Totals</w:t>
            </w:r>
          </w:p>
        </w:tc>
      </w:tr>
      <w:tr>
        <w:trPr>
          <w:trHeight w:val="27"/>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222,787</w:t>
            </w:r>
          </w:p>
        </w:tc>
        <w:tc>
          <w:tcPr>
            <w:tcW w:w="60" w:type="dxa"/>
            <w:vAlign w:val="bottom"/>
          </w:tcPr>
          <w:p>
            <w:pPr>
              <w:spacing w:after="0"/>
              <w:rPr>
                <w:sz w:val="23"/>
                <w:szCs w:val="23"/>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143,900</w:t>
            </w:r>
          </w:p>
        </w:tc>
        <w:tc>
          <w:tcPr>
            <w:tcW w:w="60" w:type="dxa"/>
            <w:vAlign w:val="bottom"/>
          </w:tcPr>
          <w:p>
            <w:pPr>
              <w:spacing w:after="0"/>
              <w:rPr>
                <w:sz w:val="23"/>
                <w:szCs w:val="23"/>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127,155</w:t>
            </w:r>
          </w:p>
        </w:tc>
        <w:tc>
          <w:tcPr>
            <w:tcW w:w="60" w:type="dxa"/>
            <w:vAlign w:val="bottom"/>
          </w:tcPr>
          <w:p>
            <w:pPr>
              <w:spacing w:after="0"/>
              <w:rPr>
                <w:sz w:val="23"/>
                <w:szCs w:val="23"/>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493,842</w:t>
            </w: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Product costs </w:t>
            </w:r>
            <w:r>
              <w:rPr>
                <w:rFonts w:ascii="Times New Roman" w:cs="Times New Roman" w:eastAsia="Times New Roman" w:hAnsi="Times New Roman"/>
                <w:sz w:val="23"/>
                <w:szCs w:val="23"/>
                <w:color w:val="auto"/>
                <w:vertAlign w:val="superscript"/>
              </w:rPr>
              <w:t>(2) (5)</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254,287</w:t>
            </w:r>
          </w:p>
        </w:tc>
      </w:tr>
      <w:tr>
        <w:trPr>
          <w:trHeight w:val="27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52,777</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39,877</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118,594</w:t>
            </w: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58,913</w:t>
            </w:r>
          </w:p>
        </w:tc>
        <w:tc>
          <w:tcPr>
            <w:tcW w:w="6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6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35,569</w:t>
            </w:r>
          </w:p>
        </w:tc>
        <w:tc>
          <w:tcPr>
            <w:tcW w:w="6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120,961</w:t>
            </w:r>
          </w:p>
        </w:tc>
      </w:tr>
      <w:tr>
        <w:trPr>
          <w:trHeight w:val="27"/>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5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657,560</w:t>
            </w:r>
          </w:p>
        </w:tc>
        <w:tc>
          <w:tcPr>
            <w:tcW w:w="6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413,101</w:t>
            </w:r>
          </w:p>
        </w:tc>
        <w:tc>
          <w:tcPr>
            <w:tcW w:w="6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349,495</w:t>
            </w:r>
          </w:p>
        </w:tc>
        <w:tc>
          <w:tcPr>
            <w:tcW w:w="6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1,420,156</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Product costs </w:t>
            </w:r>
            <w:r>
              <w:rPr>
                <w:rFonts w:ascii="Times New Roman" w:cs="Times New Roman" w:eastAsia="Times New Roman" w:hAnsi="Times New Roman"/>
                <w:sz w:val="23"/>
                <w:szCs w:val="23"/>
                <w:color w:val="auto"/>
                <w:vertAlign w:val="superscript"/>
              </w:rPr>
              <w:t>(2) (4) (5)</w:t>
            </w:r>
          </w:p>
        </w:tc>
        <w:tc>
          <w:tcPr>
            <w:tcW w:w="220" w:type="dxa"/>
            <w:vAlign w:val="bottom"/>
            <w:shd w:val="clear" w:color="auto" w:fill="CCEEFF"/>
          </w:tcPr>
          <w:p>
            <w:pPr>
              <w:spacing w:after="0"/>
              <w:rPr>
                <w:sz w:val="23"/>
                <w:szCs w:val="23"/>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325,102</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222,385</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186,475</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733,962</w:t>
            </w:r>
          </w:p>
        </w:tc>
      </w:tr>
      <w:tr>
        <w:trPr>
          <w:trHeight w:val="27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156,107</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115,849</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72,806</w:t>
            </w: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344,762</w:t>
            </w: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176,351</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74,867</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90,214</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341,432</w:t>
            </w:r>
          </w:p>
        </w:tc>
      </w:tr>
      <w:tr>
        <w:trPr>
          <w:trHeight w:val="20"/>
        </w:trPr>
        <w:tc>
          <w:tcPr>
            <w:tcW w:w="5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Net sales relate to external customers only. All intersegment sales are eliminated in consolidation.</w:t>
      </w:r>
    </w:p>
    <w:p>
      <w:pPr>
        <w:spacing w:after="0" w:line="89" w:lineRule="exact"/>
        <w:rPr>
          <w:rFonts w:ascii="Times New Roman" w:cs="Times New Roman" w:eastAsia="Times New Roman" w:hAnsi="Times New Roman"/>
          <w:sz w:val="22"/>
          <w:szCs w:val="22"/>
          <w:color w:val="auto"/>
          <w:vertAlign w:val="superscript"/>
        </w:rPr>
      </w:pPr>
    </w:p>
    <w:p>
      <w:pPr>
        <w:ind w:firstLine="8"/>
        <w:spacing w:after="0" w:line="229" w:lineRule="auto"/>
        <w:tabs>
          <w:tab w:leader="none" w:pos="19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Product costs include the costs of raw materials and are recorded in Cost of goods sold in the Company’s Condensed Consolidated Statements of Operations.</w:t>
      </w:r>
    </w:p>
    <w:p>
      <w:pPr>
        <w:spacing w:after="0" w:line="90" w:lineRule="exact"/>
        <w:rPr>
          <w:rFonts w:ascii="Times New Roman" w:cs="Times New Roman" w:eastAsia="Times New Roman" w:hAnsi="Times New Roman"/>
          <w:sz w:val="23"/>
          <w:szCs w:val="23"/>
          <w:color w:val="auto"/>
          <w:vertAlign w:val="superscript"/>
        </w:rPr>
      </w:pPr>
    </w:p>
    <w:p>
      <w:pPr>
        <w:ind w:firstLine="8"/>
        <w:spacing w:after="0" w:line="287" w:lineRule="auto"/>
        <w:tabs>
          <w:tab w:leader="none" w:pos="165"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Other segment items include overhead costs of operating the Company’s production facilities and providing chemical management services to customers and direct SG&amp;A costs.</w:t>
      </w:r>
    </w:p>
    <w:p>
      <w:pPr>
        <w:spacing w:after="0" w:line="44" w:lineRule="exact"/>
        <w:rPr>
          <w:rFonts w:ascii="Times New Roman" w:cs="Times New Roman" w:eastAsia="Times New Roman" w:hAnsi="Times New Roman"/>
          <w:sz w:val="20"/>
          <w:szCs w:val="20"/>
          <w:color w:val="auto"/>
          <w:vertAlign w:val="superscript"/>
        </w:rPr>
      </w:pPr>
    </w:p>
    <w:p>
      <w:pPr>
        <w:jc w:val="both"/>
        <w:ind w:firstLine="8"/>
        <w:spacing w:after="0" w:line="251" w:lineRule="auto"/>
        <w:tabs>
          <w:tab w:leader="none" w:pos="185"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Product costs includes the $6.0 million amortization of the fair value step-up in Dipsol's inventories as a result of the acquisition during the nine months ended September 30, 2025, which is comprised of approximately $2.6 million in the Americas segment, $3.0 million in the Asia/Pacific segment, and $0.4 million in the EMEA segment.</w:t>
      </w:r>
    </w:p>
    <w:p>
      <w:pPr>
        <w:spacing w:after="0" w:line="82" w:lineRule="exact"/>
        <w:rPr>
          <w:rFonts w:ascii="Times New Roman" w:cs="Times New Roman" w:eastAsia="Times New Roman" w:hAnsi="Times New Roman"/>
          <w:sz w:val="22"/>
          <w:szCs w:val="22"/>
          <w:color w:val="auto"/>
          <w:vertAlign w:val="superscript"/>
        </w:rPr>
      </w:pPr>
    </w:p>
    <w:p>
      <w:pPr>
        <w:jc w:val="both"/>
        <w:ind w:firstLine="8"/>
        <w:spacing w:after="0" w:line="239" w:lineRule="auto"/>
        <w:tabs>
          <w:tab w:leader="none" w:pos="195"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Product costs includes a $0.7 million loss and a $2.9 million gain related to immaterial out-of-period adjustments for inventory for the three and nine months ended September 30, 2025, respectively. The $0.7 million loss was recognized in the Americas segment during the three months ended September 30, 2025. The $2.9 million gain recognized during the nine months ended September 30, 2025 was comprised of a $0.7 million gain in the Americas segment and $2.2 million gain in the EMEA segment.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a reconciliation of the Company’s segment operating earnings to income (loss) before taxes and equity in net income of associated companies in the Company’s Condensed Consolidated Statements of Operations for the three and nine months ended September 30, 2026 and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0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131,886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120,961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341,432</w:t>
            </w:r>
          </w:p>
        </w:tc>
        <w:tc>
          <w:tcPr>
            <w:tcW w:w="0" w:type="dxa"/>
            <w:vAlign w:val="bottom"/>
          </w:tcPr>
          <w:p>
            <w:pPr>
              <w:spacing w:after="0"/>
              <w:rPr>
                <w:sz w:val="1"/>
                <w:szCs w:val="1"/>
                <w:color w:val="auto"/>
              </w:rPr>
            </w:pP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(31,128)</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(88,840)</w:t>
            </w:r>
          </w:p>
        </w:tc>
        <w:tc>
          <w:tcPr>
            <w:tcW w:w="0" w:type="dxa"/>
            <w:vAlign w:val="bottom"/>
          </w:tcPr>
          <w:p>
            <w:pPr>
              <w:spacing w:after="0"/>
              <w:rPr>
                <w:sz w:val="1"/>
                <w:szCs w:val="1"/>
                <w:color w:val="auto"/>
              </w:rPr>
            </w:pP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Non-operating and administrative expenses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(151,137)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of corporate assets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(17,508)</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48,853</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46,641</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123,045</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(33,265)</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3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Income (loss) before taxes and equity in net income of associated</w:t>
            </w: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38,033</w:t>
            </w:r>
          </w:p>
        </w:tc>
        <w:tc>
          <w:tcPr>
            <w:tcW w:w="8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8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92,856</w:t>
            </w:r>
          </w:p>
        </w:tc>
        <w:tc>
          <w:tcPr>
            <w:tcW w:w="8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0" w:type="dxa"/>
            <w:vAlign w:val="bottom"/>
          </w:tcPr>
          <w:p>
            <w:pPr>
              <w:spacing w:after="0"/>
              <w:rPr>
                <w:sz w:val="1"/>
                <w:szCs w:val="1"/>
                <w:color w:val="auto"/>
              </w:rPr>
            </w:pPr>
          </w:p>
        </w:tc>
      </w:tr>
      <w:tr>
        <w:trPr>
          <w:trHeight w:val="25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Company’s reportable segments’ depreciation for the three and nine months ended September 30, 2026 and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9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0" w:type="dxa"/>
            <w:vAlign w:val="bottom"/>
          </w:tcPr>
          <w:p>
            <w:pPr>
              <w:spacing w:after="0"/>
              <w:rPr>
                <w:sz w:val="1"/>
                <w:szCs w:val="1"/>
                <w:color w:val="auto"/>
              </w:rPr>
            </w:pPr>
          </w:p>
        </w:tc>
      </w:tr>
      <w:tr>
        <w:trPr>
          <w:trHeight w:val="24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0" w:type="dxa"/>
            <w:vAlign w:val="bottom"/>
          </w:tcPr>
          <w:p>
            <w:pPr>
              <w:spacing w:after="0"/>
              <w:rPr>
                <w:sz w:val="1"/>
                <w:szCs w:val="1"/>
                <w:color w:val="auto"/>
              </w:rPr>
            </w:pPr>
          </w:p>
        </w:tc>
      </w:tr>
      <w:tr>
        <w:trPr>
          <w:trHeight w:val="26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depreciation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19,899</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Net Sales and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the Company’s revenues are realized from the sale of process fluids and services to manufacturers of steel, aluminum, automotive, aerospace, industrial and agricultural equipment, and durable goods. As previously disclosed in the Company’s 2025 Form 10-K, the Company’s five largest customers combined (each composed of multiple subsidiaries or divisions with semiautonomous purchasing authority) accounted for approximately 11% of consolidated net sales for 2025, with its largest customer accounting for approximately 3% of consolidated net sales.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material contract assets recorded on its Condensed Consolidated Balance Sheets as of September 30, 2026 or December 31, 2025.</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approximately $5.4 million and $3.6 million of deferred revenue as of September 30, 2026 and December 31, 2025, respectively. For the nine months ended September 30, 2026, the Company satisfied materially all of the associated performance obligations and recognized into revenue materially all advance payments received and recorded as of December 31,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sells its industrial process fluids, specialty chemicals and technical expertise as a global product portfolio. The Company generally manages and evaluates its performance by reportable segment first, and then by customer industries. Net sales of each of the Company’s major product lines are generally spread throughout all three of the Company’s reportable segments, and in most cases, are approximately proportionate to the level of total sales in each reportable segment.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the Company’s net sales by segment and customer industry.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185,668</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173,985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358,880</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254,030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138,052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544,548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505,824</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487,806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338,386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1,051,753</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704,271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452,985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400,321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1,557,577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160,264</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155,980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333,578</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222,787</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143,900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493,842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193,928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462,342</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463,632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306,566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957,814</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657,560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413,101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1,420,156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certain facilities, vehicles, and machinery and equipment with remaining lease terms up to 15 years. Operating lease expense is recognized on a straight-line basis over the lease term. In addition, the Company has certain land use leases with remaining lease terms up to 89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material variable lease costs, sublease income, or finance leases for the three and nine months ended September 30, 2026 and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lease expense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2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6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32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36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6"/>
        </w:trPr>
        <w:tc>
          <w:tcPr>
            <w:tcW w:w="3680" w:type="dxa"/>
            <w:vAlign w:val="bottom"/>
          </w:tcPr>
          <w:p>
            <w:pPr>
              <w:spacing w:after="0"/>
              <w:rPr>
                <w:sz w:val="20"/>
                <w:szCs w:val="20"/>
                <w:color w:val="auto"/>
              </w:rPr>
            </w:pP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36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74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4,596</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12,326</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756"/>
        </w:trPr>
        <w:tc>
          <w:tcPr>
            <w:tcW w:w="3680" w:type="dxa"/>
            <w:vAlign w:val="bottom"/>
          </w:tcPr>
          <w:p>
            <w:pPr>
              <w:spacing w:after="0"/>
              <w:rPr>
                <w:sz w:val="24"/>
                <w:szCs w:val="24"/>
                <w:color w:val="auto"/>
              </w:rPr>
            </w:pPr>
          </w:p>
        </w:tc>
        <w:tc>
          <w:tcPr>
            <w:tcW w:w="27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3680" w:type="dxa"/>
            <w:vAlign w:val="bottom"/>
            <w:tcBorders>
              <w:bottom w:val="single" w:sz="8" w:color="9A9A9A"/>
            </w:tcBorders>
          </w:tcPr>
          <w:p>
            <w:pPr>
              <w:spacing w:after="0"/>
              <w:rPr>
                <w:sz w:val="19"/>
                <w:szCs w:val="19"/>
                <w:color w:val="auto"/>
              </w:rPr>
            </w:pPr>
          </w:p>
        </w:tc>
        <w:tc>
          <w:tcPr>
            <w:tcW w:w="186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leases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32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32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
        </w:trPr>
        <w:tc>
          <w:tcPr>
            <w:tcW w:w="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Cash paid for amounts included in the measurement of lease liabilities:</w:t>
            </w:r>
          </w:p>
        </w:tc>
        <w:tc>
          <w:tcPr>
            <w:tcW w:w="8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left w:val="single" w:sz="8" w:color="CCEEFF"/>
              <w:bottom w:val="single" w:sz="8" w:color="CCEEFF"/>
            </w:tcBorders>
            <w:shd w:val="clear" w:color="auto" w:fill="CCEEFF"/>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4,691</w:t>
            </w:r>
          </w:p>
        </w:tc>
        <w:tc>
          <w:tcPr>
            <w:tcW w:w="80" w:type="dxa"/>
            <w:vAlign w:val="bottom"/>
          </w:tcPr>
          <w:p>
            <w:pPr>
              <w:spacing w:after="0"/>
              <w:rPr>
                <w:sz w:val="21"/>
                <w:szCs w:val="21"/>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4,288</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12,983</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80" w:type="dxa"/>
            <w:vAlign w:val="bottom"/>
            <w:tcBorders>
              <w:right w:val="single" w:sz="8" w:color="CCEEFF"/>
            </w:tcBorders>
            <w:shd w:val="clear" w:color="auto" w:fill="CCEEFF"/>
          </w:tcPr>
          <w:p>
            <w:pPr>
              <w:spacing w:after="0"/>
              <w:rPr>
                <w:sz w:val="22"/>
                <w:szCs w:val="22"/>
                <w:color w:val="auto"/>
              </w:rPr>
            </w:pPr>
          </w:p>
        </w:tc>
        <w:tc>
          <w:tcPr>
            <w:tcW w:w="54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0" w:type="dxa"/>
            <w:vAlign w:val="bottom"/>
            <w:tcBorders>
              <w:left w:val="single" w:sz="8" w:color="CCEEFF"/>
            </w:tcBorders>
            <w:shd w:val="clear" w:color="auto" w:fill="CCEEFF"/>
          </w:tcPr>
          <w:p>
            <w:pPr>
              <w:spacing w:after="0"/>
              <w:rPr>
                <w:sz w:val="22"/>
                <w:szCs w:val="22"/>
                <w:color w:val="auto"/>
              </w:rPr>
            </w:pPr>
          </w:p>
        </w:tc>
      </w:tr>
      <w:tr>
        <w:trPr>
          <w:trHeight w:val="243"/>
        </w:trPr>
        <w:tc>
          <w:tcPr>
            <w:tcW w:w="8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lease liabilities activity:</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2,164</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26,140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418"/>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is as follows: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6"/>
        </w:trPr>
        <w:tc>
          <w:tcPr>
            <w:tcW w:w="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4"/>
                <w:szCs w:val="24"/>
                <w:color w:val="auto"/>
              </w:rPr>
            </w:pP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lease assets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51,256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38,737</w:t>
            </w:r>
          </w:p>
        </w:tc>
        <w:tc>
          <w:tcPr>
            <w:tcW w:w="60" w:type="dxa"/>
            <w:vAlign w:val="bottom"/>
          </w:tcPr>
          <w:p>
            <w:pPr>
              <w:spacing w:after="0"/>
              <w:rPr>
                <w:sz w:val="21"/>
                <w:szCs w:val="21"/>
                <w:color w:val="auto"/>
              </w:rPr>
            </w:pPr>
          </w:p>
        </w:tc>
      </w:tr>
      <w:tr>
        <w:trPr>
          <w:trHeight w:val="257"/>
        </w:trPr>
        <w:tc>
          <w:tcPr>
            <w:tcW w:w="8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12,536</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35,494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22,759</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3"/>
        </w:trPr>
        <w:tc>
          <w:tcPr>
            <w:tcW w:w="80" w:type="dxa"/>
            <w:vAlign w:val="bottom"/>
          </w:tcPr>
          <w:p>
            <w:pPr>
              <w:spacing w:after="0"/>
              <w:rPr>
                <w:sz w:val="24"/>
                <w:szCs w:val="24"/>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47,811</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35,295</w:t>
            </w:r>
          </w:p>
        </w:tc>
        <w:tc>
          <w:tcPr>
            <w:tcW w:w="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8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60" w:type="dxa"/>
            <w:vAlign w:val="bottom"/>
          </w:tcPr>
          <w:p>
            <w:pPr>
              <w:spacing w:after="0"/>
              <w:rPr>
                <w:sz w:val="21"/>
                <w:szCs w:val="21"/>
                <w:color w:val="auto"/>
              </w:rPr>
            </w:pPr>
          </w:p>
        </w:tc>
      </w:tr>
      <w:tr>
        <w:trPr>
          <w:trHeight w:val="432"/>
        </w:trPr>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2026 were as follows: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5"/>
        </w:trPr>
        <w:tc>
          <w:tcPr>
            <w:tcW w:w="8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remainder of 2026</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60" w:type="dxa"/>
            <w:vAlign w:val="bottom"/>
            <w:tcBorders>
              <w:left w:val="single" w:sz="8" w:color="CCEEFF"/>
            </w:tcBorders>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2027</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December 31, 2028</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60" w:type="dxa"/>
            <w:vAlign w:val="bottom"/>
            <w:tcBorders>
              <w:left w:val="single" w:sz="8" w:color="CCEEFF"/>
            </w:tcBorders>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2029</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December 31, 2030</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60" w:type="dxa"/>
            <w:vAlign w:val="bottom"/>
            <w:tcBorders>
              <w:left w:val="single" w:sz="8" w:color="CCEEFF"/>
            </w:tcBorders>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2031 and beyond</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29,893</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80" w:type="dxa"/>
            <w:vAlign w:val="bottom"/>
            <w:tcBorders>
              <w:right w:val="single" w:sz="8" w:color="CCEEFF"/>
            </w:tcBorders>
          </w:tcPr>
          <w:p>
            <w:pPr>
              <w:spacing w:after="0"/>
              <w:rPr>
                <w:sz w:val="21"/>
                <w:szCs w:val="21"/>
                <w:color w:val="auto"/>
              </w:rPr>
            </w:pPr>
          </w:p>
        </w:tc>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66,462</w:t>
            </w:r>
          </w:p>
        </w:tc>
        <w:tc>
          <w:tcPr>
            <w:tcW w:w="60" w:type="dxa"/>
            <w:vAlign w:val="bottom"/>
            <w:tcBorders>
              <w:left w:val="single" w:sz="8" w:color="CCEEFF"/>
            </w:tcBorders>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(18,651)</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4"/>
        </w:trPr>
        <w:tc>
          <w:tcPr>
            <w:tcW w:w="80" w:type="dxa"/>
            <w:vAlign w:val="bottom"/>
            <w:tcBorders>
              <w:right w:val="single" w:sz="8" w:color="CCEEFF"/>
            </w:tcBorders>
          </w:tcPr>
          <w:p>
            <w:pPr>
              <w:spacing w:after="0"/>
              <w:rPr>
                <w:sz w:val="24"/>
                <w:szCs w:val="24"/>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Present value of lease liabilities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47,811</w:t>
            </w:r>
          </w:p>
        </w:tc>
        <w:tc>
          <w:tcPr>
            <w:tcW w:w="60" w:type="dxa"/>
            <w:vAlign w:val="bottom"/>
            <w:tcBorders>
              <w:left w:val="single" w:sz="8" w:color="CCEEFF"/>
            </w:tcBorders>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8"/>
        <w:spacing w:after="0" w:line="243" w:lineRule="auto"/>
        <w:tabs>
          <w:tab w:leader="none" w:pos="181"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year ended December 31, 2024, the Company entered into a new lease agreement for office and laboratory space in Radnor, Pennsylvania for the purpose of relocating its global headquarters. The lease for one portion of the laboratory space commenced during the second quarter of 2026 with a present value of operating lease liabilities of $19.8 million as of the lease commencement date. The lease for the remaining portions of laboratory and office space is expected to commence upon the completion of the lessor-owned leasehold improvements, which is expected to be in the fourth quarter of 2026. The cumulative future lease commitment for the remaining laboratory and office space that has not yet commenced is $48.8 million. The future lease commitments relating to the leases that have not yet commenced were not included in the operating lease liabilities balance as of September 30, 2026.</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Restructuring and Related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restructuring liabilities that represent nonrecurring charges in connection with simplifying certain organizational structures and operations. Restructuring costs incurred during the three and nine months ended September 30, 2026 and 2025 include employee severance and asset-related and facility closure costs, including non-cash asset write-offs, which are recorded in Restructuring and related charges, net in the Company’s Condensed Consolidated Statements of Operations. Restructuring activity primarily consists of the following programs:</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Global Business Transformation Program</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2026, the Company initiated a global business transformation program (the “2026 program”), encompassing several strategic transformation and restructuring initiatives. The 2026 program primarily involves simplifying the organizational structure of legal entities, projects associated with information technology infrastructure initiatives, the optimization of specific product portfolios through targeted rationalization efforts, the optimization of certain supply chain activities and related workforce reductions. The 2026 program began in the first quarter of 2026 and is expected to be complete in 2028. Costs relating to employee termination benefit costs and asset-related charges are expected to be recognized in Restructuring and related charges, net in the Company’s Condensed Consolidated Statements of Operations. Costs relating to other transformation initiatives described above are expected to be recognized within SG&amp;A and Cost of goods sold in the Company’s Condensed Consolidated Statements of Operations.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the 2026 program included approximately 130 headcount reductions globally. The Company recorded $3.4 million and $12.3 million of restructuring and related charges relating to the program during the three and nine months ended September 30, 2026,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Global Cost and Optimization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the Company initiated a global cost and optimization program (the “2022 program”) to improve its cost structure and drive a more profitable and productive organization. As of September 30, 2026, the 2022 program included restructuring and associated severance costs to reduce headcount by approximately 440 positions globally. In addition, the Company took actions to optimize its facility footprint under this program. These actions are expected to be substantially complete by the first half of 2027.</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$4.8 million and $11.4 million of restructuring and related charges relating to the 2022 program during the three and nine months ended September 30, 2026, respectively. Comparatively, the Company recorded $7.7 million and $31.1 million of restructuring and related charges relating to the 2022 program during the three and nine months ended September 30, 2025,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Company’s accrual for its ongoing restructuring plans and facility closure actions are as follows:</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2022 Program</w:t>
            </w: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2026 Program</w:t>
            </w: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restructuring as of December 31, 2025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costs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16,739</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Asset-related and facility closure charges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(17,964)</w:t>
            </w: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Reductions against the reserve</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r>
      <w:tr>
        <w:trPr>
          <w:trHeight w:val="24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restructuring as of September 30,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plans for the closure of certain manufacturing and non-manufacturing facilities, the Company has made available for sale certain facilities and properties. As of September 30, 2026, the Company classified properties in the Americas segment with an aggregate book value of approximately $1.2 million as held-for-sale. These assets are recorded in Prepaid expenses and other current assets in the Company’s Condensed Consolidated Balance Sheets. The Company expects to complete the sale of these properties over the next 12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$3.7 million and $10.6 million, respectively, of share-based compensation expense in its Condensed Consolidated Statements of Operations for the three and nine months ended September 30, 2026, compared to $3.5 million and $10.4 million, respectively, for the three and nine months ended September 30,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remaining unrecognized compensation expense related to non-vested restricted shares was fully recognized.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granted 88,158 restricted stock units under its LTIP, which are subject to time-based vesting, generally over one to three years. The fair value of these grants is based on the closing price of the Company’s common stock on the date of grant. As of September 30, 2026, unrecognized compensation expense related to non-vested restricted stock units was $9.3 million, to be recognized over a weighted average remaining period of 1.3 years.</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component of its LTIP, the Company grants performance-based stock unit awards (“PSUs”). The number of shares that may ultimately be issued as settlement for each award may range from 0% up to 200% of the target award, subject to the achievement of the Company’s market-based total shareholder return (“TSR”) metric relative to the performance of a selected peer group, and separately the achievement of a performance-based return on invested capital (“ROIC”) measure. The service vesting period required for the PSUs is generally three years and the measurement period of the market-based and performance-based objectives is generally from January 1 of the year of grant through December 31 of the year prior to issuance of the shares.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mentioned above, a portion of the Company’s PSUs is subject to the achievement of the Company’s TSR relative to the performance of a selected peer group. For PSUs subject to relative TSR performance granted in 2026, the Company’s peer group was the S&amp;P Composite 1500 Chemicals index.</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expense for PSUs is measured based on the grant date fair value and is recognized on a straight-line vesting method basis over the applicable vesting period. During the nine months ended September 30, 2026, the Company granted 29,748 PSUs with a ROIC condition. The fair value of these grants is based on the closing trading price of the Company’s common stock on the date of grant. During the nine months ended September 30, 2026, the Company granted 29,635 PSUs with a relative TSR condition. These PSUs are valued using a Monte Carlo simulation on the grant date and had a grant-date fair value of $109.28 per unit, which was developed based on the assumptions set forth in the table below:</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38"/>
        </w:trPr>
        <w:tc>
          <w:tcPr>
            <w:tcW w:w="978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Grants</w:t>
            </w:r>
          </w:p>
        </w:tc>
      </w:tr>
      <w:tr>
        <w:trPr>
          <w:trHeight w:val="27"/>
        </w:trPr>
        <w:tc>
          <w:tcPr>
            <w:tcW w:w="97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9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97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approximately $7.4 million of total unrecognized compensation cost related to PSUs, which the Company expects to recognize over a weighted-average period of 2.0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Pension and Other Postretirement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(income)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00" w:type="dxa"/>
            <w:vAlign w:val="bottom"/>
          </w:tcPr>
          <w:p>
            <w:pPr>
              <w:spacing w:after="0"/>
              <w:rPr>
                <w:sz w:val="20"/>
                <w:szCs w:val="20"/>
                <w:color w:val="auto"/>
              </w:rPr>
            </w:pPr>
          </w:p>
        </w:tc>
      </w:tr>
      <w:tr>
        <w:trPr>
          <w:trHeight w:val="27"/>
        </w:trPr>
        <w:tc>
          <w:tcPr>
            <w:tcW w:w="2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r>
      <w:tr>
        <w:trPr>
          <w:trHeight w:val="214"/>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Other Postretirement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Other Postretirement</w:t>
            </w:r>
          </w:p>
        </w:tc>
      </w:tr>
      <w:tr>
        <w:trPr>
          <w:trHeight w:val="238"/>
        </w:trPr>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60" w:type="dxa"/>
            <w:vAlign w:val="bottom"/>
          </w:tcPr>
          <w:p>
            <w:pPr>
              <w:spacing w:after="0"/>
              <w:rPr>
                <w:sz w:val="20"/>
                <w:szCs w:val="20"/>
                <w:color w:val="auto"/>
              </w:rPr>
            </w:pPr>
          </w:p>
        </w:tc>
        <w:tc>
          <w:tcPr>
            <w:tcW w:w="120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60" w:type="dxa"/>
            <w:vAlign w:val="bottom"/>
          </w:tcPr>
          <w:p>
            <w:pPr>
              <w:spacing w:after="0"/>
              <w:rPr>
                <w:sz w:val="20"/>
                <w:szCs w:val="20"/>
                <w:color w:val="auto"/>
              </w:rPr>
            </w:pPr>
          </w:p>
        </w:tc>
        <w:tc>
          <w:tcPr>
            <w:tcW w:w="120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700" w:type="dxa"/>
            <w:vAlign w:val="bottom"/>
          </w:tcPr>
          <w:p>
            <w:pPr>
              <w:spacing w:after="0"/>
              <w:rPr>
                <w:sz w:val="20"/>
                <w:szCs w:val="20"/>
                <w:color w:val="auto"/>
              </w:rPr>
            </w:pPr>
          </w:p>
        </w:tc>
      </w:tr>
      <w:tr>
        <w:trPr>
          <w:trHeight w:val="27"/>
        </w:trPr>
        <w:tc>
          <w:tcPr>
            <w:tcW w:w="2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2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 (gain) amortization</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periodic benefit cost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$2.5 million of contributions have been made to the Company’s U.S. and foreign pension plans. Contributions to other postretirement benefit plans were less than $0.1 million. Taking into consideration current minimum cash contribution requirements, the Company currently expects to make full year cash contributions of approximately $4.8 million to its U.S. and foreign pension plans and approximately $0.1 million to its other postretirement benefit plans.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Other Expense, net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Other expense, net are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6"/>
        </w:trPr>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4"/>
                <w:szCs w:val="24"/>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5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Non-income tax refunds and other related credits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disposals of property, plant, equipment and other assets,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losses,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 non-service components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modification and extinguishment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liability claim reimbursement</w:t>
            </w:r>
          </w:p>
        </w:tc>
        <w:tc>
          <w:tcPr>
            <w:tcW w:w="3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Multiemployer plan withdrawal charge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5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Non-income tax refunds and other related credits includes $1.8 million of indirect tax credits and interest received during the three and nine months ended September 30, 2025 relating to the Brazil Supreme Court ruling in regard to certain non-income (indirect) taxes that have been previously charged and paid.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2026, the Company recorded Debt modification and extinguishment costs of approximately $1.7 million, which includes the write-off of certain previously unamortized deferred financing costs as well as a portion of the third-party costs incurred to execute an amendment to the Company’s Credit Facility during April 2026. See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more information.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gain on disposals of property, plant, equipment and other assets, net includes the gain of $2.2 million recognized for the sale of certain property previously classified as held for sale during the nine months ended September 30, 2025.</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Foreign exchange losses, net includes a $1.4 million foreign exchange loss, respectively, during the nine months ended September 30, 2025 relating to the change in fair value of the foreign exchange forward contracts entered into in connection with the acquisition of Dipsol. See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for more information.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liability claim reimbursement reflects insurance recoveries during the nine months ended September 30, 2026 relating to a previous payment by the Company in connection with a product liability dispute with a customer.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Multiemployer plan withdrawal charge during the three and nine months ended September 30, 2025 represents a $0.9 million expense related to the Company withdrawing from the Cleveland Bakers and Teamsters Pension Fund, a multiemployer defined benefit pension plan, in connection with a site closure under the Company’s restructuring program and facility closure actions.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effective tax rates for the three and nine months ended September 30, 2026 were 31.1% and 32.5%, respectively, compared to 26.2% and (169.5)%, respectively, for the three and nine months ended September 30, 2025. The Company’s effective tax rates for the three and nine months ended September 30, 2026 were largely driven by our mix of pre-tax earnings and withholding taxes. Comparatively, the effective tax rate for the three months ended September 30, 2025 was largely driven by our mix of pre-tax earnings and withholding taxes offset by return to provision adjustments and net favorable reductions in uncertain tax positions, while the effective tax rate for the nine months ended September 30, 2025 was largely driven by our mix of pre-tax earnings, goodwill impairment, and withholding taxes offset by return to provision adjustments and net favorable reductions in uncertain tax positions.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4, 2025, H.R. 1, commonly known as the One Big Beautiful Bill Act (the “OBBB”), was signed into law. The OBBB includes significant changes to the federal corporate tax provisions and extends certain otherwise expiring provisions of the 2017 Tax Cuts and Jobs Act. Among other things, the legislation restores 100% bonus depreciation for eligible property, reinstates expensing for domestic research and experimental expenditures, imposes new limitations on interest expense deductibility, and expands disallowed deductions for certain employee remuneration. The legislation has multiple effective dates, with certain provisions effective in 2025 and other provisions implemented in 2026 and 2027 forward. The provisions effective in 2025 did not have a material impact to our consolidated financial statements, and the provisions effective in 2026 and 2027 are not expected to have a material impact to our consolidated financial statements.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earnings per share calculations: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6"/>
        </w:trPr>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Quaker Chemical Corporation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29,977</w:t>
            </w:r>
          </w:p>
        </w:tc>
        <w:tc>
          <w:tcPr>
            <w:tcW w:w="8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30,469</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76,481</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(23,189)</w:t>
            </w: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income (loss) allocated to participating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available to common shareholders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29,966</w:t>
            </w:r>
          </w:p>
        </w:tc>
        <w:tc>
          <w:tcPr>
            <w:tcW w:w="8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30,439</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76,450</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(23,145)</w:t>
            </w: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17,196,928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17,363,947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17,273,816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17,524,377</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common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5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Quaker Chemical Corporation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r>
      <w:tr>
        <w:trPr>
          <w:trHeight w:val="243"/>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income (loss) allocated to participating securities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available to common shareholders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(23,145)</w:t>
            </w:r>
          </w:p>
        </w:tc>
      </w:tr>
      <w:tr>
        <w:trPr>
          <w:trHeight w:val="243"/>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17,196,928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17,363,947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17,273,816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17,524,377</w:t>
            </w: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148,401</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89,700</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21,289</w:t>
            </w:r>
          </w:p>
        </w:tc>
      </w:tr>
      <w:tr>
        <w:trPr>
          <w:trHeight w:val="237"/>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17,345,329</w:t>
            </w: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17,421,090</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17,363,516</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17,545,666</w:t>
            </w: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common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5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stock options, restricted stock units, and PSUs are not included in the diluted earnings per share calculation when the effect would be anti-dilutive. The number of anti-dilutive shares were 13,907 and 23,262, respectively, for the three and nine months ended September 30, 2026, compared to 27,037 and 41,854, respectively, for the three and nine months ended September 30,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 Goodwill and Other Intangible Assets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8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months ended September 30, 2026 were as follows: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EMEA</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28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287,028</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501,720</w:t>
            </w:r>
          </w:p>
        </w:tc>
      </w:tr>
      <w:tr>
        <w:trPr>
          <w:trHeight w:val="243"/>
        </w:trPr>
        <w:tc>
          <w:tcPr>
            <w:tcW w:w="20" w:type="dxa"/>
            <w:vAlign w:val="bottom"/>
          </w:tcPr>
          <w:p>
            <w:pPr>
              <w:spacing w:after="0"/>
              <w:rPr>
                <w:sz w:val="21"/>
                <w:szCs w:val="21"/>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r>
      <w:tr>
        <w:trPr>
          <w:trHeight w:val="27"/>
        </w:trPr>
        <w:tc>
          <w:tcPr>
            <w:tcW w:w="20" w:type="dxa"/>
            <w:vAlign w:val="bottom"/>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3"/>
        </w:trPr>
        <w:tc>
          <w:tcPr>
            <w:tcW w:w="20" w:type="dxa"/>
            <w:vAlign w:val="bottom"/>
          </w:tcPr>
          <w:p>
            <w:pPr>
              <w:spacing w:after="0"/>
              <w:rPr>
                <w:sz w:val="24"/>
                <w:szCs w:val="24"/>
                <w:color w:val="auto"/>
              </w:rPr>
            </w:pP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286,900</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219,872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506,772</w:t>
            </w: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Sep 30, 2026</w:t>
            </w:r>
          </w:p>
        </w:tc>
        <w:tc>
          <w:tcPr>
            <w:tcW w:w="380" w:type="dxa"/>
            <w:vAlign w:val="bottom"/>
          </w:tcPr>
          <w:p>
            <w:pPr>
              <w:spacing w:after="0"/>
              <w:rPr>
                <w:sz w:val="20"/>
                <w:szCs w:val="20"/>
                <w:color w:val="auto"/>
              </w:rPr>
            </w:pPr>
          </w:p>
        </w:tc>
        <w:tc>
          <w:tcPr>
            <w:tcW w:w="18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Dec 31, 2025</w:t>
            </w:r>
          </w:p>
        </w:tc>
      </w:tr>
      <w:tr>
        <w:trPr>
          <w:trHeight w:val="27"/>
        </w:trPr>
        <w:tc>
          <w:tcPr>
            <w:tcW w:w="6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694,716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95"/>
              </w:rPr>
              <w:t>694,311</w:t>
            </w:r>
          </w:p>
        </w:tc>
      </w:tr>
      <w:tr>
        <w:trPr>
          <w:trHeight w:val="27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Accumulated impairment losses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9"/>
              </w:rPr>
              <w:t>(187,944)</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left="1030"/>
              <w:spacing w:after="0"/>
              <w:rPr>
                <w:sz w:val="20"/>
                <w:szCs w:val="20"/>
                <w:color w:val="auto"/>
              </w:rPr>
            </w:pPr>
            <w:r>
              <w:rPr>
                <w:rFonts w:ascii="Times New Roman" w:cs="Times New Roman" w:eastAsia="Times New Roman" w:hAnsi="Times New Roman"/>
                <w:sz w:val="18"/>
                <w:szCs w:val="18"/>
                <w:color w:val="auto"/>
              </w:rPr>
              <w:t>(192,591)</w:t>
            </w:r>
          </w:p>
        </w:tc>
      </w:tr>
      <w:tr>
        <w:trPr>
          <w:trHeight w:val="28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506,772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501,720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8"/>
        <w:spacing w:after="0"/>
        <w:tabs>
          <w:tab w:leader="none" w:pos="185"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Accumulated impairment losses are attributable to the non-cash impairment charges of $88.8 million and $93.0 million to write down the carrying value of the EMEA reporting unit during the second quarter of 2025 and the fourth quarter of 2022, respectively. These amounts include the impact of currency translation.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completes its annual goodwill and indefinite-lived intangible asset impairment tests during the fourth quarter of each year, or more frequently if triggering events indicate a possible impairment in one or more of its reporting units. The Company continually evaluates financial performance, economic conditions and other recent developments in assessing if a triggering event indicates that the carrying value of goodwill, indefinite-lived, or long-lived assets might be impaired.</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second quarter of 2025, the Company concluded that the negative impacts of the lower than projected financial performance, driven by the continuation of soft end market conditions, as well as an increase in the Company’s cost of capital, driven by uncertainty around the potential negative impacts of tariffs, represented a triggering event for the Company’s EMEA reporting unit and the associated goodwill, as well as the related asset group. As a result of this conclusion, the Company completed an interim impairment assessment as of June 30, 2025 for its EMEA reporting unit and the related asset group. The Company concluded that the undiscounted cash flows exceeded the carrying value of the EMEA asset group, and therefore that the long-lived assets were not impaired. In completing a quantitative goodwill impairment test, the Company compares the reporting unit’s fair value, based on future discounted cash flows, to its carrying value in order to determine if an impairment of goodwill exists. The estimates of future discounted cash flows involve considerable judgment and are based upon certain significant assumptions including the weighted average cost of capital (“WACC”) as well as projected EBITDA, which includes assumptions related to revenue growth rates, gross margin levels and operating expenses. As a result of the impact of the uncertainty around tariffs, and continued soft end market conditions driving lower current year EMEA earnings and a decline in projected future EMEA earnings, as well as an increase in the WACC assumption utilized in the Company’s 2024 annual impairment assessment, the Company concluded that the estimated fair value of the EMEA reporting unit was less than its carrying value. As a result, a pre-tax, non-cash impairment charge of $88.8 million ($86.7 million after-tax) to write down the remaining carrying value amount of the EMEA reporting unit Goodwill was recorded in the second quarter of 2025, reflected in “Impairment charges” in the Consolidated Statements of Operations for the nine months ended September 30, 2025.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carrying amounts and accumulated amortization for definite-lived intangible assets were as follows:</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Pr>
          <w:p>
            <w:pPr>
              <w:spacing w:after="0"/>
              <w:rPr>
                <w:sz w:val="18"/>
                <w:szCs w:val="18"/>
                <w:color w:val="auto"/>
              </w:rPr>
            </w:pPr>
          </w:p>
        </w:tc>
        <w:tc>
          <w:tcPr>
            <w:tcW w:w="276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276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27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26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rights to sell</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549,803</w:t>
            </w:r>
          </w:p>
        </w:tc>
        <w:tc>
          <w:tcPr>
            <w:tcW w:w="0" w:type="dxa"/>
            <w:vAlign w:val="bottom"/>
          </w:tcPr>
          <w:p>
            <w:pPr>
              <w:spacing w:after="0"/>
              <w:rPr>
                <w:sz w:val="1"/>
                <w:szCs w:val="1"/>
                <w:color w:val="auto"/>
              </w:rPr>
            </w:pPr>
          </w:p>
        </w:tc>
      </w:tr>
      <w:tr>
        <w:trPr>
          <w:trHeight w:val="225"/>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formulations and</w:t>
            </w:r>
          </w:p>
        </w:tc>
        <w:tc>
          <w:tcPr>
            <w:tcW w:w="12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194,548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199,434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84,284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77,521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110,264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121,913</w:t>
            </w:r>
          </w:p>
        </w:tc>
        <w:tc>
          <w:tcPr>
            <w:tcW w:w="0" w:type="dxa"/>
            <w:vAlign w:val="bottom"/>
          </w:tcPr>
          <w:p>
            <w:pPr>
              <w:spacing w:after="0"/>
              <w:rPr>
                <w:sz w:val="1"/>
                <w:szCs w:val="1"/>
                <w:color w:val="auto"/>
              </w:rPr>
            </w:pPr>
          </w:p>
        </w:tc>
      </w:tr>
      <w:tr>
        <w:trPr>
          <w:trHeight w:val="126"/>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product technology</w:t>
            </w:r>
          </w:p>
        </w:tc>
        <w:tc>
          <w:tcPr>
            <w:tcW w:w="1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05"/>
        </w:trPr>
        <w:tc>
          <w:tcPr>
            <w:tcW w:w="254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definite-lived intangible</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1,096,595</w:t>
            </w:r>
          </w:p>
        </w:tc>
        <w:tc>
          <w:tcPr>
            <w:tcW w:w="80" w:type="dxa"/>
            <w:vAlign w:val="bottom"/>
          </w:tcPr>
          <w:p>
            <w:pPr>
              <w:spacing w:after="0"/>
              <w:rPr>
                <w:sz w:val="17"/>
                <w:szCs w:val="1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1,107,967</w:t>
            </w:r>
          </w:p>
        </w:tc>
        <w:tc>
          <w:tcPr>
            <w:tcW w:w="8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479,804</w:t>
            </w:r>
          </w:p>
        </w:tc>
        <w:tc>
          <w:tcPr>
            <w:tcW w:w="8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435,616</w:t>
            </w:r>
          </w:p>
        </w:tc>
        <w:tc>
          <w:tcPr>
            <w:tcW w:w="8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616,791</w:t>
            </w:r>
          </w:p>
        </w:tc>
        <w:tc>
          <w:tcPr>
            <w:tcW w:w="8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672,351</w:t>
            </w:r>
          </w:p>
        </w:tc>
        <w:tc>
          <w:tcPr>
            <w:tcW w:w="0" w:type="dxa"/>
            <w:vAlign w:val="bottom"/>
          </w:tcPr>
          <w:p>
            <w:pPr>
              <w:spacing w:after="0"/>
              <w:rPr>
                <w:sz w:val="1"/>
                <w:szCs w:val="1"/>
                <w:color w:val="auto"/>
              </w:rPr>
            </w:pPr>
          </w:p>
        </w:tc>
      </w:tr>
      <w:tr>
        <w:trPr>
          <w:trHeight w:val="113"/>
        </w:trPr>
        <w:tc>
          <w:tcPr>
            <w:tcW w:w="2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54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amortizes definite-lived intangible assets on a straight-line basis over their useful lives. The Company recorded amortization expense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8"/>
                <w:szCs w:val="18"/>
                <w:color w:val="auto"/>
              </w:rPr>
            </w:pPr>
          </w:p>
        </w:tc>
        <w:tc>
          <w:tcPr>
            <w:tcW w:w="25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5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405"/>
        </w:trPr>
        <w:tc>
          <w:tcPr>
            <w:tcW w:w="8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Estimated annual aggregate amortization expense for the current year and subsequent five years is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 the remainder of 2026</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2027</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2028</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2029</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61,140</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2030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2031</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58,547</w:t>
            </w:r>
          </w:p>
        </w:tc>
        <w:tc>
          <w:tcPr>
            <w:tcW w:w="20" w:type="dxa"/>
            <w:vAlign w:val="bottom"/>
          </w:tcPr>
          <w:p>
            <w:pPr>
              <w:spacing w:after="0"/>
              <w:rPr>
                <w:sz w:val="21"/>
                <w:szCs w:val="2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indefinite-lived intangible assets for trademarks and tradenames totaling $196.4 million and $201.2 million, respectively.</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 Debt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5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debt:</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80" w:type="dxa"/>
            <w:vAlign w:val="bottom"/>
          </w:tcPr>
          <w:p>
            <w:pPr>
              <w:spacing w:after="0"/>
              <w:rPr>
                <w:sz w:val="24"/>
                <w:szCs w:val="24"/>
                <w:color w:val="auto"/>
              </w:rPr>
            </w:pPr>
          </w:p>
        </w:tc>
        <w:tc>
          <w:tcPr>
            <w:tcW w:w="28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38"/>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7"/>
        </w:trPr>
        <w:tc>
          <w:tcPr>
            <w:tcW w:w="20" w:type="dxa"/>
            <w:vAlign w:val="bottom"/>
          </w:tcPr>
          <w:p>
            <w:pPr>
              <w:spacing w:after="0"/>
              <w:rPr>
                <w:sz w:val="2"/>
                <w:szCs w:val="2"/>
                <w:color w:val="auto"/>
              </w:rPr>
            </w:pPr>
          </w:p>
        </w:tc>
        <w:tc>
          <w:tcPr>
            <w:tcW w:w="5500" w:type="dxa"/>
            <w:vAlign w:val="bottom"/>
            <w:tcBorders>
              <w:bottom w:val="single" w:sz="8" w:color="CCED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138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40" w:type="dxa"/>
            <w:vAlign w:val="bottom"/>
            <w:tcBorders>
              <w:bottom w:val="single" w:sz="8" w:color="CCEDFF"/>
            </w:tcBorders>
            <w:shd w:val="clear" w:color="auto" w:fill="CCEDFF"/>
          </w:tcPr>
          <w:p>
            <w:pPr>
              <w:spacing w:after="0"/>
              <w:rPr>
                <w:sz w:val="20"/>
                <w:szCs w:val="20"/>
                <w:color w:val="auto"/>
              </w:rPr>
            </w:pPr>
          </w:p>
        </w:tc>
        <w:tc>
          <w:tcPr>
            <w:tcW w:w="122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36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60" w:type="dxa"/>
            <w:vAlign w:val="bottom"/>
            <w:tcBorders>
              <w:bottom w:val="single" w:sz="8" w:color="CCEDFF"/>
            </w:tcBorders>
            <w:shd w:val="clear" w:color="auto" w:fill="CCEDFF"/>
          </w:tcPr>
          <w:p>
            <w:pPr>
              <w:spacing w:after="0"/>
              <w:rPr>
                <w:sz w:val="20"/>
                <w:szCs w:val="20"/>
                <w:color w:val="auto"/>
              </w:rPr>
            </w:pPr>
          </w:p>
        </w:tc>
        <w:tc>
          <w:tcPr>
            <w:tcW w:w="1200" w:type="dxa"/>
            <w:vAlign w:val="bottom"/>
            <w:tcBorders>
              <w:bottom w:val="single" w:sz="8" w:color="CCEDFF"/>
            </w:tcBorders>
            <w:shd w:val="clear" w:color="auto" w:fill="CCED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Revolver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229,088</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U.S. Term Loan</w:t>
            </w:r>
          </w:p>
        </w:tc>
        <w:tc>
          <w:tcPr>
            <w:tcW w:w="138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8"/>
              </w:rPr>
              <w:t>5.02%</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440" w:type="dxa"/>
            <w:vAlign w:val="bottom"/>
            <w:tcBorders>
              <w:bottom w:val="single" w:sz="8" w:color="CCEDFF"/>
            </w:tcBorders>
            <w:gridSpan w:val="2"/>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482,144</w:t>
            </w:r>
          </w:p>
        </w:tc>
      </w:tr>
      <w:tr>
        <w:trPr>
          <w:trHeight w:val="243"/>
        </w:trPr>
        <w:tc>
          <w:tcPr>
            <w:tcW w:w="20" w:type="dxa"/>
            <w:vAlign w:val="bottom"/>
          </w:tcPr>
          <w:p>
            <w:pPr>
              <w:spacing w:after="0"/>
              <w:rPr>
                <w:sz w:val="21"/>
                <w:szCs w:val="21"/>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Euro Term Loan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243,308</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148,477</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Industrial development bonds</w:t>
            </w:r>
          </w:p>
        </w:tc>
        <w:tc>
          <w:tcPr>
            <w:tcW w:w="138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8"/>
              </w:rPr>
              <w:t>5.26%</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tcBorders>
              <w:bottom w:val="single" w:sz="8" w:color="CCEDFF"/>
            </w:tcBorders>
            <w:gridSpan w:val="2"/>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lines of credit and other debt obligations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Various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tcPr>
          <w:p>
            <w:pPr>
              <w:spacing w:after="0"/>
              <w:rPr>
                <w:sz w:val="21"/>
                <w:szCs w:val="21"/>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7"/>
        </w:trPr>
        <w:tc>
          <w:tcPr>
            <w:tcW w:w="20" w:type="dxa"/>
            <w:vAlign w:val="bottom"/>
          </w:tcPr>
          <w:p>
            <w:pPr>
              <w:spacing w:after="0"/>
              <w:rPr>
                <w:sz w:val="2"/>
                <w:szCs w:val="2"/>
                <w:color w:val="auto"/>
              </w:rPr>
            </w:pPr>
          </w:p>
        </w:tc>
        <w:tc>
          <w:tcPr>
            <w:tcW w:w="5500" w:type="dxa"/>
            <w:vAlign w:val="bottom"/>
            <w:tcBorders>
              <w:bottom w:val="single" w:sz="8" w:color="CCEDFF"/>
            </w:tcBorders>
          </w:tcPr>
          <w:p>
            <w:pPr>
              <w:spacing w:after="0"/>
              <w:rPr>
                <w:sz w:val="2"/>
                <w:szCs w:val="2"/>
                <w:color w:val="auto"/>
              </w:rPr>
            </w:pPr>
          </w:p>
        </w:tc>
        <w:tc>
          <w:tcPr>
            <w:tcW w:w="138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36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3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894,557</w:t>
            </w:r>
          </w:p>
        </w:tc>
        <w:tc>
          <w:tcPr>
            <w:tcW w:w="80" w:type="dxa"/>
            <w:vAlign w:val="bottom"/>
            <w:tcBorders>
              <w:bottom w:val="single" w:sz="8" w:color="CCEDFF"/>
            </w:tcBorders>
            <w:shd w:val="clear" w:color="auto" w:fill="CCEDFF"/>
          </w:tcPr>
          <w:p>
            <w:pPr>
              <w:spacing w:after="0"/>
              <w:rPr>
                <w:sz w:val="21"/>
                <w:szCs w:val="21"/>
                <w:color w:val="auto"/>
              </w:rPr>
            </w:pPr>
          </w:p>
        </w:tc>
        <w:tc>
          <w:tcPr>
            <w:tcW w:w="136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871,210</w:t>
            </w:r>
          </w:p>
        </w:tc>
      </w:tr>
      <w:tr>
        <w:trPr>
          <w:trHeight w:val="243"/>
        </w:trPr>
        <w:tc>
          <w:tcPr>
            <w:tcW w:w="20" w:type="dxa"/>
            <w:vAlign w:val="bottom"/>
          </w:tcPr>
          <w:p>
            <w:pPr>
              <w:spacing w:after="0"/>
              <w:rPr>
                <w:sz w:val="21"/>
                <w:szCs w:val="21"/>
                <w:color w:val="auto"/>
              </w:rPr>
            </w:pP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debt issuance costs</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50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Less: short-term and current portion of long-term debts</w:t>
            </w:r>
          </w:p>
        </w:tc>
        <w:tc>
          <w:tcPr>
            <w:tcW w:w="138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40" w:type="dxa"/>
            <w:vAlign w:val="bottom"/>
            <w:tcBorders>
              <w:bottom w:val="single" w:sz="8" w:color="CCEDFF"/>
            </w:tcBorders>
            <w:shd w:val="clear" w:color="auto" w:fill="CCEDFF"/>
          </w:tcPr>
          <w:p>
            <w:pPr>
              <w:spacing w:after="0"/>
              <w:rPr>
                <w:sz w:val="23"/>
                <w:szCs w:val="23"/>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80" w:type="dxa"/>
            <w:vAlign w:val="bottom"/>
            <w:tcBorders>
              <w:bottom w:val="single" w:sz="8" w:color="CCEDFF"/>
            </w:tcBorders>
            <w:shd w:val="clear" w:color="auto" w:fill="CCEDFF"/>
          </w:tcPr>
          <w:p>
            <w:pPr>
              <w:spacing w:after="0"/>
              <w:rPr>
                <w:sz w:val="23"/>
                <w:szCs w:val="23"/>
                <w:color w:val="auto"/>
              </w:rPr>
            </w:pPr>
          </w:p>
        </w:tc>
        <w:tc>
          <w:tcPr>
            <w:tcW w:w="136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60" w:type="dxa"/>
            <w:vAlign w:val="bottom"/>
            <w:tcBorders>
              <w:bottom w:val="single" w:sz="8" w:color="CCEDFF"/>
            </w:tcBorders>
            <w:shd w:val="clear" w:color="auto" w:fill="CCEDFF"/>
          </w:tcPr>
          <w:p>
            <w:pPr>
              <w:spacing w:after="0"/>
              <w:rPr>
                <w:sz w:val="23"/>
                <w:szCs w:val="23"/>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(35,657)</w:t>
            </w:r>
          </w:p>
        </w:tc>
      </w:tr>
      <w:tr>
        <w:trPr>
          <w:trHeight w:val="263"/>
        </w:trPr>
        <w:tc>
          <w:tcPr>
            <w:tcW w:w="20" w:type="dxa"/>
            <w:vAlign w:val="bottom"/>
          </w:tcPr>
          <w:p>
            <w:pPr>
              <w:spacing w:after="0"/>
              <w:rPr>
                <w:sz w:val="22"/>
                <w:szCs w:val="22"/>
                <w:color w:val="auto"/>
              </w:rPr>
            </w:pPr>
          </w:p>
        </w:tc>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debt</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871,462</w:t>
            </w: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834,901</w:t>
            </w: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along with its wholly owned subsidiary, Quaker Houghton B.V., as borrowers, maintain a syndicated credit facility to support ongoing capital needs (the “Credit Facility”). Bank of America, N.A. serves as administrative agent under the Credit Facility for the Euro Term Loan, U.S. Term Loan, and Revolver (each as defined below), and, as of the Term Loan B Amendment (as defined below), JPMorgan Chase Bank, N.A. serves as administrative agent for the Term B Loans (as defined below). The Credit Facility was first entered into in 2019 and was amended in June 2022 to establish a $150.0 million Euro-equivalent senior secured term loan, a $600.0 million senior secured term loan, and a $500.0 million senior secured revolving credit facility, each maturing in June 2027.</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2026, the Company and its lenders entered into a fourth amendment to the Credit Facility (the “Fourth Amendment”). As so amended, the Credit Facility comprised (A) a $250.0 million Euro-equivalent senior secured term loan (the “Euro Term Loan”) (B) a $550.0 million senior secured term loan (the “U.S. Term Loan”) and (C) an $800.0 million senior secured revolving credit facility (the “Revolver”), each maturing in April 2031. The Company used the proceeds from the Fourth Amendment to, among other things, repay in full all outstanding loans and terminate the revolving credit commitments then outstanding. The Company has the right to increase the amount of the Credit Facility by an aggregate amount not to exceed (a) the greater of (i) $331.0 million and (ii) 100% of Consolidated EBITDA, subject to certain conditions including the agreement to provide financing by any lender providing such increase.</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agreement governing the Credit Facility (the “Credit Agreement”) contains customary affirmative and negative covenants, financial covenants and events of default. The Credit Agreement contains a number of customary business covenants, including without limitation restrictions on (a) the incurrence of additional indebtedness by the Company or certain of its subsidiaries, (b) investments in and acquisitions of other businesses, lines of business and divisions by the Company or certain of its subsidiaries, (c) the making of dividends or capital stock purchases by the Company or certain of its subsidiaries and (d) dispositions of assets by the Company or certain of its subsidiaries. The Company is permitted to make regularly scheduled dividend payments in an annual amount not exceeding $30.0 million or 5% of the annual market capitalization of the Company, whichever is greater, and is permitted to make other dividend and share repurchases in annual amounts not exceeding $33.0 million or 10% of Consolidated EBITDA, whichever is greater, if there is no default. Additionally, if there is no default and the consolidated net leverage ratio is less than 3.00 to 1.00, then the Company may make unlimited restricted payments.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covenants contained in the Credit Agreement include a consolidated interest coverage ratio test and a consolidated net leverage ratio test. Generally, the consolidated net leverage ratio at the end of a quarter may not be greater than 4.25 to 1.00, subject to a permitted increase during a four-quarter period after certain acquisitions. The Company has the option of replacing the consolidated net leverage ratio test with a consolidated secured net leverage ratio test if the Company issues certain types of unsecured notes, subject to certain customary limitations. Customary events of default in the Credit Agreement include, without limitation, defaults for non-payment, breach of representations and warranties, non-performance of covenants, cross-defaults, insolvency, and a change of control of the Company in certain circumstances. The occurrence of an event of default under the Credit Agreement could result in all loans and other obligations becoming immediately due and payable and the Credit Facility being terminated.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Company was in compliance with all of the Credit Facility covenants.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 average variable interest rate incurred on the outstanding borrowings under the Credit Facility during the three and nine months ended September 30, 2026 was approximately 4.6% and 4.7%, respectively. As of September 30, 2026, the interest rate on the outstanding borrowings under the Credit Facility was approximately 4.6%. In addition to paying interest on outstanding principal, the Company is also required to pay an annual commitment fee related to unutilized commitments under the Revolver, depending on the Company’s consolidated net leverage ratio. The Fourth Amendment to the Credit Facility modified the range of the annual commitment fee from 0.150% to 0.275% to 0.125% to 0.275%.</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unused capacity under the Revolver of approximately $707.7 million, which is net of bank letters of credit of approximately $2.3 million.</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executing the Fourth Amendment, the Company had $0.5 million of debt issuance costs recorded as a reduction of Long-term debt and $1.1 million of debt issuance costs recorded within Other non-current assets on the Condensed Consolidated Balance Sheets. In connection with executing the Fourth Amendment, the Company recorded debt modification and extinguishment costs of approximately $1.7 million, which includes the write-off of certain previously unamortized debt issuance costs and a portion of third-party costs that were incurred to execute the Fourth Amendment. Also in connection with executing the Fourth Amendment, during the second quarter of 2026 the Company capitalized $6.2 million of creditor debt issuance costs and certain third-party costs. Approximately $2.4 million of the capitalized costs were attributed to the Euro Term Loan and U.S. Term Loan and were recorded as a direct reduction of Long-term debt on the Condensed Consolidated Balance Sheets. Approximately $3.8 million of the capitalized costs were attributed to the Revolver and recorded within Other non-current assets on the Condensed Consolidated Balance Sheets. These capitalized costs, as well as the previously capitalized costs that were not written off, will collectively be amortized into Interest expense over the five-year term. As of September 30, 2026, the Company had $2.6 million of debt issuance costs recorded as a reduction of Long-term debt and $4.3 million of debt issuance costs recorded within Other non-current assets.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2026, the Company, JPMorgan Chase Bank, N.A., certain guarantors and other lenders entered into a Fifth Amendment (the “Term Loan B Amendment”) to the Credit Agreement. The Term Loan B Amendment amended the Credit Agreement to establish a new class of senior secured U.S. dollar-denominated term B loans (“Term B Loans”) under a new, $550.0 million seven-year term loan B facility (the “Term Loan B Facility”). The proceeds from the Term Loan B Facility were used to repay in full the U.S. Term Loan outstanding under the Credit Agreement.</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B Amendment provides for quarterly amortization payments equal to 0.25% of the initial aggregate principal amount of the Term B Loans thereunder, with the balance due at maturity. The Term Loan B Amendment also requires mandatory prepayments of Term B Loans from a percentage of annual excess cash flow, based on the Company’s Consolidated Net Leverage Ratio (50% if greater than 3.75 to 1.00, 25% if less than or equal to 3.75 to 1.00 but greater than 3.25 to 1.00, and 0% if less than or equal to 3.25 to 1.00), to the extent the resulting prepayment amount exceeds $30.0 million. In addition, the Term Loan B Amendment requires mandatory prepayments in the event of certain asset dispositions, debt issuances and extraordinary receipts (subject to reinvestment rights and de minimis thresholds). The Company is required to pay a prepayment premium equal to 1.00% of the Term B Loans prepaid or repriced in connection with a specified repricing event occurring within six months of October 1, 2026.</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 Loan B Amendment, the Company has the right to request incremental term loan tranches or increases to the existing revolving and term loan facilities (collectively, “Incremental Facilities”), subject to certain conditions and measurement periods, in an aggregate amount not to exceed the sum of (A) the greater of (i) $331.0 million and (ii) 100% of Consolidated EBITDA, plus (B) all voluntary prepayments, open market purchases (with credit for any purchases below par given for the cash amount of such purchase) and certain voluntary commitment reductions and (C) an unlimited amount so long as, after giving pro forma effect thereto (and assuming that such Incremental Facility is fully drawn) and any permitted acquisition, refinancing of debt or other event giving rise to a pro forma adjustment, (1) in the case of indebtedness that is secured on a pari passu lien basis with the Company’s senior credit facilities, the Consolidated First Lien Net Leverage Ratio may not exceed 3.50:1.00, (2) in the case of indebtedness that is secured on a junior lien basis with the senior credit facilities, the Consolidated Secured Net Leverage Ratio may not exceed 4.00:100 and (3) in the case of unsecured indebtedness, the Company would be in compliance with the leverage-based financial covenants set forth in the Credit Agreement. The interest rate margins applicable to any Incremental Facility that is a “term B” facility incurred within six months of October 1, 2026 and secured on a pari passu basis with the Term Loan B Facility are subject to a “most favored nation” provision requiring a step-up of the Applicable Rate for the Term B Loans if the all-in yield on such incremental term B facility exceeds the all-in yield on the Term B Loans by more than 0.50%.</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B Facility bears interest, at the Company’s election, at the Base Rate or Term SOFR plus an Applicable Rate of 1.750% for Term SOFR Loans and 0.750% for Base Rate Loans. The Term Loan B Facility matures on October 1, 2033.</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evaluating the accounting for the Term Loan B Amendment, including whether it represents a modification or extinguishment of debt, and expects to recognize the related effects in the fourth quarter of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development bonds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fixed rate, industrial development authority bonds totaling $10.0 million in principal amount due in 2028. These bonds have similar covenants to the Credit Facility noted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lines of credit and other debt obligations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finance lease obligations. Total unused capacity under these arrangements as of September 30, 2026 was approximately $79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bank letters of credit described in the “Credit facilities” subsection above, the Company maintains certain financial and other guarantees as off-balance sheet arrangements. Collectively, the total bank letters of credit and guarantees outstanding as of September 30, 2026 were approximately $7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the following debt related expenses included within Interest expense in the Condensed Consolidated Statements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8"/>
                <w:szCs w:val="18"/>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5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554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28,662</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32,206</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7"/>
        </w:trPr>
        <w:tc>
          <w:tcPr>
            <w:tcW w:w="554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5540" w:type="dxa"/>
            <w:vAlign w:val="bottom"/>
            <w:tcBorders>
              <w:bottom w:val="single" w:sz="8" w:color="CCEDFF"/>
            </w:tcBorders>
            <w:shd w:val="clear" w:color="auto" w:fill="CCED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80" w:type="dxa"/>
            <w:vAlign w:val="bottom"/>
            <w:tcBorders>
              <w:bottom w:val="single" w:sz="8" w:color="CCEDFF"/>
            </w:tcBorders>
            <w:shd w:val="clear" w:color="auto" w:fill="CCEDFF"/>
          </w:tcPr>
          <w:p>
            <w:pPr>
              <w:spacing w:after="0"/>
              <w:rPr>
                <w:sz w:val="24"/>
                <w:szCs w:val="24"/>
                <w:color w:val="auto"/>
              </w:rPr>
            </w:pPr>
          </w:p>
        </w:tc>
        <w:tc>
          <w:tcPr>
            <w:tcW w:w="32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29,775</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33,265</w:t>
            </w:r>
          </w:p>
        </w:tc>
      </w:tr>
      <w:tr>
        <w:trPr>
          <w:trHeight w:val="20"/>
        </w:trPr>
        <w:tc>
          <w:tcPr>
            <w:tcW w:w="554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variable interest rates associated with the Credit Facility, as of September 30, 2026 and as of December 31, 2025, the amounts at which the Company’s total debt were recorded are not materially different from their fair market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15 – Accumulated Other Comprehensive Income</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4"/>
        </w:trPr>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tables show the reclassifications from and resulting balances of accumulated other comprehensive income (“AOCI”):</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6"/>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 in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4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Available-for-</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7"/>
        </w:trPr>
        <w:tc>
          <w:tcPr>
            <w:tcW w:w="3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 xml:space="preserve">Adjustments </w:t>
            </w:r>
            <w:r>
              <w:rPr>
                <w:rFonts w:ascii="Times New Roman" w:cs="Times New Roman" w:eastAsia="Times New Roman" w:hAnsi="Times New Roman"/>
                <w:sz w:val="23"/>
                <w:szCs w:val="23"/>
                <w:b w:val="1"/>
                <w:bCs w:val="1"/>
                <w:color w:val="auto"/>
                <w:w w:val="96"/>
                <w:vertAlign w:val="superscript"/>
              </w:rPr>
              <w:t>(1)</w:t>
            </w:r>
          </w:p>
        </w:tc>
        <w:tc>
          <w:tcPr>
            <w:tcW w:w="240" w:type="dxa"/>
            <w:vAlign w:val="bottom"/>
          </w:tcPr>
          <w:p>
            <w:pPr>
              <w:spacing w:after="0"/>
              <w:rPr>
                <w:sz w:val="23"/>
                <w:szCs w:val="2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0" w:type="dxa"/>
            <w:vAlign w:val="bottom"/>
          </w:tcPr>
          <w:p>
            <w:pPr>
              <w:spacing w:after="0"/>
              <w:rPr>
                <w:sz w:val="23"/>
                <w:szCs w:val="2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Sale Securities</w:t>
            </w:r>
          </w:p>
        </w:tc>
        <w:tc>
          <w:tcPr>
            <w:tcW w:w="160" w:type="dxa"/>
            <w:vAlign w:val="bottom"/>
          </w:tcPr>
          <w:p>
            <w:pPr>
              <w:spacing w:after="0"/>
              <w:rPr>
                <w:sz w:val="23"/>
                <w:szCs w:val="2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30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3980" w:type="dxa"/>
            <w:vAlign w:val="bottom"/>
            <w:tcBorders>
              <w:top w:val="single" w:sz="8" w:color="CCEDFF"/>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2026</w:t>
            </w:r>
          </w:p>
        </w:tc>
        <w:tc>
          <w:tcPr>
            <w:tcW w:w="14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(113,975)</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240" w:type="dxa"/>
            <w:vAlign w:val="bottom"/>
            <w:tcBorders>
              <w:top w:val="single" w:sz="8" w:color="auto"/>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12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16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300" w:type="dxa"/>
            <w:vAlign w:val="bottom"/>
            <w:tcBorders>
              <w:top w:val="single" w:sz="8" w:color="auto"/>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(121,488)</w:t>
            </w:r>
          </w:p>
        </w:tc>
      </w:tr>
      <w:tr>
        <w:trPr>
          <w:trHeight w:val="225"/>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3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16,856</w:t>
            </w:r>
          </w:p>
        </w:tc>
      </w:tr>
      <w:tr>
        <w:trPr>
          <w:trHeight w:val="27"/>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8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44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7"/>
        </w:trPr>
        <w:tc>
          <w:tcPr>
            <w:tcW w:w="39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398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(105,269)</w:t>
            </w:r>
          </w:p>
        </w:tc>
        <w:tc>
          <w:tcPr>
            <w:tcW w:w="80" w:type="dxa"/>
            <w:vAlign w:val="bottom"/>
            <w:tcBorders>
              <w:bottom w:val="single" w:sz="8" w:color="CCEDFF"/>
            </w:tcBorders>
            <w:shd w:val="clear" w:color="auto" w:fill="CCEDFF"/>
          </w:tcPr>
          <w:p>
            <w:pPr>
              <w:spacing w:after="0"/>
              <w:rPr>
                <w:sz w:val="24"/>
                <w:szCs w:val="24"/>
                <w:color w:val="auto"/>
              </w:rPr>
            </w:pPr>
          </w:p>
        </w:tc>
        <w:tc>
          <w:tcPr>
            <w:tcW w:w="240" w:type="dxa"/>
            <w:vAlign w:val="bottom"/>
            <w:tcBorders>
              <w:bottom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80" w:type="dxa"/>
            <w:vAlign w:val="bottom"/>
            <w:tcBorders>
              <w:bottom w:val="single" w:sz="8" w:color="CCEDFF"/>
            </w:tcBorders>
            <w:shd w:val="clear" w:color="auto" w:fill="CCEDFF"/>
          </w:tcPr>
          <w:p>
            <w:pPr>
              <w:spacing w:after="0"/>
              <w:rPr>
                <w:sz w:val="24"/>
                <w:szCs w:val="24"/>
                <w:color w:val="auto"/>
              </w:rPr>
            </w:pPr>
          </w:p>
        </w:tc>
        <w:tc>
          <w:tcPr>
            <w:tcW w:w="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tcBorders>
              <w:bottom w:val="single" w:sz="8" w:color="CCEDFF"/>
            </w:tcBorders>
            <w:shd w:val="clear" w:color="auto" w:fill="CCEDFF"/>
          </w:tcPr>
          <w:p>
            <w:pPr>
              <w:spacing w:after="0"/>
              <w:rPr>
                <w:sz w:val="24"/>
                <w:szCs w:val="24"/>
                <w:color w:val="auto"/>
              </w:rPr>
            </w:pPr>
          </w:p>
        </w:tc>
        <w:tc>
          <w:tcPr>
            <w:tcW w:w="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(105,978)</w:t>
            </w:r>
          </w:p>
        </w:tc>
      </w:tr>
      <w:tr>
        <w:trPr>
          <w:trHeight w:val="20"/>
        </w:trPr>
        <w:tc>
          <w:tcPr>
            <w:tcW w:w="398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3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1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398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(103,831)</w:t>
            </w: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(115,181)</w:t>
            </w:r>
          </w:p>
        </w:tc>
      </w:tr>
      <w:tr>
        <w:trPr>
          <w:trHeight w:val="225"/>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3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7"/>
        </w:trPr>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8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44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43"/>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7"/>
        </w:trPr>
        <w:tc>
          <w:tcPr>
            <w:tcW w:w="39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398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(104,235)</w:t>
            </w:r>
          </w:p>
        </w:tc>
        <w:tc>
          <w:tcPr>
            <w:tcW w:w="80" w:type="dxa"/>
            <w:vAlign w:val="bottom"/>
            <w:tcBorders>
              <w:bottom w:val="single" w:sz="8" w:color="CCEDFF"/>
            </w:tcBorders>
            <w:shd w:val="clear" w:color="auto" w:fill="CCEDFF"/>
          </w:tcPr>
          <w:p>
            <w:pPr>
              <w:spacing w:after="0"/>
              <w:rPr>
                <w:sz w:val="24"/>
                <w:szCs w:val="24"/>
                <w:color w:val="auto"/>
              </w:rPr>
            </w:pPr>
          </w:p>
        </w:tc>
        <w:tc>
          <w:tcPr>
            <w:tcW w:w="240" w:type="dxa"/>
            <w:vAlign w:val="bottom"/>
            <w:tcBorders>
              <w:bottom w:val="single" w:sz="8" w:color="auto"/>
            </w:tcBorders>
            <w:shd w:val="clear" w:color="auto" w:fill="CCED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80" w:type="dxa"/>
            <w:vAlign w:val="bottom"/>
            <w:tcBorders>
              <w:bottom w:val="single" w:sz="8" w:color="CCEDFF"/>
            </w:tcBorders>
            <w:shd w:val="clear" w:color="auto" w:fill="CCEDFF"/>
          </w:tcPr>
          <w:p>
            <w:pPr>
              <w:spacing w:after="0"/>
              <w:rPr>
                <w:sz w:val="24"/>
                <w:szCs w:val="24"/>
                <w:color w:val="auto"/>
              </w:rPr>
            </w:pPr>
          </w:p>
        </w:tc>
        <w:tc>
          <w:tcPr>
            <w:tcW w:w="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DFF"/>
            </w:tcBorders>
            <w:shd w:val="clear" w:color="auto" w:fill="CCEDFF"/>
          </w:tcPr>
          <w:p>
            <w:pPr>
              <w:spacing w:after="0"/>
              <w:rPr>
                <w:sz w:val="24"/>
                <w:szCs w:val="24"/>
                <w:color w:val="auto"/>
              </w:rPr>
            </w:pPr>
          </w:p>
        </w:tc>
        <w:tc>
          <w:tcPr>
            <w:tcW w:w="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(115,333)</w:t>
            </w:r>
          </w:p>
        </w:tc>
      </w:tr>
      <w:tr>
        <w:trPr>
          <w:trHeight w:val="20"/>
        </w:trPr>
        <w:tc>
          <w:tcPr>
            <w:tcW w:w="398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3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1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Includes mark-to-market impacts associated with net investment hedges. See Note 17, </w:t>
      </w:r>
      <w:r>
        <w:rPr>
          <w:rFonts w:ascii="Times New Roman" w:cs="Times New Roman" w:eastAsia="Times New Roman" w:hAnsi="Times New Roman"/>
          <w:sz w:val="17"/>
          <w:szCs w:val="17"/>
          <w:i w:val="1"/>
          <w:iCs w:val="1"/>
          <w:color w:val="auto"/>
        </w:rPr>
        <w:t>Hedging Activities</w:t>
      </w:r>
      <w:r>
        <w:rPr>
          <w:rFonts w:ascii="Times New Roman" w:cs="Times New Roman" w:eastAsia="Times New Roman" w:hAnsi="Times New Roman"/>
          <w:sz w:val="17"/>
          <w:szCs w:val="17"/>
          <w:color w:val="auto"/>
        </w:rPr>
        <w:t>, for more information.</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Unrealized Gain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2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 in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Available-for-</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7"/>
        </w:trPr>
        <w:tc>
          <w:tcPr>
            <w:tcW w:w="4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Adjustments</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Pr>
          <w:p>
            <w:pPr>
              <w:spacing w:after="0"/>
              <w:rPr>
                <w:sz w:val="23"/>
                <w:szCs w:val="2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0" w:type="dxa"/>
            <w:vAlign w:val="bottom"/>
          </w:tcPr>
          <w:p>
            <w:pPr>
              <w:spacing w:after="0"/>
              <w:rPr>
                <w:sz w:val="23"/>
                <w:szCs w:val="2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Sale Securities</w:t>
            </w:r>
          </w:p>
        </w:tc>
        <w:tc>
          <w:tcPr>
            <w:tcW w:w="160" w:type="dxa"/>
            <w:vAlign w:val="bottom"/>
          </w:tcPr>
          <w:p>
            <w:pPr>
              <w:spacing w:after="0"/>
              <w:rPr>
                <w:sz w:val="23"/>
                <w:szCs w:val="2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30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4"/>
        </w:trPr>
        <w:tc>
          <w:tcPr>
            <w:tcW w:w="4080" w:type="dxa"/>
            <w:vAlign w:val="bottom"/>
            <w:tcBorders>
              <w:top w:val="single" w:sz="8" w:color="CCEDFF"/>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4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(104,697)</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240" w:type="dxa"/>
            <w:vAlign w:val="bottom"/>
            <w:tcBorders>
              <w:top w:val="single" w:sz="8" w:color="auto"/>
              <w:bottom w:val="single" w:sz="8" w:color="CCEDFF"/>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12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16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CCEDFF"/>
              <w:bottom w:val="single" w:sz="8" w:color="CCEDFF"/>
            </w:tcBorders>
            <w:shd w:val="clear" w:color="auto" w:fill="CCEDFF"/>
          </w:tcPr>
          <w:p>
            <w:pPr>
              <w:spacing w:after="0"/>
              <w:rPr>
                <w:sz w:val="21"/>
                <w:szCs w:val="21"/>
                <w:color w:val="auto"/>
              </w:rPr>
            </w:pPr>
          </w:p>
        </w:tc>
        <w:tc>
          <w:tcPr>
            <w:tcW w:w="300" w:type="dxa"/>
            <w:vAlign w:val="bottom"/>
            <w:tcBorders>
              <w:top w:val="single" w:sz="8" w:color="auto"/>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(115,661)</w:t>
            </w:r>
          </w:p>
        </w:tc>
      </w:tr>
      <w:tr>
        <w:trPr>
          <w:trHeight w:val="225"/>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12,724</w:t>
            </w: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8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43"/>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7"/>
        </w:trPr>
        <w:tc>
          <w:tcPr>
            <w:tcW w:w="40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408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(105,269)</w:t>
            </w:r>
          </w:p>
        </w:tc>
        <w:tc>
          <w:tcPr>
            <w:tcW w:w="80" w:type="dxa"/>
            <w:vAlign w:val="bottom"/>
            <w:tcBorders>
              <w:bottom w:val="single" w:sz="8" w:color="CCEDFF"/>
            </w:tcBorders>
            <w:shd w:val="clear" w:color="auto" w:fill="CCEDFF"/>
          </w:tcPr>
          <w:p>
            <w:pPr>
              <w:spacing w:after="0"/>
              <w:rPr>
                <w:sz w:val="24"/>
                <w:szCs w:val="24"/>
                <w:color w:val="auto"/>
              </w:rPr>
            </w:pPr>
          </w:p>
        </w:tc>
        <w:tc>
          <w:tcPr>
            <w:tcW w:w="24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80" w:type="dxa"/>
            <w:vAlign w:val="bottom"/>
            <w:tcBorders>
              <w:bottom w:val="single" w:sz="8" w:color="CCEDFF"/>
            </w:tcBorders>
            <w:shd w:val="clear" w:color="auto" w:fill="CCEDFF"/>
          </w:tcPr>
          <w:p>
            <w:pPr>
              <w:spacing w:after="0"/>
              <w:rPr>
                <w:sz w:val="24"/>
                <w:szCs w:val="24"/>
                <w:color w:val="auto"/>
              </w:rPr>
            </w:pPr>
          </w:p>
        </w:tc>
        <w:tc>
          <w:tcPr>
            <w:tcW w:w="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tcBorders>
              <w:bottom w:val="single" w:sz="8" w:color="CCEDFF"/>
            </w:tcBorders>
            <w:shd w:val="clear" w:color="auto" w:fill="CCEDFF"/>
          </w:tcPr>
          <w:p>
            <w:pPr>
              <w:spacing w:after="0"/>
              <w:rPr>
                <w:sz w:val="24"/>
                <w:szCs w:val="24"/>
                <w:color w:val="auto"/>
              </w:rPr>
            </w:pPr>
          </w:p>
        </w:tc>
        <w:tc>
          <w:tcPr>
            <w:tcW w:w="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(105,978)</w:t>
            </w:r>
          </w:p>
        </w:tc>
      </w:tr>
      <w:tr>
        <w:trPr>
          <w:trHeight w:val="20"/>
        </w:trPr>
        <w:tc>
          <w:tcPr>
            <w:tcW w:w="408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2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1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CCEDFF"/>
              <w:bottom w:val="single" w:sz="8" w:color="auto"/>
            </w:tcBorders>
          </w:tcPr>
          <w:p>
            <w:pPr>
              <w:spacing w:after="0" w:line="20" w:lineRule="exact"/>
              <w:rPr>
                <w:sz w:val="1"/>
                <w:szCs w:val="1"/>
                <w:color w:val="auto"/>
              </w:rPr>
            </w:pPr>
          </w:p>
        </w:tc>
        <w:tc>
          <w:tcPr>
            <w:tcW w:w="124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408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(192,841)</w:t>
            </w:r>
          </w:p>
        </w:tc>
        <w:tc>
          <w:tcPr>
            <w:tcW w:w="80" w:type="dxa"/>
            <w:vAlign w:val="bottom"/>
            <w:tcBorders>
              <w:bottom w:val="single" w:sz="8" w:color="CCEDFF"/>
            </w:tcBorders>
            <w:shd w:val="clear" w:color="auto" w:fill="CCEDFF"/>
          </w:tcPr>
          <w:p>
            <w:pPr>
              <w:spacing w:after="0"/>
              <w:rPr>
                <w:sz w:val="21"/>
                <w:szCs w:val="21"/>
                <w:color w:val="auto"/>
              </w:rPr>
            </w:pPr>
          </w:p>
        </w:tc>
        <w:tc>
          <w:tcPr>
            <w:tcW w:w="240" w:type="dxa"/>
            <w:vAlign w:val="bottom"/>
            <w:tcBorders>
              <w:bottom w:val="single" w:sz="8" w:color="CCEDFF"/>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(201,619)</w:t>
            </w:r>
          </w:p>
        </w:tc>
      </w:tr>
      <w:tr>
        <w:trPr>
          <w:trHeight w:val="225"/>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84,504</w:t>
            </w: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8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DFF"/>
            </w:tcBorders>
            <w:shd w:val="clear" w:color="auto" w:fill="CCEDFF"/>
          </w:tcPr>
          <w:p>
            <w:pPr>
              <w:spacing w:after="0"/>
              <w:rPr>
                <w:sz w:val="21"/>
                <w:szCs w:val="21"/>
                <w:color w:val="auto"/>
              </w:rPr>
            </w:pPr>
          </w:p>
        </w:tc>
        <w:tc>
          <w:tcPr>
            <w:tcW w:w="1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7"/>
        </w:trPr>
        <w:tc>
          <w:tcPr>
            <w:tcW w:w="40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408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(104,235)</w:t>
            </w:r>
          </w:p>
        </w:tc>
        <w:tc>
          <w:tcPr>
            <w:tcW w:w="80" w:type="dxa"/>
            <w:vAlign w:val="bottom"/>
            <w:tcBorders>
              <w:bottom w:val="single" w:sz="8" w:color="CCEDFF"/>
            </w:tcBorders>
            <w:shd w:val="clear" w:color="auto" w:fill="CCEDFF"/>
          </w:tcPr>
          <w:p>
            <w:pPr>
              <w:spacing w:after="0"/>
              <w:rPr>
                <w:sz w:val="24"/>
                <w:szCs w:val="24"/>
                <w:color w:val="auto"/>
              </w:rPr>
            </w:pPr>
          </w:p>
        </w:tc>
        <w:tc>
          <w:tcPr>
            <w:tcW w:w="240" w:type="dxa"/>
            <w:vAlign w:val="bottom"/>
            <w:tcBorders>
              <w:bottom w:val="single" w:sz="8" w:color="auto"/>
            </w:tcBorders>
            <w:shd w:val="clear" w:color="auto" w:fill="CCED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80" w:type="dxa"/>
            <w:vAlign w:val="bottom"/>
            <w:tcBorders>
              <w:bottom w:val="single" w:sz="8" w:color="CCEDFF"/>
            </w:tcBorders>
            <w:shd w:val="clear" w:color="auto" w:fill="CCEDFF"/>
          </w:tcPr>
          <w:p>
            <w:pPr>
              <w:spacing w:after="0"/>
              <w:rPr>
                <w:sz w:val="24"/>
                <w:szCs w:val="24"/>
                <w:color w:val="auto"/>
              </w:rPr>
            </w:pPr>
          </w:p>
        </w:tc>
        <w:tc>
          <w:tcPr>
            <w:tcW w:w="1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DFF"/>
            </w:tcBorders>
            <w:shd w:val="clear" w:color="auto" w:fill="CCEDFF"/>
          </w:tcPr>
          <w:p>
            <w:pPr>
              <w:spacing w:after="0"/>
              <w:rPr>
                <w:sz w:val="24"/>
                <w:szCs w:val="24"/>
                <w:color w:val="auto"/>
              </w:rPr>
            </w:pPr>
          </w:p>
        </w:tc>
        <w:tc>
          <w:tcPr>
            <w:tcW w:w="1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(115,333)</w:t>
            </w:r>
          </w:p>
        </w:tc>
      </w:tr>
      <w:tr>
        <w:trPr>
          <w:trHeight w:val="20"/>
        </w:trPr>
        <w:tc>
          <w:tcPr>
            <w:tcW w:w="408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CCEDFF"/>
              <w:bottom w:val="single" w:sz="8" w:color="auto"/>
            </w:tcBorders>
          </w:tcPr>
          <w:p>
            <w:pPr>
              <w:spacing w:after="0" w:line="20" w:lineRule="exact"/>
              <w:rPr>
                <w:sz w:val="1"/>
                <w:szCs w:val="1"/>
                <w:color w:val="auto"/>
              </w:rPr>
            </w:pPr>
          </w:p>
        </w:tc>
        <w:tc>
          <w:tcPr>
            <w:tcW w:w="12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1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CCEDFF"/>
              <w:bottom w:val="single" w:sz="8" w:color="auto"/>
            </w:tcBorders>
          </w:tcPr>
          <w:p>
            <w:pPr>
              <w:spacing w:after="0" w:line="20" w:lineRule="exact"/>
              <w:rPr>
                <w:sz w:val="1"/>
                <w:szCs w:val="1"/>
                <w:color w:val="auto"/>
              </w:rPr>
            </w:pPr>
          </w:p>
        </w:tc>
        <w:tc>
          <w:tcPr>
            <w:tcW w:w="124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Includes mark-to-market impacts associated with net investment hedges. See Note 17, </w:t>
      </w:r>
      <w:r>
        <w:rPr>
          <w:rFonts w:ascii="Times New Roman" w:cs="Times New Roman" w:eastAsia="Times New Roman" w:hAnsi="Times New Roman"/>
          <w:sz w:val="17"/>
          <w:szCs w:val="17"/>
          <w:i w:val="1"/>
          <w:iCs w:val="1"/>
          <w:color w:val="auto"/>
        </w:rPr>
        <w:t>Hedging Activities</w:t>
      </w:r>
      <w:r>
        <w:rPr>
          <w:rFonts w:ascii="Times New Roman" w:cs="Times New Roman" w:eastAsia="Times New Roman" w:hAnsi="Times New Roman"/>
          <w:sz w:val="17"/>
          <w:szCs w:val="17"/>
          <w:color w:val="auto"/>
        </w:rPr>
        <w:t>, for more information.</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reclassifications related to unrealized (loss) gain on available-for-sale securities relate to the Company’s equity interest in Primex, a captive insurance company, and are recorded in equity in net income of associated companies. The amounts reported in other comprehensive income for noncontrolling interest are related to currency translation adjustments.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ote 16 - 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values its company-owned life insurance policies at fair value. The Company owns an immaterial amount of company-owned life insurance policies as of September 30, 2026 and December 31, 2025.</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values its long-term debt at fair value based on quoted market prices for the same or similar issues, or on current rates offered to the company for debt of the same remaining maturities and terms. Due to the infrequency of trades, these inputs are considered to be Level 2 inputs. Based on the variable interest rates associated with the Credit Facility, as of September 30, 2026 and December 31, 2025, the amounts at which the Company’s total debt were recorded are not materially different from their fair market value.</w:t>
      </w:r>
    </w:p>
    <w:p>
      <w:pPr>
        <w:spacing w:after="0" w:line="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for a description of the Company’s derivative instruments including the valuation techniques used to determine fair value and support for their classification within Level 2 of the fair value hierarchy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Hedging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ongoing business operations expose it to various risks, including fluctuating foreign exchange rates and interest rate risk. To manage these risks, the Company periodically enters into derivative financial instruments, such as foreign exchange forward contracts, interest rate swap agreements, and cross-currency swap agreements. The Company does not hold or enter into derivative financial instruments for trading or speculative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Forward Contracts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foreign exchange forward contracts to economically hedge the impact of the variability in exchange rates on certain assets and/or liabilities denominated in foreign currencies. These forward contracts are marked-to-market at each reporting date. Changes in the fair value of the underlying instrument and settlements are recognized in earnings in Other expense, net. The fair value of the forward contract is determined from sources independent of the Company, including the financial institutions which are party to the derivative instruments.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Open foreign exchange forward contracts as of September 30, 2026 were entered into as hedges of the Japanese yen, Mexican peso, and European euro against the U.S. dollar and had the following notional U.S. dollar values (in thousands):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2840" w:type="dxa"/>
            <w:vAlign w:val="bottom"/>
          </w:tcPr>
          <w:p>
            <w:pPr>
              <w:spacing w:after="0"/>
              <w:rPr>
                <w:sz w:val="20"/>
                <w:szCs w:val="20"/>
                <w:color w:val="auto"/>
              </w:rPr>
            </w:pPr>
          </w:p>
        </w:tc>
        <w:tc>
          <w:tcPr>
            <w:tcW w:w="7020" w:type="dxa"/>
            <w:vAlign w:val="bottom"/>
            <w:gridSpan w:val="3"/>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7"/>
        </w:trPr>
        <w:tc>
          <w:tcPr>
            <w:tcW w:w="284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284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Mexican Peso</w:t>
            </w:r>
          </w:p>
        </w:tc>
        <w:tc>
          <w:tcPr>
            <w:tcW w:w="7020" w:type="dxa"/>
            <w:vAlign w:val="bottom"/>
            <w:tcBorders>
              <w:bottom w:val="single" w:sz="8" w:color="CCEDFF"/>
            </w:tcBorders>
            <w:gridSpan w:val="3"/>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10,300</w:t>
            </w:r>
          </w:p>
        </w:tc>
      </w:tr>
      <w:tr>
        <w:trPr>
          <w:trHeight w:val="243"/>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Japanese Yen</w:t>
            </w:r>
          </w:p>
        </w:tc>
        <w:tc>
          <w:tcPr>
            <w:tcW w:w="6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w:t>
            </w:r>
          </w:p>
        </w:tc>
      </w:tr>
      <w:tr>
        <w:trPr>
          <w:trHeight w:val="27"/>
        </w:trPr>
        <w:tc>
          <w:tcPr>
            <w:tcW w:w="28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84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European Euro</w:t>
            </w:r>
          </w:p>
        </w:tc>
        <w:tc>
          <w:tcPr>
            <w:tcW w:w="680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40" w:type="dxa"/>
            <w:vAlign w:val="bottom"/>
            <w:tcBorders>
              <w:bottom w:val="single" w:sz="8" w:color="CCEDFF"/>
            </w:tcBorders>
            <w:shd w:val="clear" w:color="auto" w:fill="CCEDFF"/>
          </w:tcPr>
          <w:p>
            <w:pPr>
              <w:spacing w:after="0"/>
              <w:rPr>
                <w:sz w:val="23"/>
                <w:szCs w:val="23"/>
                <w:color w:val="auto"/>
              </w:rPr>
            </w:pP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111,200</w:t>
            </w:r>
          </w:p>
        </w:tc>
      </w:tr>
      <w:tr>
        <w:trPr>
          <w:trHeight w:val="237"/>
        </w:trPr>
        <w:tc>
          <w:tcPr>
            <w:tcW w:w="2840" w:type="dxa"/>
            <w:vAlign w:val="bottom"/>
          </w:tcPr>
          <w:p>
            <w:pPr>
              <w:spacing w:after="0"/>
              <w:rPr>
                <w:sz w:val="20"/>
                <w:szCs w:val="20"/>
                <w:color w:val="auto"/>
              </w:rPr>
            </w:pPr>
          </w:p>
        </w:tc>
        <w:tc>
          <w:tcPr>
            <w:tcW w:w="688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133,700</w:t>
            </w:r>
          </w:p>
        </w:tc>
      </w:tr>
      <w:tr>
        <w:trPr>
          <w:trHeight w:val="27"/>
        </w:trPr>
        <w:tc>
          <w:tcPr>
            <w:tcW w:w="28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8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acquisition of Dipsol as described in Note 2,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in March 2025, the Company entered into multiple foreign exchange forward contracts with various financial institutions with an aggregate notional amount totaling $155.3 million to hedge the variability of exchange rate impacts between the U.S. dollar and Japanese yen. These foreign exchange forward contracts settled on April 1, 2025. The Company recognized a $1.4 million foreign currency loss during the nine months ended September 30, 2025 in Other expense, net relating to the change in fair value of these instruments as of the settlement date.</w:t>
      </w:r>
    </w:p>
    <w:p>
      <w:pPr>
        <w:spacing w:after="0" w:line="77" w:lineRule="exact"/>
        <w:rPr>
          <w:sz w:val="20"/>
          <w:szCs w:val="20"/>
          <w:color w:val="auto"/>
        </w:rPr>
      </w:pPr>
    </w:p>
    <w:p>
      <w:pPr>
        <w:ind w:right="2100"/>
        <w:spacing w:after="0" w:line="375" w:lineRule="auto"/>
        <w:rPr>
          <w:sz w:val="20"/>
          <w:szCs w:val="20"/>
          <w:color w:val="auto"/>
        </w:rPr>
      </w:pPr>
      <w:r>
        <w:rPr>
          <w:rFonts w:ascii="Times New Roman" w:cs="Times New Roman" w:eastAsia="Times New Roman" w:hAnsi="Times New Roman"/>
          <w:sz w:val="18"/>
          <w:szCs w:val="18"/>
          <w:color w:val="auto"/>
        </w:rPr>
        <w:t xml:space="preserve">Open foreign exchange forward contracts as of September 30, 2026 had maturities occurring over a period of up to one month. </w:t>
      </w:r>
      <w:r>
        <w:rPr>
          <w:rFonts w:ascii="Times New Roman" w:cs="Times New Roman" w:eastAsia="Times New Roman" w:hAnsi="Times New Roman"/>
          <w:sz w:val="18"/>
          <w:szCs w:val="18"/>
          <w:i w:val="1"/>
          <w:iCs w:val="1"/>
          <w:color w:val="auto"/>
        </w:rPr>
        <w:t>Interest Rate Swaps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order to manage the Company’s exposure to variable interest rate risk associated with the Credit Facility, such as the Secured Overnight Financing Rate (“SOFR”), in the first quarter of 2023, the Company entered into $300.0 million notional amounts of three-year interest rate swaps to convert a portion of the Company’s variable-rate borrowings into a fixed-rate obligation. During March 2026, the Company’s interest rate swap contracts expired. In April 2026, the Company entered into $400.0 million notional amount of four-year interest rate swaps, converting a portion of the Company’s variable rate borrowings relating to the Credit Facility into an average fixed rate of 3.58% plus the applicable margin. See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interest rate swaps are designated as cash flow hedges and, as such, the contracts are marked-to-market at each reporting date with any unrealized gains or losses included in AOCI to the extent effective and reclassified to interest expense in the period during which the hedged transactions affect earnings or it becomes probable that the forecasted transaction will not occur.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the Company entered into a fixed-for-fixed cross currency swap for a notional amount of $75.0 million to hedge the variability of exchange rate impacts between the U.S. dollar and the European euro. Under the terms of the cross-currency swap agreement, the Company notionally exchanged $75.0 million at an interest rate of 1.9% for 65.8 million EUR at an interest rate of 0.0%. The cross-currency swap is designated as a net investment hedge on a pre-tax basis and expires in June 2027.</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the Company entered into fixed-for-fixed cross currency swaps with an aggregate notional amount totaling $100.0 million to hedge the variability of exchange rate impacts between the U.S. dollar and Japanese yen. Under the terms of the cross-currency swap agreements, the Company notionally exchanged $100.0 million at a weighted average interest rate of 3.1% for 14.3 billion JPY at a weighted average interest rate of 0.0%. The cross-currency swaps are designated as net investment hedges on an after-tax basis and expire in April 2028.</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fixed-for-fixed cross-currency swaps are marked to market at each reporting date and any unrealized gains or losses are included in unrealized currency translation adjustments, within AOCI. The Company uses the spot method to evaluate the effectiveness of the net investment hedges.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sheet classification and fair values of the Company’s derivative instruments, which are Level 2 measurements,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41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Condensed Consolidated Balance Sheets Location</w:t>
            </w:r>
          </w:p>
        </w:tc>
        <w:tc>
          <w:tcPr>
            <w:tcW w:w="1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4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DFF"/>
            </w:tcBorders>
          </w:tcPr>
          <w:p>
            <w:pPr>
              <w:spacing w:after="0"/>
              <w:rPr>
                <w:sz w:val="2"/>
                <w:szCs w:val="2"/>
                <w:color w:val="auto"/>
              </w:rPr>
            </w:pPr>
          </w:p>
        </w:tc>
        <w:tc>
          <w:tcPr>
            <w:tcW w:w="2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408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Net investment hedges</w:t>
            </w:r>
          </w:p>
        </w:tc>
        <w:tc>
          <w:tcPr>
            <w:tcW w:w="4180" w:type="dxa"/>
            <w:vAlign w:val="bottom"/>
            <w:tcBorders>
              <w:bottom w:val="single" w:sz="8" w:color="CCEDFF"/>
            </w:tcBorders>
            <w:gridSpan w:val="4"/>
            <w:shd w:val="clear" w:color="auto" w:fill="CCED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investment hedges</w:t>
            </w:r>
          </w:p>
        </w:tc>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08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Net investment hedges</w:t>
            </w:r>
          </w:p>
        </w:tc>
        <w:tc>
          <w:tcPr>
            <w:tcW w:w="4180" w:type="dxa"/>
            <w:vAlign w:val="bottom"/>
            <w:tcBorders>
              <w:bottom w:val="single" w:sz="8" w:color="CCEDFF"/>
            </w:tcBorders>
            <w:gridSpan w:val="4"/>
            <w:shd w:val="clear" w:color="auto" w:fill="CCED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10,053</w:t>
            </w:r>
          </w:p>
        </w:tc>
      </w:tr>
      <w:tr>
        <w:trPr>
          <w:trHeight w:val="243"/>
        </w:trPr>
        <w:tc>
          <w:tcPr>
            <w:tcW w:w="40" w:type="dxa"/>
            <w:vAlign w:val="bottom"/>
          </w:tcPr>
          <w:p>
            <w:pPr>
              <w:spacing w:after="0"/>
              <w:rPr>
                <w:sz w:val="21"/>
                <w:szCs w:val="21"/>
                <w:color w:val="auto"/>
              </w:rPr>
            </w:pPr>
          </w:p>
        </w:tc>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080" w:type="dxa"/>
            <w:vAlign w:val="bottom"/>
            <w:tcBorders>
              <w:bottom w:val="single" w:sz="8" w:color="CCEDFF"/>
            </w:tcBorders>
            <w:gridSpan w:val="2"/>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4180" w:type="dxa"/>
            <w:vAlign w:val="bottom"/>
            <w:tcBorders>
              <w:bottom w:val="single" w:sz="8" w:color="CCEDFF"/>
            </w:tcBorders>
            <w:gridSpan w:val="4"/>
            <w:shd w:val="clear" w:color="auto" w:fill="CCED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13,983</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8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the net unrealized gain deferred to AOCI:</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6"/>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4"/>
                <w:szCs w:val="24"/>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41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Condensed Consolidated Balance Sheets Location</w:t>
            </w:r>
          </w:p>
        </w:tc>
        <w:tc>
          <w:tcPr>
            <w:tcW w:w="1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4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hedges</w:t>
            </w:r>
          </w:p>
        </w:tc>
        <w:tc>
          <w:tcPr>
            <w:tcW w:w="418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AOCI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w:t>
            </w:r>
          </w:p>
        </w:tc>
      </w:tr>
      <w:tr>
        <w:trPr>
          <w:trHeight w:val="243"/>
        </w:trPr>
        <w:tc>
          <w:tcPr>
            <w:tcW w:w="40" w:type="dxa"/>
            <w:vAlign w:val="bottom"/>
          </w:tcPr>
          <w:p>
            <w:pPr>
              <w:spacing w:after="0"/>
              <w:rPr>
                <w:sz w:val="21"/>
                <w:szCs w:val="21"/>
                <w:color w:val="auto"/>
              </w:rPr>
            </w:pPr>
          </w:p>
        </w:tc>
        <w:tc>
          <w:tcPr>
            <w:tcW w:w="4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41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AOCI</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location and the amount of net gain (loss) recognized in the Company’s Condensed Consolidated Statements of Operations related to derivative instruments: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8"/>
                <w:szCs w:val="18"/>
                <w:color w:val="auto"/>
              </w:rPr>
            </w:pPr>
          </w:p>
        </w:tc>
        <w:tc>
          <w:tcPr>
            <w:tcW w:w="22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2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29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of Operations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3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63"/>
        </w:trPr>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vMerge w:val="restart"/>
          </w:tcPr>
          <w:p>
            <w:pPr>
              <w:ind w:left="23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8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previously disclosed in its 2025 Form 10-K, the Company is party to certain environmental matters and other litigation. See Note 25,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in the Company’s 2025 Form 10-K for more information. During the three and nine months ended September 30, 2026, there have been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changes to the facts or circumstances of any of the previously disclosed matters other than as noted below.</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China imposes a consumption tax on certain processed oils. The Company has previously defended its position that its cutting and rolling oils are exempt from this tax. During 2026, the relevant Chinese tax authority initiated a new round of inquiries to evaluate whether the Company’s cutting and rolling oils are subject to the local consumption tax. The Company is evaluating its potential exposure and preparing its response to the tax authorities. A potential liability, if any, could include tax on applicable oil products, as well as interest and penalties for current and prior periods. As of September 30, 2026, the Company does not believe a contingent liability is probable and is unable to estimate the amount or range of reasonably possible loss. However, it is reasonably possible that a liability could be recognized in a future period.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there can be no assurance regarding the outcome of any of the ongoing environmental matters or litigation, the Company believes that it has made adequate accruals for costs and liabilities associated with these matters. The Company has accrued approximately $4.9 million and $5.2 million, respectively, as of September 30, 2026 and December 31, 2025 for these ongoing matters.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during the three and nine months ended September 30, 2026, there are no new environmental matters or litigation that the Company believes will have a material adverse effect on the Company’s results of operations, cash flows, or financial condition.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“Quaker Houghton,” the “Company,” “we” and “our” refer to Quaker Chemical Corporation (doing business as Quaker Houghton), its subsidiaries, and associated companies, unless the context otherwise requires.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third quarter of 2026 were $544.5 million, an increase of 10% compared to $493.8 million in the third quarter of 2025. This increase was primarily driven by an increase in selling price and product mix of approximately 7% and an increase in sales volumes of approximately 3%. The increase in selling price and product mix reflects pricing actions taken to offset higher raw material costs, as well as changes in the mix of products and services, and the impact of our index-based customer contracts. The increase in sales volumes compared to the prior year was primarily a result of new business wins across all segments.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reported net income in the third quarter of 2026 of $30.0 million, or $1.73 earnings per diluted share, compared to net income of $30.5 million, or $1.75 earnings per diluted share in the third quarter of 2025. Excluding non-recurring and non-core items in each period, the Company’s third quarter 2026 non-GAAP net income and earnings per diluted share were $41.4 million and $2.39 compared to $36.3 million and $2.08, respectively, in the prior year. The increase in current quarter non-GAAP earnings was primarily driven by an increase in net sales, partially offset by an increase in selling, general and administrative expenses (“SG&amp;A”) and a decrease in non-GAAP gross margin. The Company’s current quarter adjusted EBITDA was $89.8 million compared to $82.9 million in the third quarter of 2025, primarily driven by the increase in net sales, partially offset by higher input costs and SG&amp;A expenses. See the Non-GAAP Measures and Consolidated Operations Review sections of this Item below for additional details.</w:t>
      </w:r>
    </w:p>
    <w:p>
      <w:pPr>
        <w:spacing w:after="0" w:line="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third quarter 2026 operating performance in each of its three reportable segments: (i) Americas; (ii) EMEA; and (iii) Asia/Pacific, reflects similar drivers to that of the Company’s consolidated performance. Operating earnings for the EMEA segment increased compared to the prior year quarter, primarily due to an increase in net sales and an improvement in segment operating margins. Operating earnings for the Americas segment increased compared to the prior year quarter, primarily due to an increase in net sales, partially offset by lower segment operating margins. Operating earnings for the Asia/Pacific segment decreased compared to the prior year quarter primarily due to lower segment operating margins, partially offset by an increase in net sales. Additional details of segment operating performance are provided in the Reportable Segments Review in the Operations section of this Item below.</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flows provided by operating activities were $47.6 million in the first nine months of 2026 compared to $89.9 million of net cash flows provided by operating activities the first nine months of 2025. The lower operating cash inflow year-over-year reflects higher net cash outflows from working capital, partially offset by improved operating performance and lower outflows from restructuring activities in the first nine months of 2026 compared to the first nine months of 2025. The key drivers of the Company’s operating cash flow and working capital are further discussed in the Company’s Liquidity and Capital Resources section of this Item below.</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the Company’s results in the third quarter of 2026 reflect an increase in net sales in all segments compared to the prior year quarter, driven by new business wins and an increase in selling price and product mix, and the Company’s continued focus on delivering on its long-term financial and strategic initiatives.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Recent geopolitical developments, including the escalation of the military conflict involving Iran, have increased uncertainty in the Middle East and global markets. While we do not have direct operations in Iran, our business is exposed to the current disruptions to international shipping routes, supply chain delays, and increased raw material and transportation costs. Additionally, volatility in global energy prices resulting from the conflict may impact our operating expenses and margins. In addition, the potential imposition of new or expanded sanctions against Iran or entities doing business in the region could restrict our ability to transact with certain partners and may require us to undertake additional compliance measures, review our contractual arrangements, or incur higher costs to ensure adherence to applicable laws. We are actively monitoring the situation and have implemented contingency plans, including raising our selling prices to cover higher raw material costs and increasing inventory levels where feasible. At this time, the conflict has not had a material impact on our financial results; however, due to the unpredictable nature and scope of the conflict, we cannot guarantee that future developments will not materially affect our business,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4, 2025, H.R. 1, commonly known as the One Big Beautiful Bill Act (the “OBBB”), was signed into law. The OBBB includes significant changes to the federal corporate tax provisions and extends certain otherwise expiring provisions of the 2017 Tax Cuts and Jobs Act. Among other things, the legislation restores 100% bonus depreciation for eligible property, reinstates expensing for domestic research and experimental expenditures, imposes new limitations on interest expense deductibility, and expands disallowed deductions for certain employee remuneration. The legislation has multiple effective dates, with certain provisions effective in 2025 and other provisions implemented in 2026 and 2027 forward. The provisions effective in 2025 did not have a material impact to our consolidated financial statements, and the provisions effective in 2026 and 2027 are not expected to have a material impact to our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“Management’s Discussion and Analysis” and “Note 1 – Significant Accounting Policies” to the Consolidated Financial Statements in our 2025 Form 10-K. There have been no material changes to the critical accounting policies and estimates disclosed in the 2025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to the Condensed Consolidated Financial Statements for a discussion regarding recently adopted accounting standards and recently issued accounting standards not yet adopted.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of $167.0 million and $179.8 million as of September 30, 2026 and December 31, 2025, respectively. Cash held by subsidiaries in foreign countries was approximately $155.9 million and $171.4 million at September 30, 2026 and December 31, 2025, respectively. The $12.8 million decrease in cash and cash equivalents was the net result of $30.8 million of cash used in financing activities, $28.7 million of cash used in investing activities, and a $0.9 million unfavorable impact of foreign currency translation, partially offset by $47.6 million of cash provided by operating activities.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flows provided by operating activities were $47.6 million in the first nine months of 2026 compared to net cash flows provided by operating activities of $89.9 million in the first nine months of 2025. The decrease in net operating cash flow year-over-year reflects higher net cash outflows from working capital, partially offset by improved operating performance and lower outflows from restructuring activities. The higher net cash outflows from working capital are due to higher net cash outflows from accounts receivable due to an increase in net sales and timing of collections and higher net cash outflows for purchases of inventory due to higher raw material costs and strategic inventory builds at production sites in advance of planned manufacturing transitions and to support customer service levels, and in response to global supply chain risks in connection with the conflict in the Middle East. This is partially offset by higher inflows from the timing of payments of accounts payable and higher accruals for incentive compensation.</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Net cash flows used in investing activities were $28.7 million in the first nine months of 2026 compared to $193.0 million in the first nine months of 2025. The decrease in cash used in investing activities year-over-year is primarily the result of $164.2 million of payments, net of cash acquired, in the prior year related to the acquisitions of Chemical Solutions &amp; Innovations (Pty) Ltd. (“CSI”), Dipsol Chemicals Co., Ltd., (“Dipsol”) and Natech, Ltd., (“Natech”). Additionally, payments related to capital expenditures decreased by $1.2 million in the current year. This is partially offset by $3.0 million proceeds from asset dispositions in the prior year. See Note 2,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to the Condensed Consolidated Financial Statements for further information about business acquisitions.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flows used in financing activities were $30.8 million in the first nine months of 2026 compared to $79.3 million cash provided by financing activities in the first nine months of 2025. The decrease in net cash inflows from financing activities is primarily driven by a $907.7 million increase in payments on the Company’s U.S. and Euro Term Loan and Revolver loans, which is primarily related to repaying in full all outstanding loan commitments under the Credit Facility in connection with amending the Credit Facility in April 2026, as further discussed below. Proceeds from the Revolver decreased by $3.9 million, which is primarily related to a revolver borrowing during the first six months of 2025 to fund the purchase price of the Dipsol acquisition, partially offset by revolver borrowings upon executing the amendment in April 2026. The first nine months of 2026 also includes a $6.2 million net cash outflow relating to financing-related debt issuance costs associated with amending the Credit Facility. This is partially offset by $800.0 million increase in proceeds from the U.S. and Euro Term Loan debt upon executing the amendment to the Credit Facility in April 2026 and a $9.0 million decrease in share repurchases compared to the prior year.</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along with its wholly owned subsidiary, Quaker Houghton B.V., as borrowers, maintain a syndicated credit facility to support ongoing capital needs (the “Credit Facility”). Bank of America, N.A. serves as administrative agent under the Credit Facility for the Euro Term Loan, U.S. Term Loan, and Revolver (each as defined below), and, as of the Term Loan B Amendment (as defined below), JPMorgan Chase Bank, N.A. serves as administrative agent for the Term B Loans (as defined below). The Credit Facility was first entered into in 2019 and was amended in June 2022 to establish a $150.0 million Euro-equivalent senior secured term loan, a $600.0 million senior secured term loan, and a $500.0 million senior secured revolving credit facility, each maturing in June 2027.</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April 2026, the Company and its lenders entered into a fourth amendment to the Credit Facility (the “Fourth Amendment”). As so amended, the Credit Facility comprised (A) a $250.0 million Euro-equivalent senior secured term loan (the “Euro Term Loan”) (B) a $550.0 million senior secured term loan (the “U.S. Term Loan”) and (C) an $800.0 million senior secured revolving credit facility (the “Revolver”), each maturing in April 2031. The Company used the proceeds from the Fourth Amendment to, among other things, repay in full all outstanding loans and terminate the revolving credit commitments then outstanding. The Company has the right to increase the amount of the Credit Facility by an aggregate amount not to exceed (a) the greater of (i) $331.0 million and (ii) 100% of Consolidated EBITDA, subject to certain conditions including the agreement to provide financing by any lender providing such increase. The Credit Facility contains customary affirmative and negative covenants, financial covenants and events of default. Financial covenants contained in the Credit Facility include a consolidated interest coverage ratio test and a consolidated net leverage ratio test. As of September 30, 2026, the Company was in compliance with all of the Credit Facility covenants. See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Condensed Consolidated Financial Statements for additional information.</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Credit Facility borrowings outstanding of $883.3 million and $859.7 million, respectively. The Company’s other debt obligations are primarily industrial development bonds, bank lines of credit and municipality-related loans, which totaled $11.2 million as of September 30, 2026 and December 31, 2025. Total unused capacity under these arrangements, excluding the Credit Facility, as of September 30, 2026 was approximately $79 million. The Company’s total net debt as of September 30, 2026, which consists of total borrowings of $894.6 million less cash and cash equivalents of $167.0 million, was approximately $727.6 million.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 average variable interest rate incurred on the outstanding borrowings under the Credit Facility during the three and nine months ended September 30, 2026 was approximately 4.6% and 4.70%, respectively. As of September 30, 2026, the interest rate on the outstanding borrowings under the Credit Facility was approximately 4.60%. In addition to paying interest on outstanding principal, the Company is also required to pay an annual commitment fee related to unutilized commitments under the Revolver, depending on the Company’s consolidated net leverage ratio. The Fourth Amendment to the Credit Facility modified the range of the annual commitment fee from 0.150% to 0.275% to 0.125% to 0.275%.</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unused capacity under the Revolver of approximately $707.7 million, which is net of bank letters of credit of approximately $2.3 million.</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order to manage the Company’s exposure to variable interest rate risk associated with the Credit Facility, such as the Secured Overnight Financing Rate (“SOFR”), in the first quarter of 2023, the Company entered into $300.0 million notional amounts of three-year interest rate swaps to convert a portion of the Company’s variable-rate borrowings into a fixed-rate obligation. During March 2026, the Company’s interest rate swap contracts expired. In April 2026, the Company entered into $400.0 million notional amount of four-year interest rate swaps, converting a portion of the Company’s variable rate borrowings relating to the Credit Facility into an average fixed rate of 3.58% plus the applicable margin. See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to the Condensed Consolidated Financial Statements for further information.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executing the Fourth Amendment, the Company had $0.5 million of debt issuance costs recorded as a reduction of Long-term debt and $1.1 million of debt issuance costs recorded within Other non-current assets on the Condensed Consolidated Balance Sheets. In connection with executing the Fourth Amendment, the Company recorded debt modification and extinguishment costs of approximately $1.7 million, which includes the write-off of certain previously unamortized debt issuance costs and a portion of third-party costs that were incurred to execute the Fourth Amendment. Also in connection with executing the Fourth Amendment, during the second quarter of 2026 the Company capitalized $6.2 million of creditor debt issuance costs and certain third-party costs. Approximately $2.4 million of the capitalized costs were attributed to the Euro Term Loan and U.S. Term Loan and were recorded as a direct reduction of Long-term debt on the Condensed Consolidated Balance Sheets. Approximately $3.8 million of the capitalized costs were attributed to the Revolver and recorded within Other non-current assets on the Condensed Consolidated Balance Sheets. These capitalized costs, as well as the previously capitalized costs that were not written off, will collectively be amortized into Interest expense over the five-year term. As of September 30, 2026, the Company had $2.6 million of debt issuance costs recorded as a reduction of Long-term debt and $4.3 million of debt issuance costs recorded within Other non-current assets.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2026, the Company, JPMorgan Chase Bank, N.A., certain guarantors and other lenders entered into a Fifth Amendment (the “Term Loan B Amendment”) to the Credit Agreement. The Term Loan B Amendment amended the Credit Agreement to establish a new class of senior secured U.S. dollar-denominated term B loans (“Term B Loans”) under a new, $550.0 million seven-year term loan B facility (the “Term Loan B Facility”). The proceeds from the Term Loan B Facility were used to repay in full the U.S. Term Loan outstanding under the Credit Agreement.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Term Loan B Facility bears interest, at the Company’s election, at the Base Rate or Term SOFR plus an Applicable Rate of 1.750% for Term SOFR Loans and 0.750% for Base Rate Loans. The Term Loan B Facility matures on October 1, 2033. See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Condensed Consolidated Financial Statements for additional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uses foreign exchange forward contracts to economically hedge the impact of the variability in exchange rates on certain foreign currency-denominated assets and liabilities. During the nine months ended September 30, 2026, the Company entered into and settled forward contracts resulting in other expense of $0.8 million as compared to $0.5 million of other income during the nine months ended September 30, 2025. In connection with the Dipsol acquisition, in March 2025, the Company entered into foreign exchange forward contracts with various financial institutions with an aggregate notional amount of $155.3 million to hedge the variability in U.S. dollar-Japanese yen exchange rates associated with the purchase price. These contracts settled on April 1, 2025 in connection with the Dipsol acquisition. During the nine months ended September 30, 2025, the Company recognized a $1.4 million foreign currency loss in Other expense, net relating to changes in fair value of these instruments as of the settlement date. See Note 17,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to the Condensed Consolidated Financial Statements for further information.</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2026, the Company initiated a global business transformation program (the “2026 program”), encompassing several strategic transformation and restructuring initiatives. The 2026 program primarily involves simplifying the organizational structure of legal entities, projects associated with information technology infrastructure initiatives, the optimization of specific product portfolios through targeted rationalization efforts, the optimization of certain supply chain activities and related workforce reductions. The 2026 program began in the first quarter of 2026 and is expected to be complete in 2028. The Company expects the program to generate at least $20.0 million to $30.0 million of annualized cost savings. The Company recognized restructuring and related charges and cash payments relating to the settlement of restructuring liabilities of $12.3 million and $7.3 million during the nine months ended September 30, 2026, respectively, under this program. The Company expects total cash costs of this program to be approximately 1 to 1.5 times annualized savings.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During 2022, the Company initiated a global cost and optimization program (the “2022 program”) to improve its cost structure and drive a more profitable and productive organization. The Company has achieved its annualized cost savings goal from this program of at least $20.0 million. During 2025, the Company approved additional actions under the 2022 program, which are expected to generate approximately an additional $40.0 million of annualized cost savings. These actions are expected to be substantially complete by the first half of 2027. The Company recognized restructuring and related charges of $11.4 million and $31.1 million for the nine months ended September 30, 2026 and 2025, respectively, under this program. The Company made cash payments related to the settlement of restructuring liabilities under the 2022 program during the first nine months of 2026 of approximately $10.7 million compared to $21.7 million in the first nine months of 2025. The Company expects total cash costs of this program to be approximately 1 to 1.5 times annualized savings. See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to the Condensed Consolidated Financial Statements for further information.</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Company’s gross liability for uncertain tax positions, including interest and penalties, was $12.7 million. The Company cannot determine a reliable estimate of the timing of cash flows related to its uncertain tax position liability. However, should the entire liability be paid, the amount of the payment may be reduced by up to $5.4 million as a result of offsetting benefits in other tax jurisdictions.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previously maintained a share repurchase program (the “2024 Share Repurchase Program”), which was approved by the Board and announced by the Company on February 28, 2024, which authorized the repurchase of up to $150.0 million of Quaker Chemical Corporation common stock, and had no expiration date. On May 13, 2026, the Board approved a new share repurchase program (the “2026 Share Repurchase Program”), authorizing the Company to repurchase up to an aggregate of $250.0 million of the Company’s outstanding common stock. The 2026 Share Repurchase Program was effective immediately, replaced the 2024 Share Repurchase Program, and has no expiration date. The Company made purchases under the 2024 Share Repurchase Program and 2026 Share Repurchase Program while each was in effect during the first half of 2026. The Company made purchases under the 2026 Share Repurchase Program during the third quarter of 2026. See Item 2, </w:t>
      </w:r>
      <w:r>
        <w:rPr>
          <w:rFonts w:ascii="Times New Roman" w:cs="Times New Roman" w:eastAsia="Times New Roman" w:hAnsi="Times New Roman"/>
          <w:sz w:val="18"/>
          <w:szCs w:val="18"/>
          <w:i w:val="1"/>
          <w:iCs w:val="1"/>
          <w:color w:val="auto"/>
        </w:rPr>
        <w:t>Unregistered Sales of Equity Securities, Use of Proceeds and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Purchases of Equity Securities</w:t>
      </w:r>
      <w:r>
        <w:rPr>
          <w:rFonts w:ascii="Times New Roman" w:cs="Times New Roman" w:eastAsia="Times New Roman" w:hAnsi="Times New Roman"/>
          <w:sz w:val="18"/>
          <w:szCs w:val="18"/>
          <w:color w:val="auto"/>
        </w:rPr>
        <w:t>, within Part II of this Report for further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believes that its existing cash, anticipated cash flows from operations and available liquidity will be sufficient to support its operating requirements and fund its business objectives for at least the next twelve months, including but not limited to payments of dividends to shareholders, share repurchases, capital expenditures, other growth opportunities (including potential acquisitions), pension plan contributions, implementing actions to achieve the Company’s sustainability goals and other potential known or anticipated contingencies. The Company also believes it has sufficient additional liquidity to support its operating requirements and to fund its business obligations for the period beyond the next twelve months, including the aforementioned items which are expected to recur annually, as well as future principal and interest payments on the Company’s Credit Facility, tax obligations and other long-term liabilities. The Company’s liquidity is affected by many factors, some based on normal operations of our business and others related to the impact of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that would provide capital for corporate purposes, working capital funding, additional liquidity needs or to fund future growth opportunities, including possible acquisitions and organic investments. The timing and amount of potential additional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Operations Review – Comparison of the Third Quarter of 2026 with the Third Quarter of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sales variances by reportable segment and consolidated operations from the prior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Selling price &amp;</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Sales volumes</w:t>
            </w: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product mix</w:t>
            </w: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&amp; other</w:t>
            </w: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27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7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7"/>
        </w:trPr>
        <w:tc>
          <w:tcPr>
            <w:tcW w:w="2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third quarter of 2026 were $544.5 million, an increase of 10% compared to $493.8 million in the third quarter of 2025. This increase was primarily driven by an increase in selling price and product mix of approximately 7% and an increase in sales volumes of approximately 3%. The increase in selling price and product mix reflects pricing actions taken to offset higher raw material costs, as well as changes in the mix of products and services, and the impact of our index-based customer contracts. The increase in sales volumes compared to the prior year was primarily a result of new business wins across all segments.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(“COGS”) was $351.0 million in the third quarter of 2026 compared to $313.0 million in the third quarter of 2025, an increase of approximately $38.0 million, or 12%. The increase in COGS reflects an increase in current year sales volumes and an increase in global raw material costs, partially offset by a $0.7 million loss related to an out-of-period inventory adjustment in the third quarter of 2025.</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$193.5 million in the third quarter of 2026 compared to $180.9 million in the third quarter of 2025, an increase of $12.6 million, or 7%, primarily due to an increase in net sales and a $0.7 million loss related to an out-of-period inventory adjustment in the third quarter of 2025, partially offset by an increase in global raw material costs. The Company’s reported gross margin in the third quarter of 2026 was 35.5% compared to 36.6% in the third quarter of 2025. The Company’s non-GAAP gross margin in the third quarter of 2026 was 35.5% compared to 36.8% in the third quarter of 2025. See the Non-GAAP Measures section of this Item below for additional details.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 was $136.4 million in the third quarter of 2026 compared to $126.5 million in the third quarter of 2025, an increase of approximately $9.9 million, or 8%, primarily driven by an increase in incentive compensation, an increase in costs associated with the relocation of the Company’s headquarters, and an increase in business transformation costs as part of the 2026 program.</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incurred Restructuring and related charges of $8.3 million and $7.7 million during the third quarter of 2026 and 2025, respectively, primarily related to additional reductions in headcount and facility closure costs as part of the 2022 program and 2026 program. See the Non-GAAP Measures section below and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to the Condensed Consolidated Financial Statements for additional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 the third quarter of 2026 was $48.9 million compared to the operating income of $46.6 million in the third quarter of 2025. Excluding non-recurring and non-core expenses that are not indicative of the future operating performance of the Company described in the Non-GAAP Measures section of this Item below, the Company’s non-GAAP operating income was $63.1 million in the third quarter of 2026 and $57.9 million in the third quarter of 2025. The increase in non-GAAP operating income was primarily due to an increase in net sales, partially offset by higher SG&amp;A and lower non-GAAP gross margins, as described above.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Other expense, net of $0.8 million in the third quarter of 2026 as compared to Other expense, net of $0.3 million in the third quarter of 2025. The third quarter of 2026 included foreign exchange transaction losses of $1.2 million compared to foreign exchange transaction losses of $2.5 million in the prior year. Additionally, the third quarter of 2025 included income from non-income tax credits of $2.6 million, an earnout liability adjustment of $0.8 million, and a $0.9 million multiemployer plan withdrawal charge.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was $10.0 million in the third quarter of 2026 compared to $10.9 million in the third quarter of 2025, a decrease of approximately $0.9 million, primarily as a result of decreases in interest rates, partially offset by higher outstanding borrowings.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effective tax rates for the third quarters of 2026 and 2025 were 31.1% and 26.2%, respectively. The Company’s effective tax rate for the third quarter of 2026 was largely driven by our mix of pre-tax earnings and withholding taxes. Comparatively, the effective tax rate for the third quarter of 2025 was largely driven by our mix of pre-tax earnings and withholding taxes, offset by return to provision adjustments and net favorable reductions in uncertain tax positions. Excluding the impact of non-recurring and non-core items in each quarter, described in the Non-GAAP Measures section of this Item below, the Company estimates that its effective tax rates for the third quarters of 2026 and 2025 would have been approximately 27% and 28%, respectively. The Company may experience continued volatility in its effective tax rates due to several factors, including the timing of tax audits, the expiration of applicable statutes of limitations as they relate to uncertain tax positions, the unpredictability of timing and amount of certain incentives in various tax jurisdictions, and the timing and amount of certain share-based compensation-related tax benefits, among other factors. In addition, the foreign tax credit valuation allowance, or absence thereof, is based on a number of factors, including forecasted mix of earnings, which may vary.</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net income of associated companies was $3.8 million in the third quarter of 2026 compared to $4.3 million in the third quarter of 2025, a decrease of $0.5 million, primarily due to lower current year income from the Company’s 32% investment in Primex, a captive insurance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 was immaterial in the third quarter of 2026 and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Operations Review – Comparison of the First Nine Months of 2026 with the First Nine Months of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sales variances by reportable segment and consolidated operations from the prior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Selling price &amp;</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Sales volumes</w:t>
            </w: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product mix</w:t>
            </w: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&amp; other</w:t>
            </w: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27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1"/>
                <w:szCs w:val="21"/>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2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were $1,557.6 million in the first nine months of 2026 compared to $1,420.2 million in the first nine months of 2025. The net sales increase of $137.4 million, or 10%, year-over-year reflects an increase in organic sales volumes of approximately 5%, increases in selling price and product mix of approximately 2%, a favorable foreign currency of approximately 2%, and contributions from acquisitions of approximately 1%. The increase in organic sales volumes, which was led by the Asia/Pacific segment, was primarily a result of continued new business wins across all segments. The increase in selling price and product mix reflects pricing actions taken to offset higher raw material costs, as well as changes in the mix of products and services, and the impact of our index-based customer contracts.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COGS was $998.1 million in the first nine months of 2026 compared to $906.3 million in the first nine months of 2025. The increase in COGS of approximately $91.8 million, or 10%, primarily reflects an increase in spend on the increase in current year sales volumes and an increase in global raw material costs. Additionally, COGS in the first nine months of 2025 includes a $2.9 million gain related to an out-of-period inventory adjustment, which is partially offset by $6.0 million amortization of the fair value step-up in Dipsol’s inventories as a result of the Dipsol acquisition.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was $559.5 million in the first nine months of 2026 compared to $513.8 million in the first nine months of 2025, an increase of approximately $45.7 million, or 9%, primarily due to an increase in net sales as well as $6.0 million amortization of the fair value step-up in Dipsol’s inventories as a result of the Dipsol acquisition in the first nine months of 2025, partially offset by $2.9 million gain related to an out-of-period inventory adjustment in the first nine months of 2025. The Company’s reported gross margin in the first nine months of 2026 was 35.9% compared to 36.2% in the first nine months of 2025. The Company’s non-GAAP gross margin in the first nine months of 2026 was 35.9% compared to 36.4% in the first nine months of 2025. See the Non-GAAP Measures section of this Item below for additional details.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was $412.7 million in the first nine months of 2026 compared to $372.1 million in the first nine months of 2025, an increase of $40.6 million, or 11%, primarily driven by an increase in SG&amp;A relating to acquisitions, an increase in incentive compensation, an increase in business transformation costs under the 2026 program, and unfavorable impacts from foreign currency translation.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Restructuring and related charges of $23.8 million and $31.1 million during the first nine months of 2026 and 2025, respectively, related to additional reductions in headcount and facility closure costs under the Company’s restructuring programs. See the Non-GAAP Measures section of this Item, below.</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There were no impairment charges during the nine months ended September 30, 2026. During the second quarter of 2025, the Company recorded an $88.8 million non-cash impairment charge to write down the remaining value of goodwill associated with the Company’s EMEA reportable segment. This non-cash impairment charge was the result of the Company’s conclusion that the negative impacts of the lower than projected financial performance, driven by the continuation of soft end market conditions, as well as an increase in the Company’s cost of capital, driven by uncertainty around the potential negative impacts of tariffs, represented a triggering event for the Company’s EMEA reporting unit and the associated goodwill, as well as the related asset group. See Note 13,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to the Condensed Consolidated Financial Statements for additional information.</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income in the first nine months of 2026 was $123.0 million compared to operating income of $21.8 million in the first nine months of 2025. The increase in operating income was primarily driven by the $88.8 million non-cash impairment charge recorded during the nine months ended September 30, 2025 described above. Excluding non-recurring and non-core expenses that are not indicative of the future operating performance of the Company described in the Non-GAAP Measures section of this Item below, the Company’s current year non-GAAP operating income increased to $163.8 million for the first nine months of 2026 compared to $154.3 million in the prior year’s first nine months, primarily due to an increase in net sales, partially offset by an increase in SG&amp;A and lower non-GAAP gross margins.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had Other expense, net of $0.4 million in the first nine months of 2026 compared to Other expense, net of $1.6 million in the first nine months of 2025. The first nine months of 2026 and 2025 both included foreign exchange transaction losses, which were $5.9 million higher in the prior year and income from non-income tax credits, which were $2.8 million lower in the current year. The first nine months of 2026 included debt extinguishment and modification costs of $1.7 million and a product liability claim reimbursement of $1.0 million. In contrast, the first nine months of 2025 included a $2.1 million gain on disposals of property and a multiemployer plan withdrawal charge of $0.9 million. See the Non-GAAP Measures section of this Item below.</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of $29.8 million decreased $3.5 million in the first nine months of 2026 compared to $33.3 million in the first nine months of 2025 primarily as a result of decreases in interest rates, partially offset by higher outstanding borrowings.</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effective tax rates for the first nine months of 2026 and 2025 were 32.5% and (169.5)%, respectively. The Company’s effective tax rate for the nine months ended September 30, 2026 was largely driven by the mix of pre-tax earnings and withholding taxes. Comparatively, the effective tax rate for the nine months ended September 30, 2025 was primarily impacted by the mix of pre-tax earnings, goodwill impairment charges, and withholding taxes offset by return to provision adjustments and net favorable reductions in uncertain tax positions. The Company expects continued volatility in its effective tax rates due to several factors, including the timing and scope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In addition, the foreign tax credit valuation allowance, or absence thereof, is based on a number of factors, including forecasted mix of earnings, which may vary. Excluding the impact of non-recurring and non-core items in each period, described in the Non-GAAP Measures section of this Item below, the Company estimates that its effective tax rates would have been approximately 28% for the first nine months of 2026 and 2025.</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Equity in net income of associated companies was $13.8 million in the first nine months of 2026 compared to $12.3 million in the first nine months of 2025. The increase of $1.5 million was primarily due to higher current year income from the Company’s 50% equity interest in a joint venture in Korea.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 was less than $0.1 million in the first nine months of 2026 and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Reportable Segments Review - Comparison of the Third Quarter of 2026 with the Third Quarter of 2025</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reflect the structure of the Company’s internal organization, the method by which the Company’s resources are allocated and the manner by which the Chief Operating Decision Maker of the Company assesses performance. The Company has three reportable segments: (i) Americas; (ii) EMEA; and (iii) Asia/Pacific.</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operating earnings for each of the Company’s reportable segments are comprised of the segment’s net sales less directly related product costs and other segment items. Operating expenses not directly attributable to the net sales of each respective segment, such as certain corporate and administrative costs and restructuring charges, are not included in segment operating earnings. Other items not specifically identified with the Company’s reportable segments include Interest expense and Other expense, net.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Americas represented approximately 47% of the Company’s consolidated net sales in the third quarter of 2026. This segment’s net sales were $254.0 million, an increase of $31.2 million, or 14%, compared to the third quarter of 2025. This was driven by an increase in selling price and product mix of approximately 8% and an increase in sales volumes of approximately 6%. The increase in selling price and product mix was primarily attributable to pricing actions taken to offset higher raw material costs, as well as changes in the mix of products and services, and the impact of our index-based customer contracts. Sales volumes increased compared to the prior year primarily due to new business wins. Foreign currency translation remained consistent compared to the prior year. Segment operating earnings were $65.7 million, an increase of $6.7 million, or 11%, compared to the third quarter of 2025, primarily due to an increase in net sales.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EMEA represented approximately 28% of the Company’s consolidated net sales in the third quarter of 2026. This segment’s net sales were $152.5 million, an increase of $8.6 million, or 6%, compared to the third quarter of 2025. This was driven by an increase in selling price and product mix of approximately 10%, partially offset by a decrease in organic sales volumes of approximately 2% and an unfavorable impact from foreign currency translation of approximately 2%. The increase in selling price and product mix was primarily attributable to pricing actions taken to offset higher raw material costs, as well as changes in the mix of products and services, and the impact of our index-based customer contracts. The decrease in organic sales volumes was primarily driven by the reversal of pre-buy activity in the prior quarter of 2026, partially offset by new business wins. The unfavorable foreign currency translation impact was primarily due to the strengthening of the U.S. dollar against the Euro. Segment operating earnings were $31.2 million, an increase of $4.7 million, or 18%, compared to the third quarter of 2025, primarily due to an increase in net sales and lower SG&amp;A, partially offset by higher input costs.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Asia/Pacific</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Asia/Pacific represented approximately 25% of the Company’s consolidated net sales in the third quarter of 2026. This segment’s net sales were $138.1 million, an increase of $10.9 million, or 9%, compared to the third quarter of 2025. This was driven by an increase in organic sales volumes of approximately 5%, an increase in selling price and product mix of approximately 3%, and a favorable impact from foreign currency translation of approximately 1%. The increase in organic sales volumes was primarily driven by new business wins. The increase in selling price and product mix was primarily attributable to pricing actions taken to offset higher raw material costs, as well as changes in the mix of products and services, and the impact of our index-based customer contracts. The favorable foreign currency translation impact was primarily due to the weakening of the U.S. dollar against the Chinese renminbi. Segment operating earnings were $35.1 million, a decrease of $0.5 million, or 1%, compared to the third quarter of 2025, primarily due to higher input costs and higher SG&amp;A, partially offset by an increase in net sales.</w:t>
      </w:r>
    </w:p>
    <w:p>
      <w:pPr>
        <w:spacing w:after="0" w:line="82" w:lineRule="exact"/>
        <w:rPr>
          <w:sz w:val="20"/>
          <w:szCs w:val="20"/>
          <w:color w:val="auto"/>
        </w:rPr>
      </w:pPr>
    </w:p>
    <w:p>
      <w:pPr>
        <w:ind w:right="3120"/>
        <w:spacing w:after="0" w:line="376" w:lineRule="auto"/>
        <w:rPr>
          <w:sz w:val="20"/>
          <w:szCs w:val="20"/>
          <w:color w:val="auto"/>
        </w:rPr>
      </w:pPr>
      <w:r>
        <w:rPr>
          <w:rFonts w:ascii="Times New Roman" w:cs="Times New Roman" w:eastAsia="Times New Roman" w:hAnsi="Times New Roman"/>
          <w:sz w:val="18"/>
          <w:szCs w:val="18"/>
          <w:i w:val="1"/>
          <w:iCs w:val="1"/>
          <w:u w:val="single" w:color="auto"/>
          <w:color w:val="auto"/>
        </w:rPr>
        <w:t xml:space="preserve">Reportable Segments Review - Comparison of the First Nine Months of 2026 with the First Nine Months of 2025 </w:t>
      </w:r>
      <w:r>
        <w:rPr>
          <w:rFonts w:ascii="Times New Roman" w:cs="Times New Roman" w:eastAsia="Times New Roman" w:hAnsi="Times New Roman"/>
          <w:sz w:val="18"/>
          <w:szCs w:val="18"/>
          <w:i w:val="1"/>
          <w:iCs w:val="1"/>
          <w:color w:val="auto"/>
        </w:rPr>
        <w:t>Americas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Americas represented approximately 45% of the Company’s consolidated net sales in the first nine months of 2026. This segment’s net sales were $704.3 million, an increase of $46.7 million, or 7%, compared to the first nine months of 2025. This was driven by an increase in organic sales volumes of approximately 3%, an increase in selling price and product mix of approximately 3%, and a favorable impact of foreign currency translation of approximately 1%. Sales volumes increased compared to the prior year due to new business wins. The increase in selling price and product mix was primarily attributable to pricing actions taken to offset higher raw material costs, as well as changes in the mix of products and services, and the impact of our index-based customer contracts. The favorable foreign exchange impact was primarily due to the weakening of the U.S. dollar against the Brazilian real during the first nine months of 2026 compared to 2025. The Americas segment’s operating earnings were $176.8 million, an increase of $0.5 million, compared to the first nine months of 2025, primarily driven by an increase in net sales, partially offset by higher input costs and higher SG&amp;A.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EMEA represented approximately 29% of the Company’s consolidated net sales in the first nine months of 2026. This segment’s net sales were $453.0 million, an increase of $39.9 million, or 10%, compared to the first nine months of 2025. This was the result of a favorable foreign currency translation impact of approximately 4%, an increase in organic sales volumes of approximately 3%, and an increase in selling price and product mix of approximately 3%. The favorable foreign currency translation impact was primarily due to the weakening of the U.S. dollar against the Euro. Sales volumes increased compared to the prior year due to new business wins. The increase in selling price and product mix was primarily attributable to pricing actions taken to offset higher raw material costs, as well as changes in the mix of products and services, and the impact of our index-based customer contracts. The EMEA segment’s operating earnings were $89.5 million, an increase of $14.6 million, or 20%, compared to the first nine months of 2025, primarily driven by an increase in net sales.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Asia/Pacific</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Asia/Pacific represented approximately 26% of the Company’s consolidated net sales in the first nine months of 2026. This segment’s net sales were $400.3 million, an increase of $50.8 million, or 15%, compared to the first nine months of 2025. This was driven by an increase in organic sales volumes of approximately 8%, contributions from the acquisition of Dipsol of approximately 4%, a favorable impact of foreign currency translation of approximately 2%, and an increase in selling price and product mix of approximately 1%. The increase in organic sales volumes was primarily driven by new business wins. The favorable foreign exchange impact was primarily due to the weakening of the U.S. dollar against the Chinese renminbi. The increase in selling price and product mix was primarily attributable to pricing actions taken to offset higher raw material costs, as well as changes in the mix of products and services, and the impact of our index-based customer contracts. The Asia/Pacific segment’s operating earnings were $105.9 million, an increase of $15.7 million, or 17%, compared to the first nine months of 2025, primarily driven by an increase in net sales.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information in this Form 10-Q includes non-GAAP (unaudited) financial information that includes EBITDA, adjusted EBITDA, adjusted EBITDA margin, non-GAAP operating income, non-GAAP operating margin, non-GAAP gross profit, non-GAAP gross margin, taxes on income before equity in net income of associated companies – adjusted, non-GAAP net income and non-GAAP earnings per diluted share. The Company believes these non-GAAP financial measures provide meaningful supplemental information as they enhance a reader’s understanding of the financial performance of the Company, facilitate a comparison among fiscal periods, and exclude items that management believes are not indicative of future operating performance or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non-GAAP gross profit, non-GAAP gross margin, taxes on income before equity in net income of associated companies – adjusted, non-GAAP net income, and non-GAAP earnings per diluted share, as discussed and reconciled below to the most comparable GAAP measures, may not be comparable to similarly named measures reported by other companies.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presents EBITDA, which is calculated as net income attributable to the Company before depreciation and amortization, interest expense, and taxes on income before equity in net income of associated companies. The Company also presents adjusted EBITDA, which is calculated as EBITDA plus or minus certain items that management believes are not indicative of future operating performance or considered core to the Company’s operations. The Company presents non-GAAP operating income, which is calculated as operating income plus or minus certain items that are not considered indicative of future operating performance or considered core to the Company’s operations. Additionally, the Company presents non-GAAP gross profit, which is calculated as gross profit plus or minus certain items that management believes are not considered indicative of future operating performance or considered core to the Company’s operations. Adjusted EBITDA margin, non-GAAP operating margin, and non-GAAP gross margin are calculated as the percentage of adjusted EBITDA, non-GAAP operating income, and non-GAAP gross profit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 Company presents non-GAAP net income and non-GAAP earnings per diluted share as additional performance measures. Non-GAAP net income is calculated as adjusted EBITDA, defined above, less depreciation and amortization, interest expense,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performance of the Company on a consistent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6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Profit and Margin Reconciliations</w:t>
            </w: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7"/>
        </w:trPr>
        <w:tc>
          <w:tcPr>
            <w:tcW w:w="5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193,523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180,865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559,462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513,848</w:t>
            </w:r>
          </w:p>
        </w:tc>
      </w:tr>
      <w:tr>
        <w:trPr>
          <w:trHeight w:val="243"/>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Acquisition-related step-up inventory amortization (l)</w:t>
            </w:r>
          </w:p>
        </w:tc>
        <w:tc>
          <w:tcPr>
            <w:tcW w:w="32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6,022</w:t>
            </w:r>
          </w:p>
        </w:tc>
      </w:tr>
      <w:tr>
        <w:trPr>
          <w:trHeight w:val="27"/>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(gain) on inventory and other adjustments (m)</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(2,933)</w:t>
            </w:r>
          </w:p>
        </w:tc>
      </w:tr>
      <w:tr>
        <w:trPr>
          <w:trHeight w:val="26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193,523</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181,536</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559,462</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516,937</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gross margin (%) (v)</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r>
      <w:tr>
        <w:trPr>
          <w:trHeight w:val="27"/>
        </w:trPr>
        <w:tc>
          <w:tcPr>
            <w:tcW w:w="5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5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 and Margin Reconciliations</w:t>
            </w:r>
          </w:p>
        </w:tc>
        <w:tc>
          <w:tcPr>
            <w:tcW w:w="1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5300" w:type="dxa"/>
            <w:vAlign w:val="bottom"/>
            <w:tcBorders>
              <w:bottom w:val="single" w:sz="8" w:color="CCED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48,853</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46,641</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123,045</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21,755</w:t>
            </w:r>
          </w:p>
        </w:tc>
      </w:tr>
      <w:tr>
        <w:trPr>
          <w:trHeight w:val="243"/>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Acquisition-related step-up inventory amortization (l)</w:t>
            </w:r>
          </w:p>
        </w:tc>
        <w:tc>
          <w:tcPr>
            <w:tcW w:w="18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6,022</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Restructuring and related charges, net (a)</w:t>
            </w:r>
          </w:p>
        </w:tc>
        <w:tc>
          <w:tcPr>
            <w:tcW w:w="18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8,263</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7,745</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23,760</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31,128</w:t>
            </w:r>
          </w:p>
        </w:tc>
      </w:tr>
      <w:tr>
        <w:trPr>
          <w:trHeight w:val="243"/>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Acquisition-related expenses (b)</w:t>
            </w:r>
          </w:p>
        </w:tc>
        <w:tc>
          <w:tcPr>
            <w:tcW w:w="1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4,775</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Loss (gain) on inventory and other adjustments (m)</w:t>
            </w:r>
          </w:p>
        </w:tc>
        <w:tc>
          <w:tcPr>
            <w:tcW w:w="180" w:type="dxa"/>
            <w:vAlign w:val="bottom"/>
            <w:tcBorders>
              <w:bottom w:val="single" w:sz="8" w:color="CCEDFF"/>
            </w:tcBorders>
            <w:shd w:val="clear" w:color="auto" w:fill="CCEDFF"/>
          </w:tcPr>
          <w:p>
            <w:pPr>
              <w:spacing w:after="0"/>
              <w:rPr>
                <w:sz w:val="21"/>
                <w:szCs w:val="21"/>
                <w:color w:val="auto"/>
              </w:rPr>
            </w:pPr>
          </w:p>
        </w:tc>
        <w:tc>
          <w:tcPr>
            <w:tcW w:w="134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(3,256)</w:t>
            </w:r>
          </w:p>
        </w:tc>
      </w:tr>
      <w:tr>
        <w:trPr>
          <w:trHeight w:val="243"/>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transformation costs (c)</w:t>
            </w:r>
          </w:p>
        </w:tc>
        <w:tc>
          <w:tcPr>
            <w:tcW w:w="1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3,017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8,789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Impairment charges (o)</w:t>
            </w:r>
          </w:p>
        </w:tc>
        <w:tc>
          <w:tcPr>
            <w:tcW w:w="180" w:type="dxa"/>
            <w:vAlign w:val="bottom"/>
            <w:tcBorders>
              <w:bottom w:val="single" w:sz="8" w:color="CCEDFF"/>
            </w:tcBorders>
            <w:shd w:val="clear" w:color="auto" w:fill="CCEDFF"/>
          </w:tcPr>
          <w:p>
            <w:pPr>
              <w:spacing w:after="0"/>
              <w:rPr>
                <w:sz w:val="21"/>
                <w:szCs w:val="21"/>
                <w:color w:val="auto"/>
              </w:rPr>
            </w:pPr>
          </w:p>
        </w:tc>
        <w:tc>
          <w:tcPr>
            <w:tcW w:w="134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88,840</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Duplicate headquarter lease costs (q)</w:t>
            </w:r>
          </w:p>
        </w:tc>
        <w:tc>
          <w:tcPr>
            <w:tcW w:w="1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Acquisition-related depreciation and amortization (k)</w:t>
            </w:r>
          </w:p>
        </w:tc>
        <w:tc>
          <w:tcPr>
            <w:tcW w:w="18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4,779</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3,337</w:t>
            </w:r>
          </w:p>
        </w:tc>
      </w:tr>
      <w:tr>
        <w:trPr>
          <w:trHeight w:val="243"/>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charges (e)</w:t>
            </w:r>
          </w:p>
        </w:tc>
        <w:tc>
          <w:tcPr>
            <w:tcW w:w="1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1,695</w:t>
            </w:r>
          </w:p>
        </w:tc>
      </w:tr>
      <w:tr>
        <w:trPr>
          <w:trHeight w:val="27"/>
        </w:trPr>
        <w:tc>
          <w:tcPr>
            <w:tcW w:w="5300" w:type="dxa"/>
            <w:vAlign w:val="bottom"/>
            <w:tcBorders>
              <w:bottom w:val="single" w:sz="8" w:color="CCED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53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63,135</w:t>
            </w:r>
          </w:p>
        </w:tc>
        <w:tc>
          <w:tcPr>
            <w:tcW w:w="80" w:type="dxa"/>
            <w:vAlign w:val="bottom"/>
            <w:tcBorders>
              <w:bottom w:val="single" w:sz="8" w:color="CCEDFF"/>
            </w:tcBorders>
            <w:shd w:val="clear" w:color="auto" w:fill="CCEDFF"/>
          </w:tcPr>
          <w:p>
            <w:pPr>
              <w:spacing w:after="0"/>
              <w:rPr>
                <w:sz w:val="24"/>
                <w:szCs w:val="24"/>
                <w:color w:val="auto"/>
              </w:rPr>
            </w:pPr>
          </w:p>
        </w:tc>
        <w:tc>
          <w:tcPr>
            <w:tcW w:w="520" w:type="dxa"/>
            <w:vAlign w:val="bottom"/>
            <w:tcBorders>
              <w:bottom w:val="single" w:sz="8" w:color="auto"/>
            </w:tcBorders>
            <w:shd w:val="clear" w:color="auto" w:fill="CCED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57,885</w:t>
            </w:r>
          </w:p>
        </w:tc>
        <w:tc>
          <w:tcPr>
            <w:tcW w:w="80" w:type="dxa"/>
            <w:vAlign w:val="bottom"/>
            <w:tcBorders>
              <w:bottom w:val="single" w:sz="8" w:color="CCEDFF"/>
            </w:tcBorders>
            <w:shd w:val="clear" w:color="auto" w:fill="CCEDFF"/>
          </w:tcPr>
          <w:p>
            <w:pPr>
              <w:spacing w:after="0"/>
              <w:rPr>
                <w:sz w:val="24"/>
                <w:szCs w:val="24"/>
                <w:color w:val="auto"/>
              </w:rPr>
            </w:pPr>
          </w:p>
        </w:tc>
        <w:tc>
          <w:tcPr>
            <w:tcW w:w="32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163,771</w:t>
            </w:r>
          </w:p>
        </w:tc>
        <w:tc>
          <w:tcPr>
            <w:tcW w:w="80" w:type="dxa"/>
            <w:vAlign w:val="bottom"/>
            <w:tcBorders>
              <w:bottom w:val="single" w:sz="8" w:color="CCEDFF"/>
            </w:tcBorders>
            <w:shd w:val="clear" w:color="auto" w:fill="CCEDFF"/>
          </w:tcPr>
          <w:p>
            <w:pPr>
              <w:spacing w:after="0"/>
              <w:rPr>
                <w:sz w:val="24"/>
                <w:szCs w:val="24"/>
                <w:color w:val="auto"/>
              </w:rPr>
            </w:pPr>
          </w:p>
        </w:tc>
        <w:tc>
          <w:tcPr>
            <w:tcW w:w="520" w:type="dxa"/>
            <w:vAlign w:val="bottom"/>
            <w:tcBorders>
              <w:bottom w:val="single" w:sz="8" w:color="auto"/>
            </w:tcBorders>
            <w:shd w:val="clear" w:color="auto" w:fill="CCED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154,296</w:t>
            </w:r>
          </w:p>
        </w:tc>
      </w:tr>
      <w:tr>
        <w:trPr>
          <w:trHeight w:val="20"/>
        </w:trPr>
        <w:tc>
          <w:tcPr>
            <w:tcW w:w="5300" w:type="dxa"/>
            <w:vAlign w:val="bottom"/>
            <w:tcBorders>
              <w:top w:val="single" w:sz="8" w:color="CCEDFF"/>
            </w:tcBorders>
          </w:tcPr>
          <w:p>
            <w:pPr>
              <w:spacing w:after="0" w:line="20" w:lineRule="exact"/>
              <w:rPr>
                <w:sz w:val="1"/>
                <w:szCs w:val="1"/>
                <w:color w:val="auto"/>
              </w:rPr>
            </w:pPr>
          </w:p>
        </w:tc>
        <w:tc>
          <w:tcPr>
            <w:tcW w:w="18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520" w:type="dxa"/>
            <w:vAlign w:val="bottom"/>
            <w:tcBorders>
              <w:top w:val="single" w:sz="8" w:color="CCEDFF"/>
              <w:bottom w:val="single" w:sz="8" w:color="auto"/>
            </w:tcBorders>
          </w:tcPr>
          <w:p>
            <w:pPr>
              <w:spacing w:after="0" w:line="20" w:lineRule="exact"/>
              <w:rPr>
                <w:sz w:val="1"/>
                <w:szCs w:val="1"/>
                <w:color w:val="auto"/>
              </w:rPr>
            </w:pPr>
          </w:p>
        </w:tc>
        <w:tc>
          <w:tcPr>
            <w:tcW w:w="9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08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520" w:type="dxa"/>
            <w:vAlign w:val="bottom"/>
            <w:tcBorders>
              <w:top w:val="single" w:sz="8" w:color="CCEDFF"/>
              <w:bottom w:val="single" w:sz="8" w:color="auto"/>
            </w:tcBorders>
          </w:tcPr>
          <w:p>
            <w:pPr>
              <w:spacing w:after="0" w:line="20" w:lineRule="exact"/>
              <w:rPr>
                <w:sz w:val="1"/>
                <w:szCs w:val="1"/>
                <w:color w:val="auto"/>
              </w:rPr>
            </w:pPr>
          </w:p>
        </w:tc>
        <w:tc>
          <w:tcPr>
            <w:tcW w:w="900" w:type="dxa"/>
            <w:vAlign w:val="bottom"/>
            <w:tcBorders>
              <w:top w:val="single" w:sz="8" w:color="CCEDFF"/>
              <w:bottom w:val="single" w:sz="8" w:color="auto"/>
            </w:tcBorders>
          </w:tcPr>
          <w:p>
            <w:pPr>
              <w:spacing w:after="0" w:line="20" w:lineRule="exact"/>
              <w:rPr>
                <w:sz w:val="1"/>
                <w:szCs w:val="1"/>
                <w:color w:val="auto"/>
              </w:rPr>
            </w:pPr>
          </w:p>
        </w:tc>
      </w:tr>
      <w:tr>
        <w:trPr>
          <w:trHeight w:val="21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margin (%) (v)</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756"/>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3"/>
        </w:trPr>
        <w:tc>
          <w:tcPr>
            <w:tcW w:w="53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Adjusted EBITDA, Adjusted EBITDA Margin and Non-</w:t>
            </w:r>
          </w:p>
        </w:tc>
        <w:tc>
          <w:tcPr>
            <w:tcW w:w="180" w:type="dxa"/>
            <w:vAlign w:val="bottom"/>
          </w:tcPr>
          <w:p>
            <w:pPr>
              <w:spacing w:after="0"/>
              <w:rPr>
                <w:sz w:val="18"/>
                <w:szCs w:val="18"/>
                <w:color w:val="auto"/>
              </w:rPr>
            </w:pPr>
          </w:p>
        </w:tc>
        <w:tc>
          <w:tcPr>
            <w:tcW w:w="28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5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 Reconciliations</w:t>
            </w:r>
          </w:p>
        </w:tc>
        <w:tc>
          <w:tcPr>
            <w:tcW w:w="1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7"/>
        </w:trPr>
        <w:tc>
          <w:tcPr>
            <w:tcW w:w="5300" w:type="dxa"/>
            <w:vAlign w:val="bottom"/>
            <w:tcBorders>
              <w:bottom w:val="single" w:sz="8" w:color="CCED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Quaker Chemical Corporation</w:t>
            </w:r>
          </w:p>
        </w:tc>
        <w:tc>
          <w:tcPr>
            <w:tcW w:w="1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29,977</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30,469</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76,481</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(23,189)</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(r)</w:t>
            </w:r>
          </w:p>
        </w:tc>
        <w:tc>
          <w:tcPr>
            <w:tcW w:w="1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25,620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24,436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77,085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69,187</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10,023</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10,941</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29,775</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33,265</w:t>
            </w:r>
          </w:p>
        </w:tc>
      </w:tr>
      <w:tr>
        <w:trPr>
          <w:trHeight w:val="225"/>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on income before equity in net income of associated companies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5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w:t>
            </w:r>
          </w:p>
        </w:tc>
        <w:tc>
          <w:tcPr>
            <w:tcW w:w="18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11,830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9,266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30,147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22,280</w:t>
            </w:r>
          </w:p>
        </w:tc>
      </w:tr>
      <w:tr>
        <w:trPr>
          <w:trHeight w:val="27"/>
        </w:trPr>
        <w:tc>
          <w:tcPr>
            <w:tcW w:w="5300" w:type="dxa"/>
            <w:vAlign w:val="bottom"/>
            <w:tcBorders>
              <w:bottom w:val="single" w:sz="8" w:color="CCED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77,450</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75,112</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213,488</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101,543</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income in a captive insurance company (f)</w:t>
            </w:r>
          </w:p>
        </w:tc>
        <w:tc>
          <w:tcPr>
            <w:tcW w:w="1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(4,810)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(4,437)</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Acquisition-related step-up inventory amortization (l)</w:t>
            </w:r>
          </w:p>
        </w:tc>
        <w:tc>
          <w:tcPr>
            <w:tcW w:w="180" w:type="dxa"/>
            <w:vAlign w:val="bottom"/>
            <w:tcBorders>
              <w:bottom w:val="single" w:sz="8" w:color="CCEDFF"/>
            </w:tcBorders>
            <w:shd w:val="clear" w:color="auto" w:fill="CCEDFF"/>
          </w:tcPr>
          <w:p>
            <w:pPr>
              <w:spacing w:after="0"/>
              <w:rPr>
                <w:sz w:val="21"/>
                <w:szCs w:val="21"/>
                <w:color w:val="auto"/>
              </w:rPr>
            </w:pPr>
          </w:p>
        </w:tc>
        <w:tc>
          <w:tcPr>
            <w:tcW w:w="134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6,022</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charges, net (a)</w:t>
            </w:r>
          </w:p>
        </w:tc>
        <w:tc>
          <w:tcPr>
            <w:tcW w:w="1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8,263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7,745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23,760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31,128</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expenses (b)</w:t>
            </w:r>
          </w:p>
        </w:tc>
        <w:tc>
          <w:tcPr>
            <w:tcW w:w="18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4,775</w:t>
            </w:r>
          </w:p>
        </w:tc>
      </w:tr>
      <w:tr>
        <w:trPr>
          <w:trHeight w:val="243"/>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(gain) on inventory and other adjustments (m)</w:t>
            </w:r>
          </w:p>
        </w:tc>
        <w:tc>
          <w:tcPr>
            <w:tcW w:w="18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(3,256)</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Business transformation costs (c)</w:t>
            </w:r>
          </w:p>
        </w:tc>
        <w:tc>
          <w:tcPr>
            <w:tcW w:w="18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3,017</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8,789</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Pension and postretirement benefit costs, non-service components (d)</w:t>
            </w:r>
          </w:p>
        </w:tc>
        <w:tc>
          <w:tcPr>
            <w:tcW w:w="1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1,351</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Impairment charges (o)</w:t>
            </w:r>
          </w:p>
        </w:tc>
        <w:tc>
          <w:tcPr>
            <w:tcW w:w="180" w:type="dxa"/>
            <w:vAlign w:val="bottom"/>
            <w:tcBorders>
              <w:bottom w:val="single" w:sz="8" w:color="CCEDFF"/>
            </w:tcBorders>
            <w:shd w:val="clear" w:color="auto" w:fill="CCEDFF"/>
          </w:tcPr>
          <w:p>
            <w:pPr>
              <w:spacing w:after="0"/>
              <w:rPr>
                <w:sz w:val="21"/>
                <w:szCs w:val="21"/>
                <w:color w:val="auto"/>
              </w:rPr>
            </w:pPr>
          </w:p>
        </w:tc>
        <w:tc>
          <w:tcPr>
            <w:tcW w:w="134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88,840</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liability claim reimbursement (p)</w:t>
            </w:r>
          </w:p>
        </w:tc>
        <w:tc>
          <w:tcPr>
            <w:tcW w:w="18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Currency conversion impacts of hyper-inflationary economies (g)</w:t>
            </w:r>
          </w:p>
        </w:tc>
        <w:tc>
          <w:tcPr>
            <w:tcW w:w="18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2,073</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acquisition-related hedges (h)</w:t>
            </w:r>
          </w:p>
        </w:tc>
        <w:tc>
          <w:tcPr>
            <w:tcW w:w="18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1,351</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Loss (gain) on sale of assets (i)</w:t>
            </w:r>
          </w:p>
        </w:tc>
        <w:tc>
          <w:tcPr>
            <w:tcW w:w="18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(2,534)</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Multiemployer plan withdrawal charge (t)</w:t>
            </w:r>
          </w:p>
        </w:tc>
        <w:tc>
          <w:tcPr>
            <w:tcW w:w="18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923</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Brazilian non-income tax credits (u)</w:t>
            </w:r>
          </w:p>
        </w:tc>
        <w:tc>
          <w:tcPr>
            <w:tcW w:w="180" w:type="dxa"/>
            <w:vAlign w:val="bottom"/>
            <w:tcBorders>
              <w:bottom w:val="single" w:sz="8" w:color="CCEDFF"/>
            </w:tcBorders>
            <w:shd w:val="clear" w:color="auto" w:fill="CCEDFF"/>
          </w:tcPr>
          <w:p>
            <w:pPr>
              <w:spacing w:after="0"/>
              <w:rPr>
                <w:sz w:val="21"/>
                <w:szCs w:val="21"/>
                <w:color w:val="auto"/>
              </w:rPr>
            </w:pPr>
          </w:p>
        </w:tc>
        <w:tc>
          <w:tcPr>
            <w:tcW w:w="134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(1,762)</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(1,762)</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modification and extinguishment costs (n)</w:t>
            </w:r>
          </w:p>
        </w:tc>
        <w:tc>
          <w:tcPr>
            <w:tcW w:w="18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Duplicate headquarter lease costs (q)</w:t>
            </w:r>
          </w:p>
        </w:tc>
        <w:tc>
          <w:tcPr>
            <w:tcW w:w="18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1000" w:type="dxa"/>
            <w:vAlign w:val="bottom"/>
            <w:tcBorders>
              <w:bottom w:val="single" w:sz="8" w:color="CCEDFF"/>
            </w:tcBorders>
            <w:gridSpan w:val="2"/>
            <w:shd w:val="clear" w:color="auto" w:fill="CCED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2,042</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charges (credits) (e)</w:t>
            </w:r>
          </w:p>
        </w:tc>
        <w:tc>
          <w:tcPr>
            <w:tcW w:w="1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1,360</w:t>
            </w:r>
          </w:p>
        </w:tc>
      </w:tr>
      <w:tr>
        <w:trPr>
          <w:trHeight w:val="27"/>
        </w:trPr>
        <w:tc>
          <w:tcPr>
            <w:tcW w:w="5300" w:type="dxa"/>
            <w:vAlign w:val="bottom"/>
            <w:tcBorders>
              <w:bottom w:val="single" w:sz="8" w:color="CCED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53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89,781</w:t>
            </w:r>
          </w:p>
        </w:tc>
        <w:tc>
          <w:tcPr>
            <w:tcW w:w="80" w:type="dxa"/>
            <w:vAlign w:val="bottom"/>
            <w:tcBorders>
              <w:bottom w:val="single" w:sz="8" w:color="CCEDFF"/>
            </w:tcBorders>
            <w:shd w:val="clear" w:color="auto" w:fill="CCEDFF"/>
          </w:tcPr>
          <w:p>
            <w:pPr>
              <w:spacing w:after="0"/>
              <w:rPr>
                <w:sz w:val="24"/>
                <w:szCs w:val="24"/>
                <w:color w:val="auto"/>
              </w:rPr>
            </w:pPr>
          </w:p>
        </w:tc>
        <w:tc>
          <w:tcPr>
            <w:tcW w:w="520" w:type="dxa"/>
            <w:vAlign w:val="bottom"/>
            <w:tcBorders>
              <w:bottom w:val="single" w:sz="8" w:color="auto"/>
            </w:tcBorders>
            <w:shd w:val="clear" w:color="auto" w:fill="CCED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82,851</w:t>
            </w:r>
          </w:p>
        </w:tc>
        <w:tc>
          <w:tcPr>
            <w:tcW w:w="80" w:type="dxa"/>
            <w:vAlign w:val="bottom"/>
            <w:tcBorders>
              <w:bottom w:val="single" w:sz="8" w:color="CCEDFF"/>
            </w:tcBorders>
            <w:shd w:val="clear" w:color="auto" w:fill="CCEDFF"/>
          </w:tcPr>
          <w:p>
            <w:pPr>
              <w:spacing w:after="0"/>
              <w:rPr>
                <w:sz w:val="24"/>
                <w:szCs w:val="24"/>
                <w:color w:val="auto"/>
              </w:rPr>
            </w:pPr>
          </w:p>
        </w:tc>
        <w:tc>
          <w:tcPr>
            <w:tcW w:w="32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247,477</w:t>
            </w:r>
          </w:p>
        </w:tc>
        <w:tc>
          <w:tcPr>
            <w:tcW w:w="80" w:type="dxa"/>
            <w:vAlign w:val="bottom"/>
            <w:tcBorders>
              <w:bottom w:val="single" w:sz="8" w:color="CCEDFF"/>
            </w:tcBorders>
            <w:shd w:val="clear" w:color="auto" w:fill="CCEDFF"/>
          </w:tcPr>
          <w:p>
            <w:pPr>
              <w:spacing w:after="0"/>
              <w:rPr>
                <w:sz w:val="24"/>
                <w:szCs w:val="24"/>
                <w:color w:val="auto"/>
              </w:rPr>
            </w:pPr>
          </w:p>
        </w:tc>
        <w:tc>
          <w:tcPr>
            <w:tcW w:w="520" w:type="dxa"/>
            <w:vAlign w:val="bottom"/>
            <w:tcBorders>
              <w:bottom w:val="single" w:sz="8" w:color="auto"/>
            </w:tcBorders>
            <w:shd w:val="clear" w:color="auto" w:fill="CCED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227,377</w:t>
            </w:r>
          </w:p>
        </w:tc>
      </w:tr>
      <w:tr>
        <w:trPr>
          <w:trHeight w:val="20"/>
        </w:trPr>
        <w:tc>
          <w:tcPr>
            <w:tcW w:w="5300" w:type="dxa"/>
            <w:vAlign w:val="bottom"/>
            <w:tcBorders>
              <w:top w:val="single" w:sz="8" w:color="CCEDFF"/>
            </w:tcBorders>
          </w:tcPr>
          <w:p>
            <w:pPr>
              <w:spacing w:after="0" w:line="20" w:lineRule="exact"/>
              <w:rPr>
                <w:sz w:val="1"/>
                <w:szCs w:val="1"/>
                <w:color w:val="auto"/>
              </w:rPr>
            </w:pPr>
          </w:p>
        </w:tc>
        <w:tc>
          <w:tcPr>
            <w:tcW w:w="18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520" w:type="dxa"/>
            <w:vAlign w:val="bottom"/>
            <w:tcBorders>
              <w:top w:val="single" w:sz="8" w:color="CCEDFF"/>
              <w:bottom w:val="single" w:sz="8" w:color="auto"/>
            </w:tcBorders>
          </w:tcPr>
          <w:p>
            <w:pPr>
              <w:spacing w:after="0" w:line="20" w:lineRule="exact"/>
              <w:rPr>
                <w:sz w:val="1"/>
                <w:szCs w:val="1"/>
                <w:color w:val="auto"/>
              </w:rPr>
            </w:pPr>
          </w:p>
        </w:tc>
        <w:tc>
          <w:tcPr>
            <w:tcW w:w="9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08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520" w:type="dxa"/>
            <w:vAlign w:val="bottom"/>
            <w:tcBorders>
              <w:top w:val="single" w:sz="8" w:color="CCEDFF"/>
              <w:bottom w:val="single" w:sz="8" w:color="auto"/>
            </w:tcBorders>
          </w:tcPr>
          <w:p>
            <w:pPr>
              <w:spacing w:after="0" w:line="20" w:lineRule="exact"/>
              <w:rPr>
                <w:sz w:val="1"/>
                <w:szCs w:val="1"/>
                <w:color w:val="auto"/>
              </w:rPr>
            </w:pPr>
          </w:p>
        </w:tc>
        <w:tc>
          <w:tcPr>
            <w:tcW w:w="900" w:type="dxa"/>
            <w:vAlign w:val="bottom"/>
            <w:tcBorders>
              <w:top w:val="single" w:sz="8" w:color="CCEDFF"/>
              <w:bottom w:val="single" w:sz="8" w:color="auto"/>
            </w:tcBorders>
          </w:tcPr>
          <w:p>
            <w:pPr>
              <w:spacing w:after="0" w:line="20" w:lineRule="exact"/>
              <w:rPr>
                <w:sz w:val="1"/>
                <w:szCs w:val="1"/>
                <w:color w:val="auto"/>
              </w:rPr>
            </w:pPr>
          </w:p>
        </w:tc>
      </w:tr>
      <w:tr>
        <w:trPr>
          <w:trHeight w:val="21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 (%) (v)</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6"/>
        </w:trPr>
        <w:tc>
          <w:tcPr>
            <w:tcW w:w="5300" w:type="dxa"/>
            <w:vAlign w:val="bottom"/>
            <w:shd w:val="clear" w:color="auto" w:fill="CCEDFF"/>
          </w:tcPr>
          <w:p>
            <w:pPr>
              <w:spacing w:after="0"/>
              <w:rPr>
                <w:sz w:val="18"/>
                <w:szCs w:val="18"/>
                <w:color w:val="auto"/>
              </w:rPr>
            </w:pPr>
          </w:p>
        </w:tc>
        <w:tc>
          <w:tcPr>
            <w:tcW w:w="180" w:type="dxa"/>
            <w:vAlign w:val="bottom"/>
            <w:shd w:val="clear" w:color="auto" w:fill="CCEDFF"/>
          </w:tcPr>
          <w:p>
            <w:pPr>
              <w:spacing w:after="0"/>
              <w:rPr>
                <w:sz w:val="18"/>
                <w:szCs w:val="18"/>
                <w:color w:val="auto"/>
              </w:rPr>
            </w:pPr>
          </w:p>
        </w:tc>
        <w:tc>
          <w:tcPr>
            <w:tcW w:w="1260" w:type="dxa"/>
            <w:vAlign w:val="bottom"/>
            <w:shd w:val="clear" w:color="auto" w:fill="CCEDFF"/>
          </w:tcPr>
          <w:p>
            <w:pPr>
              <w:spacing w:after="0"/>
              <w:rPr>
                <w:sz w:val="18"/>
                <w:szCs w:val="18"/>
                <w:color w:val="auto"/>
              </w:rPr>
            </w:pPr>
          </w:p>
        </w:tc>
        <w:tc>
          <w:tcPr>
            <w:tcW w:w="80" w:type="dxa"/>
            <w:vAlign w:val="bottom"/>
            <w:shd w:val="clear" w:color="auto" w:fill="CCEDFF"/>
          </w:tcPr>
          <w:p>
            <w:pPr>
              <w:spacing w:after="0"/>
              <w:rPr>
                <w:sz w:val="18"/>
                <w:szCs w:val="18"/>
                <w:color w:val="auto"/>
              </w:rPr>
            </w:pPr>
          </w:p>
        </w:tc>
        <w:tc>
          <w:tcPr>
            <w:tcW w:w="520" w:type="dxa"/>
            <w:vAlign w:val="bottom"/>
            <w:shd w:val="clear" w:color="auto" w:fill="CCEDFF"/>
          </w:tcPr>
          <w:p>
            <w:pPr>
              <w:spacing w:after="0"/>
              <w:rPr>
                <w:sz w:val="18"/>
                <w:szCs w:val="18"/>
                <w:color w:val="auto"/>
              </w:rPr>
            </w:pPr>
          </w:p>
        </w:tc>
        <w:tc>
          <w:tcPr>
            <w:tcW w:w="920" w:type="dxa"/>
            <w:vAlign w:val="bottom"/>
            <w:shd w:val="clear" w:color="auto" w:fill="CCEDFF"/>
          </w:tcPr>
          <w:p>
            <w:pPr>
              <w:spacing w:after="0"/>
              <w:rPr>
                <w:sz w:val="18"/>
                <w:szCs w:val="18"/>
                <w:color w:val="auto"/>
              </w:rPr>
            </w:pPr>
          </w:p>
        </w:tc>
        <w:tc>
          <w:tcPr>
            <w:tcW w:w="80" w:type="dxa"/>
            <w:vAlign w:val="bottom"/>
            <w:shd w:val="clear" w:color="auto" w:fill="CCEDFF"/>
          </w:tcPr>
          <w:p>
            <w:pPr>
              <w:spacing w:after="0"/>
              <w:rPr>
                <w:sz w:val="18"/>
                <w:szCs w:val="18"/>
                <w:color w:val="auto"/>
              </w:rPr>
            </w:pPr>
          </w:p>
        </w:tc>
        <w:tc>
          <w:tcPr>
            <w:tcW w:w="320" w:type="dxa"/>
            <w:vAlign w:val="bottom"/>
            <w:shd w:val="clear" w:color="auto" w:fill="CCEDFF"/>
          </w:tcPr>
          <w:p>
            <w:pPr>
              <w:spacing w:after="0"/>
              <w:rPr>
                <w:sz w:val="18"/>
                <w:szCs w:val="18"/>
                <w:color w:val="auto"/>
              </w:rPr>
            </w:pPr>
          </w:p>
        </w:tc>
        <w:tc>
          <w:tcPr>
            <w:tcW w:w="1080" w:type="dxa"/>
            <w:vAlign w:val="bottom"/>
            <w:shd w:val="clear" w:color="auto" w:fill="CCEDFF"/>
          </w:tcPr>
          <w:p>
            <w:pPr>
              <w:spacing w:after="0"/>
              <w:rPr>
                <w:sz w:val="18"/>
                <w:szCs w:val="18"/>
                <w:color w:val="auto"/>
              </w:rPr>
            </w:pPr>
          </w:p>
        </w:tc>
        <w:tc>
          <w:tcPr>
            <w:tcW w:w="80" w:type="dxa"/>
            <w:vAlign w:val="bottom"/>
            <w:shd w:val="clear" w:color="auto" w:fill="CCEDFF"/>
          </w:tcPr>
          <w:p>
            <w:pPr>
              <w:spacing w:after="0"/>
              <w:rPr>
                <w:sz w:val="18"/>
                <w:szCs w:val="18"/>
                <w:color w:val="auto"/>
              </w:rPr>
            </w:pPr>
          </w:p>
        </w:tc>
        <w:tc>
          <w:tcPr>
            <w:tcW w:w="520" w:type="dxa"/>
            <w:vAlign w:val="bottom"/>
            <w:shd w:val="clear" w:color="auto" w:fill="CCEDFF"/>
          </w:tcPr>
          <w:p>
            <w:pPr>
              <w:spacing w:after="0"/>
              <w:rPr>
                <w:sz w:val="18"/>
                <w:szCs w:val="18"/>
                <w:color w:val="auto"/>
              </w:rPr>
            </w:pPr>
          </w:p>
        </w:tc>
        <w:tc>
          <w:tcPr>
            <w:tcW w:w="900" w:type="dxa"/>
            <w:vAlign w:val="bottom"/>
            <w:shd w:val="clear" w:color="auto" w:fill="CCEDFF"/>
          </w:tcPr>
          <w:p>
            <w:pPr>
              <w:spacing w:after="0"/>
              <w:rPr>
                <w:sz w:val="18"/>
                <w:szCs w:val="18"/>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89,781</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82,851</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247,477</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227,377</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Less: Depreciation and amortization (r)</w:t>
            </w:r>
          </w:p>
        </w:tc>
        <w:tc>
          <w:tcPr>
            <w:tcW w:w="18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25,620</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24,436</w:t>
            </w:r>
          </w:p>
        </w:tc>
        <w:tc>
          <w:tcPr>
            <w:tcW w:w="80" w:type="dxa"/>
            <w:vAlign w:val="bottom"/>
            <w:tcBorders>
              <w:bottom w:val="single" w:sz="8" w:color="CCEDFF"/>
            </w:tcBorders>
            <w:shd w:val="clear" w:color="auto" w:fill="CCEDFF"/>
          </w:tcPr>
          <w:p>
            <w:pPr>
              <w:spacing w:after="0"/>
              <w:rPr>
                <w:sz w:val="21"/>
                <w:szCs w:val="21"/>
                <w:color w:val="auto"/>
              </w:rPr>
            </w:pPr>
          </w:p>
        </w:tc>
        <w:tc>
          <w:tcPr>
            <w:tcW w:w="32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77,085</w:t>
            </w:r>
          </w:p>
        </w:tc>
        <w:tc>
          <w:tcPr>
            <w:tcW w:w="80" w:type="dxa"/>
            <w:vAlign w:val="bottom"/>
            <w:tcBorders>
              <w:bottom w:val="single" w:sz="8" w:color="CCEDFF"/>
            </w:tcBorders>
            <w:shd w:val="clear" w:color="auto" w:fill="CCEDFF"/>
          </w:tcPr>
          <w:p>
            <w:pPr>
              <w:spacing w:after="0"/>
              <w:rPr>
                <w:sz w:val="21"/>
                <w:szCs w:val="21"/>
                <w:color w:val="auto"/>
              </w:rPr>
            </w:pPr>
          </w:p>
        </w:tc>
        <w:tc>
          <w:tcPr>
            <w:tcW w:w="520" w:type="dxa"/>
            <w:vAlign w:val="bottom"/>
            <w:tcBorders>
              <w:bottom w:val="single" w:sz="8" w:color="CCEDFF"/>
            </w:tcBorders>
            <w:shd w:val="clear" w:color="auto" w:fill="CCEDFF"/>
          </w:tcPr>
          <w:p>
            <w:pPr>
              <w:spacing w:after="0"/>
              <w:rPr>
                <w:sz w:val="21"/>
                <w:szCs w:val="21"/>
                <w:color w:val="auto"/>
              </w:rPr>
            </w:pPr>
          </w:p>
        </w:tc>
        <w:tc>
          <w:tcPr>
            <w:tcW w:w="9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69,187</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Interest expense</w:t>
            </w:r>
          </w:p>
        </w:tc>
        <w:tc>
          <w:tcPr>
            <w:tcW w:w="1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10,023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10,941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29,775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33,265</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530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Less: Taxes on income before equity in net income of associated</w:t>
            </w:r>
          </w:p>
        </w:tc>
        <w:tc>
          <w:tcPr>
            <w:tcW w:w="180" w:type="dxa"/>
            <w:vAlign w:val="bottom"/>
            <w:shd w:val="clear" w:color="auto" w:fill="CCEDFF"/>
          </w:tcPr>
          <w:p>
            <w:pPr>
              <w:spacing w:after="0"/>
              <w:rPr>
                <w:sz w:val="19"/>
                <w:szCs w:val="19"/>
                <w:color w:val="auto"/>
              </w:rPr>
            </w:pPr>
          </w:p>
        </w:tc>
        <w:tc>
          <w:tcPr>
            <w:tcW w:w="126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520" w:type="dxa"/>
            <w:vAlign w:val="bottom"/>
            <w:shd w:val="clear" w:color="auto" w:fill="CCEDFF"/>
          </w:tcPr>
          <w:p>
            <w:pPr>
              <w:spacing w:after="0"/>
              <w:rPr>
                <w:sz w:val="19"/>
                <w:szCs w:val="19"/>
                <w:color w:val="auto"/>
              </w:rPr>
            </w:pPr>
          </w:p>
        </w:tc>
        <w:tc>
          <w:tcPr>
            <w:tcW w:w="92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320" w:type="dxa"/>
            <w:vAlign w:val="bottom"/>
            <w:shd w:val="clear" w:color="auto" w:fill="CCEDFF"/>
          </w:tcPr>
          <w:p>
            <w:pPr>
              <w:spacing w:after="0"/>
              <w:rPr>
                <w:sz w:val="19"/>
                <w:szCs w:val="19"/>
                <w:color w:val="auto"/>
              </w:rPr>
            </w:pPr>
          </w:p>
        </w:tc>
        <w:tc>
          <w:tcPr>
            <w:tcW w:w="1080" w:type="dxa"/>
            <w:vAlign w:val="bottom"/>
            <w:shd w:val="clear" w:color="auto" w:fill="CCEDFF"/>
          </w:tcPr>
          <w:p>
            <w:pPr>
              <w:spacing w:after="0"/>
              <w:rPr>
                <w:sz w:val="19"/>
                <w:szCs w:val="19"/>
                <w:color w:val="auto"/>
              </w:rPr>
            </w:pPr>
          </w:p>
        </w:tc>
        <w:tc>
          <w:tcPr>
            <w:tcW w:w="80" w:type="dxa"/>
            <w:vAlign w:val="bottom"/>
            <w:shd w:val="clear" w:color="auto" w:fill="CCEDFF"/>
          </w:tcPr>
          <w:p>
            <w:pPr>
              <w:spacing w:after="0"/>
              <w:rPr>
                <w:sz w:val="19"/>
                <w:szCs w:val="19"/>
                <w:color w:val="auto"/>
              </w:rPr>
            </w:pPr>
          </w:p>
        </w:tc>
        <w:tc>
          <w:tcPr>
            <w:tcW w:w="520" w:type="dxa"/>
            <w:vAlign w:val="bottom"/>
            <w:shd w:val="clear" w:color="auto" w:fill="CCEDFF"/>
          </w:tcPr>
          <w:p>
            <w:pPr>
              <w:spacing w:after="0"/>
              <w:rPr>
                <w:sz w:val="19"/>
                <w:szCs w:val="19"/>
                <w:color w:val="auto"/>
              </w:rPr>
            </w:pPr>
          </w:p>
        </w:tc>
        <w:tc>
          <w:tcPr>
            <w:tcW w:w="900" w:type="dxa"/>
            <w:vAlign w:val="bottom"/>
            <w:shd w:val="clear" w:color="auto" w:fill="CCEDFF"/>
          </w:tcPr>
          <w:p>
            <w:pPr>
              <w:spacing w:after="0"/>
              <w:rPr>
                <w:sz w:val="19"/>
                <w:szCs w:val="19"/>
                <w:color w:val="auto"/>
              </w:rPr>
            </w:pPr>
          </w:p>
        </w:tc>
      </w:tr>
      <w:tr>
        <w:trPr>
          <w:trHeight w:val="241"/>
        </w:trPr>
        <w:tc>
          <w:tcPr>
            <w:tcW w:w="53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companies - adjusted (s)</w:t>
            </w:r>
          </w:p>
        </w:tc>
        <w:tc>
          <w:tcPr>
            <w:tcW w:w="180" w:type="dxa"/>
            <w:vAlign w:val="bottom"/>
            <w:tcBorders>
              <w:bottom w:val="single" w:sz="8" w:color="CCEDFF"/>
            </w:tcBorders>
            <w:shd w:val="clear" w:color="auto" w:fill="CCEDFF"/>
          </w:tcPr>
          <w:p>
            <w:pPr>
              <w:spacing w:after="0"/>
              <w:rPr>
                <w:sz w:val="20"/>
                <w:szCs w:val="20"/>
                <w:color w:val="auto"/>
              </w:rPr>
            </w:pPr>
          </w:p>
        </w:tc>
        <w:tc>
          <w:tcPr>
            <w:tcW w:w="12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14,312</w:t>
            </w:r>
          </w:p>
        </w:tc>
        <w:tc>
          <w:tcPr>
            <w:tcW w:w="80" w:type="dxa"/>
            <w:vAlign w:val="bottom"/>
            <w:tcBorders>
              <w:bottom w:val="single" w:sz="8" w:color="CCEDFF"/>
            </w:tcBorders>
            <w:shd w:val="clear" w:color="auto" w:fill="CCEDFF"/>
          </w:tcPr>
          <w:p>
            <w:pPr>
              <w:spacing w:after="0"/>
              <w:rPr>
                <w:sz w:val="20"/>
                <w:szCs w:val="20"/>
                <w:color w:val="auto"/>
              </w:rPr>
            </w:pPr>
          </w:p>
        </w:tc>
        <w:tc>
          <w:tcPr>
            <w:tcW w:w="520" w:type="dxa"/>
            <w:vAlign w:val="bottom"/>
            <w:tcBorders>
              <w:bottom w:val="single" w:sz="8" w:color="CCEDFF"/>
            </w:tcBorders>
            <w:shd w:val="clear" w:color="auto" w:fill="CCEDFF"/>
          </w:tcPr>
          <w:p>
            <w:pPr>
              <w:spacing w:after="0"/>
              <w:rPr>
                <w:sz w:val="20"/>
                <w:szCs w:val="20"/>
                <w:color w:val="auto"/>
              </w:rPr>
            </w:pPr>
          </w:p>
        </w:tc>
        <w:tc>
          <w:tcPr>
            <w:tcW w:w="9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12,860</w:t>
            </w:r>
          </w:p>
        </w:tc>
        <w:tc>
          <w:tcPr>
            <w:tcW w:w="80" w:type="dxa"/>
            <w:vAlign w:val="bottom"/>
            <w:tcBorders>
              <w:bottom w:val="single" w:sz="8" w:color="CCEDFF"/>
            </w:tcBorders>
            <w:shd w:val="clear" w:color="auto" w:fill="CCEDFF"/>
          </w:tcPr>
          <w:p>
            <w:pPr>
              <w:spacing w:after="0"/>
              <w:rPr>
                <w:sz w:val="20"/>
                <w:szCs w:val="20"/>
                <w:color w:val="auto"/>
              </w:rPr>
            </w:pPr>
          </w:p>
        </w:tc>
        <w:tc>
          <w:tcPr>
            <w:tcW w:w="320" w:type="dxa"/>
            <w:vAlign w:val="bottom"/>
            <w:tcBorders>
              <w:bottom w:val="single" w:sz="8" w:color="CCEDFF"/>
            </w:tcBorders>
            <w:shd w:val="clear" w:color="auto" w:fill="CCEDFF"/>
          </w:tcPr>
          <w:p>
            <w:pPr>
              <w:spacing w:after="0"/>
              <w:rPr>
                <w:sz w:val="20"/>
                <w:szCs w:val="20"/>
                <w:color w:val="auto"/>
              </w:rPr>
            </w:pPr>
          </w:p>
        </w:tc>
        <w:tc>
          <w:tcPr>
            <w:tcW w:w="108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37,708</w:t>
            </w:r>
          </w:p>
        </w:tc>
        <w:tc>
          <w:tcPr>
            <w:tcW w:w="80" w:type="dxa"/>
            <w:vAlign w:val="bottom"/>
            <w:tcBorders>
              <w:bottom w:val="single" w:sz="8" w:color="CCEDFF"/>
            </w:tcBorders>
            <w:shd w:val="clear" w:color="auto" w:fill="CCEDFF"/>
          </w:tcPr>
          <w:p>
            <w:pPr>
              <w:spacing w:after="0"/>
              <w:rPr>
                <w:sz w:val="20"/>
                <w:szCs w:val="20"/>
                <w:color w:val="auto"/>
              </w:rPr>
            </w:pPr>
          </w:p>
        </w:tc>
        <w:tc>
          <w:tcPr>
            <w:tcW w:w="520" w:type="dxa"/>
            <w:vAlign w:val="bottom"/>
            <w:tcBorders>
              <w:bottom w:val="single" w:sz="8" w:color="CCEDFF"/>
            </w:tcBorders>
            <w:shd w:val="clear" w:color="auto" w:fill="CCEDFF"/>
          </w:tcPr>
          <w:p>
            <w:pPr>
              <w:spacing w:after="0"/>
              <w:rPr>
                <w:sz w:val="20"/>
                <w:szCs w:val="20"/>
                <w:color w:val="auto"/>
              </w:rPr>
            </w:pPr>
          </w:p>
        </w:tc>
        <w:tc>
          <w:tcPr>
            <w:tcW w:w="90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33,964</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Plus: Acquisition-related depreciation and amortization (k)</w:t>
            </w:r>
          </w:p>
        </w:tc>
        <w:tc>
          <w:tcPr>
            <w:tcW w:w="1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4,779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3,337</w:t>
            </w:r>
          </w:p>
        </w:tc>
      </w:tr>
      <w:tr>
        <w:trPr>
          <w:trHeight w:val="27"/>
        </w:trPr>
        <w:tc>
          <w:tcPr>
            <w:tcW w:w="5300" w:type="dxa"/>
            <w:vAlign w:val="bottom"/>
            <w:tcBorders>
              <w:bottom w:val="single" w:sz="8" w:color="CCED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53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41,411</w:t>
            </w:r>
          </w:p>
        </w:tc>
        <w:tc>
          <w:tcPr>
            <w:tcW w:w="80" w:type="dxa"/>
            <w:vAlign w:val="bottom"/>
            <w:tcBorders>
              <w:bottom w:val="single" w:sz="8" w:color="CCEDFF"/>
            </w:tcBorders>
            <w:shd w:val="clear" w:color="auto" w:fill="CCEDFF"/>
          </w:tcPr>
          <w:p>
            <w:pPr>
              <w:spacing w:after="0"/>
              <w:rPr>
                <w:sz w:val="24"/>
                <w:szCs w:val="24"/>
                <w:color w:val="auto"/>
              </w:rPr>
            </w:pPr>
          </w:p>
        </w:tc>
        <w:tc>
          <w:tcPr>
            <w:tcW w:w="520" w:type="dxa"/>
            <w:vAlign w:val="bottom"/>
            <w:tcBorders>
              <w:bottom w:val="single" w:sz="8" w:color="auto"/>
            </w:tcBorders>
            <w:shd w:val="clear" w:color="auto" w:fill="CCED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36,270</w:t>
            </w:r>
          </w:p>
        </w:tc>
        <w:tc>
          <w:tcPr>
            <w:tcW w:w="80" w:type="dxa"/>
            <w:vAlign w:val="bottom"/>
            <w:tcBorders>
              <w:bottom w:val="single" w:sz="8" w:color="CCEDFF"/>
            </w:tcBorders>
            <w:shd w:val="clear" w:color="auto" w:fill="CCEDFF"/>
          </w:tcPr>
          <w:p>
            <w:pPr>
              <w:spacing w:after="0"/>
              <w:rPr>
                <w:sz w:val="24"/>
                <w:szCs w:val="24"/>
                <w:color w:val="auto"/>
              </w:rPr>
            </w:pPr>
          </w:p>
        </w:tc>
        <w:tc>
          <w:tcPr>
            <w:tcW w:w="32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107,688</w:t>
            </w:r>
          </w:p>
        </w:tc>
        <w:tc>
          <w:tcPr>
            <w:tcW w:w="80" w:type="dxa"/>
            <w:vAlign w:val="bottom"/>
            <w:tcBorders>
              <w:bottom w:val="single" w:sz="8" w:color="CCEDFF"/>
            </w:tcBorders>
            <w:shd w:val="clear" w:color="auto" w:fill="CCEDFF"/>
          </w:tcPr>
          <w:p>
            <w:pPr>
              <w:spacing w:after="0"/>
              <w:rPr>
                <w:sz w:val="24"/>
                <w:szCs w:val="24"/>
                <w:color w:val="auto"/>
              </w:rPr>
            </w:pPr>
          </w:p>
        </w:tc>
        <w:tc>
          <w:tcPr>
            <w:tcW w:w="520" w:type="dxa"/>
            <w:vAlign w:val="bottom"/>
            <w:tcBorders>
              <w:bottom w:val="single" w:sz="8" w:color="auto"/>
            </w:tcBorders>
            <w:shd w:val="clear" w:color="auto" w:fill="CCED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94,298</w:t>
            </w:r>
          </w:p>
        </w:tc>
      </w:tr>
      <w:tr>
        <w:trPr>
          <w:trHeight w:val="20"/>
        </w:trPr>
        <w:tc>
          <w:tcPr>
            <w:tcW w:w="5300" w:type="dxa"/>
            <w:vAlign w:val="bottom"/>
            <w:tcBorders>
              <w:top w:val="single" w:sz="8" w:color="CCEDFF"/>
            </w:tcBorders>
          </w:tcPr>
          <w:p>
            <w:pPr>
              <w:spacing w:after="0" w:line="20" w:lineRule="exact"/>
              <w:rPr>
                <w:sz w:val="1"/>
                <w:szCs w:val="1"/>
                <w:color w:val="auto"/>
              </w:rPr>
            </w:pPr>
          </w:p>
        </w:tc>
        <w:tc>
          <w:tcPr>
            <w:tcW w:w="18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520" w:type="dxa"/>
            <w:vAlign w:val="bottom"/>
            <w:tcBorders>
              <w:top w:val="single" w:sz="8" w:color="CCEDFF"/>
              <w:bottom w:val="single" w:sz="8" w:color="auto"/>
            </w:tcBorders>
          </w:tcPr>
          <w:p>
            <w:pPr>
              <w:spacing w:after="0" w:line="20" w:lineRule="exact"/>
              <w:rPr>
                <w:sz w:val="1"/>
                <w:szCs w:val="1"/>
                <w:color w:val="auto"/>
              </w:rPr>
            </w:pPr>
          </w:p>
        </w:tc>
        <w:tc>
          <w:tcPr>
            <w:tcW w:w="9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08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520" w:type="dxa"/>
            <w:vAlign w:val="bottom"/>
            <w:tcBorders>
              <w:top w:val="single" w:sz="8" w:color="CCEDFF"/>
              <w:bottom w:val="single" w:sz="8" w:color="auto"/>
            </w:tcBorders>
          </w:tcPr>
          <w:p>
            <w:pPr>
              <w:spacing w:after="0" w:line="20" w:lineRule="exact"/>
              <w:rPr>
                <w:sz w:val="1"/>
                <w:szCs w:val="1"/>
                <w:color w:val="auto"/>
              </w:rPr>
            </w:pPr>
          </w:p>
        </w:tc>
        <w:tc>
          <w:tcPr>
            <w:tcW w:w="900" w:type="dxa"/>
            <w:vAlign w:val="bottom"/>
            <w:tcBorders>
              <w:top w:val="single" w:sz="8" w:color="CCEDFF"/>
              <w:bottom w:val="single" w:sz="8" w:color="auto"/>
            </w:tcBorders>
          </w:tcPr>
          <w:p>
            <w:pPr>
              <w:spacing w:after="0" w:line="20" w:lineRule="exact"/>
              <w:rPr>
                <w:sz w:val="1"/>
                <w:szCs w:val="1"/>
                <w:color w:val="auto"/>
              </w:rPr>
            </w:pPr>
          </w:p>
        </w:tc>
      </w:tr>
      <w:tr>
        <w:trPr>
          <w:trHeight w:val="716"/>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3"/>
        </w:trPr>
        <w:tc>
          <w:tcPr>
            <w:tcW w:w="53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3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60" w:type="dxa"/>
            <w:vAlign w:val="bottom"/>
          </w:tcPr>
          <w:p>
            <w:pPr>
              <w:spacing w:after="0"/>
              <w:rPr>
                <w:sz w:val="18"/>
                <w:szCs w:val="18"/>
                <w:color w:val="auto"/>
              </w:rPr>
            </w:pPr>
          </w:p>
        </w:tc>
      </w:tr>
      <w:tr>
        <w:trPr>
          <w:trHeight w:val="23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Earnings per Diluted Share Reconciliations</w:t>
            </w:r>
          </w:p>
        </w:tc>
        <w:tc>
          <w:tcPr>
            <w:tcW w:w="230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20"/>
                <w:szCs w:val="20"/>
                <w:color w:val="auto"/>
              </w:rPr>
            </w:pPr>
          </w:p>
        </w:tc>
      </w:tr>
      <w:tr>
        <w:trPr>
          <w:trHeight w:val="27"/>
        </w:trPr>
        <w:tc>
          <w:tcPr>
            <w:tcW w:w="5660" w:type="dxa"/>
            <w:vAlign w:val="bottom"/>
            <w:tcBorders>
              <w:bottom w:val="single" w:sz="8" w:color="CCED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D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5"/>
        </w:trPr>
        <w:tc>
          <w:tcPr>
            <w:tcW w:w="5660" w:type="dxa"/>
            <w:vAlign w:val="bottom"/>
            <w:shd w:val="clear" w:color="auto" w:fill="CCEDFF"/>
          </w:tcPr>
          <w:p>
            <w:pPr>
              <w:ind w:left="20"/>
              <w:spacing w:after="0" w:line="205" w:lineRule="exact"/>
              <w:rPr>
                <w:sz w:val="20"/>
                <w:szCs w:val="20"/>
                <w:color w:val="auto"/>
              </w:rPr>
            </w:pPr>
            <w:r>
              <w:rPr>
                <w:rFonts w:ascii="Times New Roman" w:cs="Times New Roman" w:eastAsia="Times New Roman" w:hAnsi="Times New Roman"/>
                <w:sz w:val="18"/>
                <w:szCs w:val="18"/>
                <w:color w:val="auto"/>
              </w:rPr>
              <w:t>GAAP earnings (loss) per diluted share attributable to Quaker Chemical</w:t>
            </w:r>
          </w:p>
        </w:tc>
        <w:tc>
          <w:tcPr>
            <w:tcW w:w="860" w:type="dxa"/>
            <w:vAlign w:val="bottom"/>
            <w:shd w:val="clear" w:color="auto" w:fill="CCEDFF"/>
          </w:tcPr>
          <w:p>
            <w:pPr>
              <w:spacing w:after="0"/>
              <w:rPr>
                <w:sz w:val="17"/>
                <w:szCs w:val="17"/>
                <w:color w:val="auto"/>
              </w:rPr>
            </w:pPr>
          </w:p>
        </w:tc>
        <w:tc>
          <w:tcPr>
            <w:tcW w:w="48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880" w:type="dxa"/>
            <w:vAlign w:val="bottom"/>
            <w:shd w:val="clear" w:color="auto" w:fill="CCEDFF"/>
          </w:tcPr>
          <w:p>
            <w:pPr>
              <w:spacing w:after="0"/>
              <w:rPr>
                <w:sz w:val="17"/>
                <w:szCs w:val="17"/>
                <w:color w:val="auto"/>
              </w:rPr>
            </w:pPr>
          </w:p>
        </w:tc>
        <w:tc>
          <w:tcPr>
            <w:tcW w:w="48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860" w:type="dxa"/>
            <w:vAlign w:val="bottom"/>
            <w:shd w:val="clear" w:color="auto" w:fill="CCEDFF"/>
          </w:tcPr>
          <w:p>
            <w:pPr>
              <w:spacing w:after="0"/>
              <w:rPr>
                <w:sz w:val="17"/>
                <w:szCs w:val="17"/>
                <w:color w:val="auto"/>
              </w:rPr>
            </w:pPr>
          </w:p>
        </w:tc>
        <w:tc>
          <w:tcPr>
            <w:tcW w:w="460" w:type="dxa"/>
            <w:vAlign w:val="bottom"/>
            <w:shd w:val="clear" w:color="auto" w:fill="CCEDFF"/>
          </w:tcPr>
          <w:p>
            <w:pPr>
              <w:spacing w:after="0"/>
              <w:rPr>
                <w:sz w:val="17"/>
                <w:szCs w:val="17"/>
                <w:color w:val="auto"/>
              </w:rPr>
            </w:pPr>
          </w:p>
        </w:tc>
        <w:tc>
          <w:tcPr>
            <w:tcW w:w="100" w:type="dxa"/>
            <w:vAlign w:val="bottom"/>
            <w:shd w:val="clear" w:color="auto" w:fill="CCEDFF"/>
          </w:tcPr>
          <w:p>
            <w:pPr>
              <w:spacing w:after="0"/>
              <w:rPr>
                <w:sz w:val="17"/>
                <w:szCs w:val="17"/>
                <w:color w:val="auto"/>
              </w:rPr>
            </w:pPr>
          </w:p>
        </w:tc>
        <w:tc>
          <w:tcPr>
            <w:tcW w:w="840" w:type="dxa"/>
            <w:vAlign w:val="bottom"/>
            <w:shd w:val="clear" w:color="auto" w:fill="CCEDFF"/>
          </w:tcPr>
          <w:p>
            <w:pPr>
              <w:spacing w:after="0"/>
              <w:rPr>
                <w:sz w:val="17"/>
                <w:szCs w:val="17"/>
                <w:color w:val="auto"/>
              </w:rPr>
            </w:pPr>
          </w:p>
        </w:tc>
        <w:tc>
          <w:tcPr>
            <w:tcW w:w="460" w:type="dxa"/>
            <w:vAlign w:val="bottom"/>
            <w:shd w:val="clear" w:color="auto" w:fill="CCEDFF"/>
          </w:tcPr>
          <w:p>
            <w:pPr>
              <w:spacing w:after="0"/>
              <w:rPr>
                <w:sz w:val="17"/>
                <w:szCs w:val="17"/>
                <w:color w:val="auto"/>
              </w:rPr>
            </w:pPr>
          </w:p>
        </w:tc>
      </w:tr>
      <w:tr>
        <w:trPr>
          <w:trHeight w:val="241"/>
        </w:trPr>
        <w:tc>
          <w:tcPr>
            <w:tcW w:w="566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Corporation common shareholders</w:t>
            </w:r>
          </w:p>
        </w:tc>
        <w:tc>
          <w:tcPr>
            <w:tcW w:w="860" w:type="dxa"/>
            <w:vAlign w:val="bottom"/>
            <w:tcBorders>
              <w:bottom w:val="single" w:sz="8" w:color="CCEDFF"/>
            </w:tcBorders>
            <w:shd w:val="clear" w:color="auto" w:fill="CCED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CEDFF"/>
            </w:tcBorders>
            <w:shd w:val="clear" w:color="auto" w:fill="CCEDFF"/>
          </w:tcPr>
          <w:p>
            <w:pPr>
              <w:spacing w:after="0"/>
              <w:rPr>
                <w:sz w:val="20"/>
                <w:szCs w:val="20"/>
                <w:color w:val="auto"/>
              </w:rPr>
            </w:pPr>
          </w:p>
        </w:tc>
        <w:tc>
          <w:tcPr>
            <w:tcW w:w="880" w:type="dxa"/>
            <w:vAlign w:val="bottom"/>
            <w:tcBorders>
              <w:bottom w:val="single" w:sz="8" w:color="CCEDFF"/>
            </w:tcBorders>
            <w:shd w:val="clear" w:color="auto" w:fill="CCED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bottom w:val="single" w:sz="8" w:color="CCEDFF"/>
            </w:tcBorders>
            <w:shd w:val="clear" w:color="auto" w:fill="CCEDFF"/>
          </w:tcPr>
          <w:p>
            <w:pPr>
              <w:spacing w:after="0"/>
              <w:rPr>
                <w:sz w:val="20"/>
                <w:szCs w:val="20"/>
                <w:color w:val="auto"/>
              </w:rPr>
            </w:pPr>
          </w:p>
        </w:tc>
        <w:tc>
          <w:tcPr>
            <w:tcW w:w="860" w:type="dxa"/>
            <w:vAlign w:val="bottom"/>
            <w:tcBorders>
              <w:bottom w:val="single" w:sz="8" w:color="CCEDFF"/>
            </w:tcBorders>
            <w:shd w:val="clear" w:color="auto" w:fill="CCED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DFF"/>
            </w:tcBorders>
            <w:shd w:val="clear" w:color="auto" w:fill="CCEDFF"/>
          </w:tcPr>
          <w:p>
            <w:pPr>
              <w:spacing w:after="0"/>
              <w:rPr>
                <w:sz w:val="20"/>
                <w:szCs w:val="20"/>
                <w:color w:val="auto"/>
              </w:rPr>
            </w:pPr>
          </w:p>
        </w:tc>
        <w:tc>
          <w:tcPr>
            <w:tcW w:w="840" w:type="dxa"/>
            <w:vAlign w:val="bottom"/>
            <w:tcBorders>
              <w:bottom w:val="single" w:sz="8" w:color="CCEDFF"/>
            </w:tcBorders>
            <w:shd w:val="clear" w:color="auto" w:fill="CCED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6"/>
              </w:rPr>
              <w:t>(1.32)</w:t>
            </w:r>
          </w:p>
        </w:tc>
      </w:tr>
      <w:tr>
        <w:trPr>
          <w:trHeight w:val="24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income in a captive insurance company (f)</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(0.10)</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(0.28)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(0.25)</w:t>
            </w:r>
          </w:p>
        </w:tc>
      </w:tr>
      <w:tr>
        <w:trPr>
          <w:trHeight w:val="27"/>
        </w:trPr>
        <w:tc>
          <w:tcPr>
            <w:tcW w:w="5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6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Acquisition-related step-up inventory amortization (l)</w:t>
            </w:r>
          </w:p>
        </w:tc>
        <w:tc>
          <w:tcPr>
            <w:tcW w:w="86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4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charges, net (a)</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5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6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expenses (b)</w:t>
            </w:r>
          </w:p>
        </w:tc>
        <w:tc>
          <w:tcPr>
            <w:tcW w:w="86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DFF"/>
            </w:tcBorders>
            <w:shd w:val="clear" w:color="auto" w:fill="CCEDFF"/>
          </w:tcPr>
          <w:p>
            <w:pPr>
              <w:spacing w:after="0"/>
              <w:rPr>
                <w:sz w:val="21"/>
                <w:szCs w:val="21"/>
                <w:color w:val="auto"/>
              </w:rPr>
            </w:pPr>
          </w:p>
        </w:tc>
        <w:tc>
          <w:tcPr>
            <w:tcW w:w="88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DFF"/>
            </w:tcBorders>
            <w:shd w:val="clear" w:color="auto" w:fill="CCEDFF"/>
          </w:tcPr>
          <w:p>
            <w:pPr>
              <w:spacing w:after="0"/>
              <w:rPr>
                <w:sz w:val="21"/>
                <w:szCs w:val="21"/>
                <w:color w:val="auto"/>
              </w:rPr>
            </w:pPr>
          </w:p>
        </w:tc>
        <w:tc>
          <w:tcPr>
            <w:tcW w:w="86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DFF"/>
            </w:tcBorders>
            <w:shd w:val="clear" w:color="auto" w:fill="CCEDFF"/>
          </w:tcPr>
          <w:p>
            <w:pPr>
              <w:spacing w:after="0"/>
              <w:rPr>
                <w:sz w:val="21"/>
                <w:szCs w:val="21"/>
                <w:color w:val="auto"/>
              </w:rPr>
            </w:pPr>
          </w:p>
        </w:tc>
        <w:tc>
          <w:tcPr>
            <w:tcW w:w="84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43"/>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(gain) on inventory and other adjustments (m)</w:t>
            </w:r>
          </w:p>
        </w:tc>
        <w:tc>
          <w:tcPr>
            <w:tcW w:w="8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(0.14)</w:t>
            </w:r>
          </w:p>
        </w:tc>
      </w:tr>
      <w:tr>
        <w:trPr>
          <w:trHeight w:val="27"/>
        </w:trPr>
        <w:tc>
          <w:tcPr>
            <w:tcW w:w="5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660" w:type="dxa"/>
            <w:vAlign w:val="bottom"/>
            <w:tcBorders>
              <w:bottom w:val="single" w:sz="8" w:color="CCEDFF"/>
            </w:tcBorders>
            <w:shd w:val="clear" w:color="auto" w:fill="CCEDFF"/>
          </w:tcPr>
          <w:p>
            <w:pPr>
              <w:ind w:left="100"/>
              <w:spacing w:after="0"/>
              <w:rPr>
                <w:sz w:val="20"/>
                <w:szCs w:val="20"/>
                <w:color w:val="auto"/>
              </w:rPr>
            </w:pPr>
            <w:r>
              <w:rPr>
                <w:rFonts w:ascii="Times New Roman" w:cs="Times New Roman" w:eastAsia="Times New Roman" w:hAnsi="Times New Roman"/>
                <w:sz w:val="18"/>
                <w:szCs w:val="18"/>
                <w:color w:val="auto"/>
              </w:rPr>
              <w:t>Business transformation costs (c)</w:t>
            </w:r>
          </w:p>
        </w:tc>
        <w:tc>
          <w:tcPr>
            <w:tcW w:w="86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Borders>
              <w:bottom w:val="single" w:sz="8" w:color="CCEDFF"/>
            </w:tcBorders>
            <w:shd w:val="clear" w:color="auto" w:fill="CCEDFF"/>
          </w:tcPr>
          <w:p>
            <w:pPr>
              <w:spacing w:after="0"/>
              <w:rPr>
                <w:sz w:val="21"/>
                <w:szCs w:val="21"/>
                <w:color w:val="auto"/>
              </w:rPr>
            </w:pPr>
          </w:p>
        </w:tc>
        <w:tc>
          <w:tcPr>
            <w:tcW w:w="88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DFF"/>
            </w:tcBorders>
            <w:shd w:val="clear" w:color="auto" w:fill="CCEDFF"/>
          </w:tcPr>
          <w:p>
            <w:pPr>
              <w:spacing w:after="0"/>
              <w:rPr>
                <w:sz w:val="21"/>
                <w:szCs w:val="21"/>
                <w:color w:val="auto"/>
              </w:rPr>
            </w:pPr>
          </w:p>
        </w:tc>
        <w:tc>
          <w:tcPr>
            <w:tcW w:w="84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Pension and postretirement benefit costs, non-service components (d)</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7"/>
        </w:trPr>
        <w:tc>
          <w:tcPr>
            <w:tcW w:w="5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6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Impairment charges (o)</w:t>
            </w:r>
          </w:p>
        </w:tc>
        <w:tc>
          <w:tcPr>
            <w:tcW w:w="86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4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liability claim reimbursement (p)</w:t>
            </w:r>
          </w:p>
        </w:tc>
        <w:tc>
          <w:tcPr>
            <w:tcW w:w="8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6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Currency conversion impacts of hyper-inflationary economies (g)</w:t>
            </w:r>
          </w:p>
        </w:tc>
        <w:tc>
          <w:tcPr>
            <w:tcW w:w="86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DFF"/>
            </w:tcBorders>
            <w:shd w:val="clear" w:color="auto" w:fill="CCEDFF"/>
          </w:tcPr>
          <w:p>
            <w:pPr>
              <w:spacing w:after="0"/>
              <w:rPr>
                <w:sz w:val="21"/>
                <w:szCs w:val="21"/>
                <w:color w:val="auto"/>
              </w:rPr>
            </w:pPr>
          </w:p>
        </w:tc>
        <w:tc>
          <w:tcPr>
            <w:tcW w:w="88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DFF"/>
            </w:tcBorders>
            <w:shd w:val="clear" w:color="auto" w:fill="CCEDFF"/>
          </w:tcPr>
          <w:p>
            <w:pPr>
              <w:spacing w:after="0"/>
              <w:rPr>
                <w:sz w:val="21"/>
                <w:szCs w:val="21"/>
                <w:color w:val="auto"/>
              </w:rPr>
            </w:pPr>
          </w:p>
        </w:tc>
        <w:tc>
          <w:tcPr>
            <w:tcW w:w="86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DFF"/>
            </w:tcBorders>
            <w:shd w:val="clear" w:color="auto" w:fill="CCEDFF"/>
          </w:tcPr>
          <w:p>
            <w:pPr>
              <w:spacing w:after="0"/>
              <w:rPr>
                <w:sz w:val="21"/>
                <w:szCs w:val="21"/>
                <w:color w:val="auto"/>
              </w:rPr>
            </w:pPr>
          </w:p>
        </w:tc>
        <w:tc>
          <w:tcPr>
            <w:tcW w:w="84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4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acquisition-related hedges (h)</w:t>
            </w:r>
          </w:p>
        </w:tc>
        <w:tc>
          <w:tcPr>
            <w:tcW w:w="8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7"/>
        </w:trPr>
        <w:tc>
          <w:tcPr>
            <w:tcW w:w="5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6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Loss (gain) on sale of assets (i)</w:t>
            </w:r>
          </w:p>
        </w:tc>
        <w:tc>
          <w:tcPr>
            <w:tcW w:w="86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DFF"/>
            </w:tcBorders>
            <w:shd w:val="clear" w:color="auto" w:fill="CCEDFF"/>
          </w:tcPr>
          <w:p>
            <w:pPr>
              <w:spacing w:after="0"/>
              <w:rPr>
                <w:sz w:val="21"/>
                <w:szCs w:val="21"/>
                <w:color w:val="auto"/>
              </w:rPr>
            </w:pPr>
          </w:p>
        </w:tc>
        <w:tc>
          <w:tcPr>
            <w:tcW w:w="88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DFF"/>
            </w:tcBorders>
            <w:shd w:val="clear" w:color="auto" w:fill="CCEDFF"/>
          </w:tcPr>
          <w:p>
            <w:pPr>
              <w:spacing w:after="0"/>
              <w:rPr>
                <w:sz w:val="21"/>
                <w:szCs w:val="21"/>
                <w:color w:val="auto"/>
              </w:rPr>
            </w:pPr>
          </w:p>
        </w:tc>
        <w:tc>
          <w:tcPr>
            <w:tcW w:w="84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6"/>
              </w:rPr>
              <w:t>(0.11)</w:t>
            </w:r>
          </w:p>
        </w:tc>
      </w:tr>
      <w:tr>
        <w:trPr>
          <w:trHeight w:val="24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Multiemployer plan withdrawal charge (t)</w:t>
            </w:r>
          </w:p>
        </w:tc>
        <w:tc>
          <w:tcPr>
            <w:tcW w:w="8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7"/>
        </w:trPr>
        <w:tc>
          <w:tcPr>
            <w:tcW w:w="5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6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Brazilian non-income tax credits (u)</w:t>
            </w:r>
          </w:p>
        </w:tc>
        <w:tc>
          <w:tcPr>
            <w:tcW w:w="86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6"/>
              </w:rPr>
              <w:t>(0.08)</w:t>
            </w:r>
          </w:p>
        </w:tc>
        <w:tc>
          <w:tcPr>
            <w:tcW w:w="80" w:type="dxa"/>
            <w:vAlign w:val="bottom"/>
            <w:tcBorders>
              <w:bottom w:val="single" w:sz="8" w:color="CCEDFF"/>
            </w:tcBorders>
            <w:shd w:val="clear" w:color="auto" w:fill="CCEDFF"/>
          </w:tcPr>
          <w:p>
            <w:pPr>
              <w:spacing w:after="0"/>
              <w:rPr>
                <w:sz w:val="21"/>
                <w:szCs w:val="21"/>
                <w:color w:val="auto"/>
              </w:rPr>
            </w:pPr>
          </w:p>
        </w:tc>
        <w:tc>
          <w:tcPr>
            <w:tcW w:w="86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6"/>
              </w:rPr>
              <w:t>(0.08)</w:t>
            </w:r>
          </w:p>
        </w:tc>
      </w:tr>
      <w:tr>
        <w:trPr>
          <w:trHeight w:val="24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modification and extinguishment costs (n)</w:t>
            </w:r>
          </w:p>
        </w:tc>
        <w:tc>
          <w:tcPr>
            <w:tcW w:w="8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6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Duplicate headquarter lease costs (q)</w:t>
            </w:r>
          </w:p>
        </w:tc>
        <w:tc>
          <w:tcPr>
            <w:tcW w:w="86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DFF"/>
            </w:tcBorders>
            <w:shd w:val="clear" w:color="auto" w:fill="CCEDFF"/>
          </w:tcPr>
          <w:p>
            <w:pPr>
              <w:spacing w:after="0"/>
              <w:rPr>
                <w:sz w:val="21"/>
                <w:szCs w:val="21"/>
                <w:color w:val="auto"/>
              </w:rPr>
            </w:pPr>
          </w:p>
        </w:tc>
        <w:tc>
          <w:tcPr>
            <w:tcW w:w="880" w:type="dxa"/>
            <w:vAlign w:val="bottom"/>
            <w:tcBorders>
              <w:bottom w:val="single" w:sz="8" w:color="CCEDFF"/>
            </w:tcBorders>
            <w:shd w:val="clear" w:color="auto" w:fill="CCEDFF"/>
          </w:tcPr>
          <w:p>
            <w:pPr>
              <w:spacing w:after="0"/>
              <w:rPr>
                <w:sz w:val="21"/>
                <w:szCs w:val="21"/>
                <w:color w:val="auto"/>
              </w:rPr>
            </w:pPr>
          </w:p>
        </w:tc>
        <w:tc>
          <w:tcPr>
            <w:tcW w:w="56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DFF"/>
            </w:tcBorders>
            <w:shd w:val="clear" w:color="auto" w:fill="CCEDFF"/>
          </w:tcPr>
          <w:p>
            <w:pPr>
              <w:spacing w:after="0"/>
              <w:rPr>
                <w:sz w:val="21"/>
                <w:szCs w:val="21"/>
                <w:color w:val="auto"/>
              </w:rPr>
            </w:pPr>
          </w:p>
        </w:tc>
        <w:tc>
          <w:tcPr>
            <w:tcW w:w="84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charges (e)</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7"/>
        </w:trPr>
        <w:tc>
          <w:tcPr>
            <w:tcW w:w="5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66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Discrete tax items (j)</w:t>
            </w:r>
          </w:p>
        </w:tc>
        <w:tc>
          <w:tcPr>
            <w:tcW w:w="86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bottom w:val="single" w:sz="8" w:color="CCEDFF"/>
            </w:tcBorders>
            <w:shd w:val="clear" w:color="auto" w:fill="CCEDFF"/>
          </w:tcPr>
          <w:p>
            <w:pPr>
              <w:spacing w:after="0"/>
              <w:rPr>
                <w:sz w:val="21"/>
                <w:szCs w:val="21"/>
                <w:color w:val="auto"/>
              </w:rPr>
            </w:pPr>
          </w:p>
        </w:tc>
        <w:tc>
          <w:tcPr>
            <w:tcW w:w="88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96"/>
              </w:rPr>
              <w:t>(0.02)</w:t>
            </w:r>
          </w:p>
        </w:tc>
        <w:tc>
          <w:tcPr>
            <w:tcW w:w="80" w:type="dxa"/>
            <w:vAlign w:val="bottom"/>
            <w:tcBorders>
              <w:bottom w:val="single" w:sz="8" w:color="CCEDFF"/>
            </w:tcBorders>
            <w:shd w:val="clear" w:color="auto" w:fill="CCEDFF"/>
          </w:tcPr>
          <w:p>
            <w:pPr>
              <w:spacing w:after="0"/>
              <w:rPr>
                <w:sz w:val="21"/>
                <w:szCs w:val="21"/>
                <w:color w:val="auto"/>
              </w:rPr>
            </w:pPr>
          </w:p>
        </w:tc>
        <w:tc>
          <w:tcPr>
            <w:tcW w:w="86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DFF"/>
            </w:tcBorders>
            <w:shd w:val="clear" w:color="auto" w:fill="CCEDFF"/>
          </w:tcPr>
          <w:p>
            <w:pPr>
              <w:spacing w:after="0"/>
              <w:rPr>
                <w:sz w:val="21"/>
                <w:szCs w:val="21"/>
                <w:color w:val="auto"/>
              </w:rPr>
            </w:pPr>
          </w:p>
        </w:tc>
        <w:tc>
          <w:tcPr>
            <w:tcW w:w="84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4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depreciation and amortization (k)</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7"/>
        </w:trPr>
        <w:tc>
          <w:tcPr>
            <w:tcW w:w="5660" w:type="dxa"/>
            <w:vAlign w:val="bottom"/>
            <w:tcBorders>
              <w:bottom w:val="single" w:sz="8" w:color="CCED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D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Non-GAAP earnings per diluted share (w)</w:t>
            </w:r>
          </w:p>
        </w:tc>
        <w:tc>
          <w:tcPr>
            <w:tcW w:w="860" w:type="dxa"/>
            <w:vAlign w:val="bottom"/>
            <w:tcBorders>
              <w:bottom w:val="single" w:sz="8" w:color="auto"/>
            </w:tcBorders>
            <w:shd w:val="clear" w:color="auto" w:fill="CCED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Borders>
              <w:bottom w:val="single" w:sz="8" w:color="CCEDFF"/>
            </w:tcBorders>
            <w:shd w:val="clear" w:color="auto" w:fill="CCEDFF"/>
          </w:tcPr>
          <w:p>
            <w:pPr>
              <w:spacing w:after="0"/>
              <w:rPr>
                <w:sz w:val="24"/>
                <w:szCs w:val="24"/>
                <w:color w:val="auto"/>
              </w:rPr>
            </w:pPr>
          </w:p>
        </w:tc>
        <w:tc>
          <w:tcPr>
            <w:tcW w:w="880" w:type="dxa"/>
            <w:vAlign w:val="bottom"/>
            <w:tcBorders>
              <w:bottom w:val="single" w:sz="8" w:color="auto"/>
            </w:tcBorders>
            <w:shd w:val="clear" w:color="auto" w:fill="CCED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bottom w:val="single" w:sz="8" w:color="CCEDFF"/>
            </w:tcBorders>
            <w:shd w:val="clear" w:color="auto" w:fill="CCEDFF"/>
          </w:tcPr>
          <w:p>
            <w:pPr>
              <w:spacing w:after="0"/>
              <w:rPr>
                <w:sz w:val="24"/>
                <w:szCs w:val="24"/>
                <w:color w:val="auto"/>
              </w:rPr>
            </w:pPr>
          </w:p>
        </w:tc>
        <w:tc>
          <w:tcPr>
            <w:tcW w:w="860" w:type="dxa"/>
            <w:vAlign w:val="bottom"/>
            <w:tcBorders>
              <w:bottom w:val="single" w:sz="8" w:color="auto"/>
            </w:tcBorders>
            <w:shd w:val="clear" w:color="auto" w:fill="CCED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DFF"/>
            </w:tcBorders>
            <w:shd w:val="clear" w:color="auto" w:fill="CCEDFF"/>
          </w:tcPr>
          <w:p>
            <w:pPr>
              <w:spacing w:after="0"/>
              <w:rPr>
                <w:sz w:val="24"/>
                <w:szCs w:val="24"/>
                <w:color w:val="auto"/>
              </w:rPr>
            </w:pPr>
          </w:p>
        </w:tc>
        <w:tc>
          <w:tcPr>
            <w:tcW w:w="840" w:type="dxa"/>
            <w:vAlign w:val="bottom"/>
            <w:tcBorders>
              <w:bottom w:val="single" w:sz="8" w:color="auto"/>
            </w:tcBorders>
            <w:shd w:val="clear" w:color="auto" w:fill="CCED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0"/>
        </w:trPr>
        <w:tc>
          <w:tcPr>
            <w:tcW w:w="5660" w:type="dxa"/>
            <w:vAlign w:val="bottom"/>
            <w:tcBorders>
              <w:top w:val="single" w:sz="8" w:color="CCEDFF"/>
            </w:tcBorders>
          </w:tcPr>
          <w:p>
            <w:pPr>
              <w:spacing w:after="0" w:line="20" w:lineRule="exact"/>
              <w:rPr>
                <w:sz w:val="1"/>
                <w:szCs w:val="1"/>
                <w:color w:val="auto"/>
              </w:rPr>
            </w:pPr>
          </w:p>
        </w:tc>
        <w:tc>
          <w:tcPr>
            <w:tcW w:w="860" w:type="dxa"/>
            <w:vAlign w:val="bottom"/>
            <w:tcBorders>
              <w:top w:val="single" w:sz="8" w:color="CCEDFF"/>
              <w:bottom w:val="single" w:sz="8" w:color="auto"/>
            </w:tcBorders>
          </w:tcPr>
          <w:p>
            <w:pPr>
              <w:spacing w:after="0" w:line="20" w:lineRule="exact"/>
              <w:rPr>
                <w:sz w:val="1"/>
                <w:szCs w:val="1"/>
                <w:color w:val="auto"/>
              </w:rPr>
            </w:pPr>
          </w:p>
        </w:tc>
        <w:tc>
          <w:tcPr>
            <w:tcW w:w="48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880" w:type="dxa"/>
            <w:vAlign w:val="bottom"/>
            <w:tcBorders>
              <w:top w:val="single" w:sz="8" w:color="CCEDFF"/>
              <w:bottom w:val="single" w:sz="8" w:color="auto"/>
            </w:tcBorders>
          </w:tcPr>
          <w:p>
            <w:pPr>
              <w:spacing w:after="0" w:line="20" w:lineRule="exact"/>
              <w:rPr>
                <w:sz w:val="1"/>
                <w:szCs w:val="1"/>
                <w:color w:val="auto"/>
              </w:rPr>
            </w:pPr>
          </w:p>
        </w:tc>
        <w:tc>
          <w:tcPr>
            <w:tcW w:w="48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860" w:type="dxa"/>
            <w:vAlign w:val="bottom"/>
            <w:tcBorders>
              <w:top w:val="single" w:sz="8" w:color="CCEDFF"/>
              <w:bottom w:val="single" w:sz="8" w:color="auto"/>
            </w:tcBorders>
          </w:tcPr>
          <w:p>
            <w:pPr>
              <w:spacing w:after="0" w:line="20" w:lineRule="exact"/>
              <w:rPr>
                <w:sz w:val="1"/>
                <w:szCs w:val="1"/>
                <w:color w:val="auto"/>
              </w:rPr>
            </w:pPr>
          </w:p>
        </w:tc>
        <w:tc>
          <w:tcPr>
            <w:tcW w:w="46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840" w:type="dxa"/>
            <w:vAlign w:val="bottom"/>
            <w:tcBorders>
              <w:top w:val="single" w:sz="8" w:color="CCEDFF"/>
              <w:bottom w:val="single" w:sz="8" w:color="auto"/>
            </w:tcBorders>
          </w:tcPr>
          <w:p>
            <w:pPr>
              <w:spacing w:after="0" w:line="20" w:lineRule="exact"/>
              <w:rPr>
                <w:sz w:val="1"/>
                <w:szCs w:val="1"/>
                <w:color w:val="auto"/>
              </w:rPr>
            </w:pPr>
          </w:p>
        </w:tc>
        <w:tc>
          <w:tcPr>
            <w:tcW w:w="460" w:type="dxa"/>
            <w:vAlign w:val="bottom"/>
            <w:tcBorders>
              <w:top w:val="single" w:sz="8" w:color="CCED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line="282" w:lineRule="auto"/>
        <w:tabs>
          <w:tab w:leader="none" w:pos="3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Restructuring and related charges, net represent the costs incurred by the Company associated with the Company’s restructuring programs and facility closure actions. See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to the Condensed Consolidated Financial Statements for additional information.</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include expenses associated with the Company’s recent and potential acquisitions, including legal, financial, consulting and other costs.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transformation costs represent expenses associated with the Company’s global business transformation program which was initiated in 2026. These costs generally relate to one-time third-party consulting costs relating to simplifying the organizational structure of legal entities, projects associated with information technology infrastructure initiatives, the optimization of specific product portfolios through targeted rationalization efforts, and the optimization of certain supply chain activities. See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xml:space="preserve"> to the Condensed Consolidated Financial Statements for additional information.</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Pension and postretirement benefit costs, non-service components represents the pre-tax, non-service components of the Company’s pension and postretirement net periodic benefit cost in each period. See Note 9, </w:t>
      </w:r>
      <w:r>
        <w:rPr>
          <w:rFonts w:ascii="Times New Roman" w:cs="Times New Roman" w:eastAsia="Times New Roman" w:hAnsi="Times New Roman"/>
          <w:sz w:val="18"/>
          <w:szCs w:val="18"/>
          <w:i w:val="1"/>
          <w:iCs w:val="1"/>
          <w:color w:val="auto"/>
        </w:rPr>
        <w:t>Pension and Other Postretirement Benefits,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xml:space="preserve"> to the Condensed Consolidated Financial Statements for additional information.</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charges (credits) include professional fees incurred in connection with tax audits, certain consultant and advisory expenses for the Company’s long-term strategic planning, and other items.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income in a captive insurance company represents the after-tax income attributable to the Company’s interest in Primex, Ltd. (“Primex”), a captive insurance company. The Company holds a 32% investment in and has significant influence over Primex, and therefore accounts for this interest under the equity method of accounting.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left="340" w:hanging="332"/>
        <w:spacing w:after="0" w:line="261"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impacts of hyper-inflationary economies represents the foreign currency remeasurement impacts associated with the Company’s affiliates in Argentina and Türkiye whose local economies are designated as hyper-inflationary under U.S. GAAP. These pre-tax foreign currency remeasurement impacts are not deductible for tax purposes for both the three and nine months ended September 30, 2026 and 2025. The charges incurred relate to the immediate recognition of foreign currency remeasurement in the Condensed Consolidated Statements of Operations.</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on acquisition-related hedges represents the mark-to-market and settlement of the foreign exchange forward contracts entered into in March 2025 for an aggregate notional amount totaling $155.3 million to hedge the variability of exchange rate impacts between the U.S. Dollar and Japanese yen in connection with the acquisition of Dipsol. See Note 2,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to the Condensed Consolidated Financial Statements for additional information.</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 (gain) on sale of assets represents the gain recognized on the sale of certain property previously classified as held for sale and gain on sale of other assets that are not considered core to the Company’s operations. See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to the Condensed Consolidated Financial Statements for additional information.</w:t>
      </w:r>
    </w:p>
    <w:p>
      <w:pPr>
        <w:spacing w:after="0" w:line="65"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Discrete tax items include certain impacts of uncertain tax positions.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the Condensed Consolidated Financial Statements for more information.</w:t>
      </w:r>
    </w:p>
    <w:p>
      <w:pPr>
        <w:spacing w:after="0" w:line="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Acquisition-related depreciation and amortization represents amortization expense recorded for definite-lived intangible assets in connection with the Dipsol and Natech acquisitions and depreciation expense recorded in connection with the fair value step-up of Dipsol’s property, plant, and equipment. See Note 2,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for more information.</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Acquisition-related step-up inventory amortization represents the amortization of the fair value step-up in Dipsol’s inventories as a result of the acquisition, which was recorded within Cost of goods sold in the Company’s Condensed Consolidated Statements of Operations during the nine months ended September 30, 2025. See Note 2,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to the Condensed Consolidated Financial Statements for additional information.</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(gain) on inventory and other adjustments represents immaterial out-of-period adjustments for inventory and other items and was recorded within Cost of goods sold and SG&amp;A in the Company’s Condensed Consolidated Statements of Operations during the three and nine months ended September 30, 2025.</w:t>
      </w:r>
    </w:p>
    <w:p>
      <w:pPr>
        <w:spacing w:after="0" w:line="67" w:lineRule="exact"/>
        <w:rPr>
          <w:rFonts w:ascii="Times New Roman" w:cs="Times New Roman" w:eastAsia="Times New Roman" w:hAnsi="Times New Roman"/>
          <w:sz w:val="18"/>
          <w:szCs w:val="18"/>
          <w:color w:val="auto"/>
        </w:rPr>
      </w:pPr>
    </w:p>
    <w:p>
      <w:pPr>
        <w:ind w:left="340" w:right="260" w:hanging="332"/>
        <w:spacing w:after="0" w:line="266"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modification and extinguishment costs includes the write-off of certain previously unamortized deferred financing costs as well as a portion of the third-party costs incurred to execute an amendment to the Company’s Credit Facility in April 2026. See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Condensed Consolidated Financial Statements for additional information.</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Impairment charges represents the non-cash charge taken to write down the remaining carrying value of goodwill in the EMEA reportable segment during the second quarter of 2025. See Note 13,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to the Condensed Consolidated Financial Statements for additional information.</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Product liability claim reimbursement reflects insurance recoveries relating to a previous payment by the Company in connection with a product liability dispute with a customer. See Note 10, </w:t>
      </w: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to the Condensed Consolidated Financial Statements for additional information.</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Duplicate headquarter lease costs represents operating lease expenses and variable lease costs associated with the new Radnor, Pennsylvania laboratory and Headquarters lease, a non-recurring event, during the transition period. These costs are incurred concurrently with the Company's existing Conshohocken, Pennsylvania laboratory and Headquarters lease. Once the Company’s old lease agreement expires during the first quarter of 2027, adjustments for the new headquarter lease costs will not be necessary. See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Condensed Consolidated Financial Statements for additional information.</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for the three and nine months ended September 30, 2026 and 2025 each includes approximately $0.2 million and $0.7 million, respectively, of amortization expense recorded within equity in net income of associated companies in the Company’s Condensed Consolidated Statements of Operations. This is attributable to the amortization of the fair value purchase accounting step-up in connection with the acquisition of the Company’s 50% equity interest in Korea Houghton Corporation.</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 adjustments occurred, subject to deductibility. This caption also includes the impact of specific tax charges and benefits for the three and nine months ended September 30, 2026 and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left="340" w:hanging="332"/>
        <w:spacing w:after="0" w:line="261"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Multiemployer plan withdrawal charge represents the expense related to the Company withdrawing from the Cleveland Bakers and Teamsters Pension Fund, a multiemployer defined benefit pension plan, in connection with a site closure under the Company’s restructuring program and facility closure actions. See Note 7, </w:t>
      </w:r>
      <w:r>
        <w:rPr>
          <w:rFonts w:ascii="Times New Roman" w:cs="Times New Roman" w:eastAsia="Times New Roman" w:hAnsi="Times New Roman"/>
          <w:sz w:val="18"/>
          <w:szCs w:val="18"/>
          <w:i w:val="1"/>
          <w:iCs w:val="1"/>
          <w:color w:val="auto"/>
        </w:rPr>
        <w:t>Restructuring and Related Activities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xml:space="preserve"> to the Condensed Consolidated Financial Statements for additional information.</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Brazilian non-income tax credits represents indirect tax credits and interest related to the Brazil Supreme Court ruling in regard to certain non-income (indirect) taxes that have been previously charged and paid. See Note 10, </w:t>
      </w: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xml:space="preserve"> to the Condensed Consolidated Financial Statements for additional information.</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adjusted EBITDA margin, non-GAAP operating margin, and non-GAAP gross margin as the percentage of adjusted EBITDA, non-GAAP operating income, and non-GAAP gross profit to consolidated net sales.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given period, the Company calculates non-GAAP earnings per diluted share as non-GAAP net income attributable to the Company per weighted average diluted shares outstanding using the “two-class share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off-balance sheet items outstanding as of September 30, 2026 include approximately $7 million of bank letters of credit and guarantees.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letters of credit and guarantees are not significant to the Company’s liquidity or capital resources.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Our Future Results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Report and other materials filed or to be filed by us with the SEC, as well as information included in oral statements or other written statements made or to be made by us, contain or may contain forward-looking statements that fall under the safe harbor provisions of the Private Securities Litigation Reform Act of 1995, the Securities Act of 1933 and the Securities Exchange Act of 1934, as amended. These statements can be identified by the fact that they do not relate strictly to historical or current facts and can generally be identified by words such as “may,” “could,” “should,” “would,” “believe,” “expect,” “anticipate,” “estimate,” “intend,” “outlook,” “target,” “possible,” “potential,” “plan” or similar expressions, but these terms are not the exclusive means of identifying such statements. Such statements include information relating to current and future business activities, operational matters, capital spending, and financing sources. We have based these forward-looking statements on assumptions, projections and expectations about future events that we believe are reasonable based on currently available information, including statements regarding the potential effects of economic downturns, tariffs, including retaliatory tariffs, “trade wars” and uncertainty surrounding changes in tariffs,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include statements with respect to our beliefs, plans, objectives, goals, expectations, anticipations, intentions, financial condition, results of operations, future performance, and business, which may differ materially from expectations, estimates and projections of many factors, including, but not limited to:</w:t>
      </w:r>
    </w:p>
    <w:p>
      <w:pPr>
        <w:spacing w:after="0" w:line="68"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the impacts on our business from acts of war, terrorism and military conflicts, including those in Ukraine and the Middle East, as well as related economic, political and governmental actions taken by various governments and governmental organizations in response;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increases in raw material costs, supply chain constraints and other impacts of economic downturns, as well as high interest rates and their impact on our and our customers’ business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timing, impacts, benefits and other uncertainties of acquisitions and divestitures, including our ability to finance any acquisition on commercially reasonable terms or to realize synergies, integrate acquisitions and acquired businesses or separate divested assets and businesses;</w:t>
      </w:r>
    </w:p>
    <w:p>
      <w:pPr>
        <w:spacing w:after="0" w:line="53"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macroeconomic factors, including potential for changes in global and regional economic conditions, the possibility of global or regional slowdowns or recessions, other macroeconomic stresses and uncertainties, including potential impacts related to the recent actions of the federal government and responses thereto, as well as other political and geopolitical events, civil disturbances and endemics/pandemics or extreme weather events and other natural disasters that may adversely affect regional economic conditions;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political conditions and legislative and regulatory activity (or inactivity), including adoption of (or failure to adopt) new laws, regulations and executive orders, changes in existing laws, regulations and executive orders or the way they are interpreted or applied, and adoption of laws, regulations or executive orders that conflict among jurisdictions in which we operate;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and plans including our sustainability goals and enterprise strategy.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major risk is that demand for the Company’s products and services is largely derived from the demand for our customers’ products, which subjects the Company to uncertainties related to downturns in a customer’s business and unanticipated customer production slowdowns and shutdowns.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major risks and uncertainties include, but are not limited to, legislative and regulatory developments including changes to existing laws and regulations, or the way they are interpreted, applied or enforced; tariffs, trade restrictions and the economic and other sanctions imposed by other nations on Russia and Belarus and/or other governments or government organizations; suspensions of activities in Russia by many multinational companies; foreign currency fluctuations; significant changes in applicable tax rates and regulations and the potential impacts therefrom, including those arising from OBBB; the impacts of consolidation in our industry, including loss or consolidation of a major customer; the effects of climate change, fires or other natural disasters; and the potential occurrence of cyber-security breaches, cyber-security attacks, and other technology outages and security incidents. Furthermore, the Company is subject to the same business cycles as those experienced by our customers in the steel, automotive, aerospace, industrial equipment, aluminum, and durable goods industries.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or all of the forward-looking statements in this Report, in the Company’s 2025 Form 10-K and in any other public statements we make may prove to be incorrect due to inaccurate assumptions or unforeseen risks and uncertainties. In addition to the factors above, our forward-looking statements are qualified with respect to the risks disclosed elsewhere in this Report, including Item 2, Management’s Discussion and Analysis of Financial Condition and Results of Operations. These risks, uncertainties, and possible inaccurate assumptions relevant to our business could materially impact our future performance and cause our actual results to differ materially from expected and historical results. We undertake no obligation to publicly update any forward-looking statement, whether as a result of new information, future events or otherwise. However, additional disclosures on related subjects can be found in the Company’s subsequent reports on Forms 10-K, 10-Q, 8-K and other related filings. We caution you not to place undue reliance on our forward-looking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Quaker Houghton on the Internet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Part II, Item 7A, of our Annual Report on Form 10-K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we believe there has been no material change to that information, except the interest rate risk noted below: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borrowings under the Company’s Credit Facility bear interest at either term SOFR or a base rate, in each case, plus an applicable margin based upon the Company’s consolidated net leverage ratio, and, in the case of term SOFR, a spread adjustment equal to 0.10% per annum. As a result of the variable interest rates applicable under the Credit Facility, if interest rates rise significantly, the cost of debt to the Company will increase. This may have an adverse effect on the Company, depending on the extent of the Company’s borrowings outstanding throughout a given year.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2026, the Company entered into the Fifth Amendment to the Credit Agreement (the “Term Loan B Amendment”), which established a new,</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$550.0 million seven-year term loan B facility (the “Term Loan B Facility”). Borrowings under the Term Loan B Facility bear interest at either Term SOFR plus 1.750% per annum or a base rate plus 0.750% per annum. Term SOFR is reset at the beginning of each Interest Period selected by the Company, so borrowings under the Term Loan B Facility remain subject to changes in market interest rates. Unlike other borrowings under the Credit Facility, however, the applicable margin under the Term Loan B Facility is fixed and is not dependent on the Company's Consolidated Net Leverage Ratio. As a result, the Company will not benefit from reductions in the applicable margin if its Consolidated Net Leverage Ratio declines. Additionally, if interest rates rise significantly, the Company’s cost of borrowing under the Term Loan B Facility will increase, which may have an adverse effect on the Company, depending on the extent of the Company’s borrowings outstanding throughout a given year.</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2023 until the first quarter of 2026, the Company had interest rate swaps in place to convert a portion of the Company's variable rate borrowings under the Credit Facility to a fixed rate exposure. In March 2026, these interest rate swap contracts expired. In April 2026, the Company further amended its Credit Facility. In April 2026, the Company entered into $400.0 million notional amounts of four-year interest rate swaps, converting a portion of the Company’s variable rate borrowings into an average fixed rate of 3.58% plus the applicable margin.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outstanding borrowings under the Credit Facility of approximately $883.3 million and $859.7 million, respectively. The interest rate applicable on outstanding borrowings under the Credit Facility was approximately 4.6% and 4.7% as of September 30, 2026, and December 31, 2025, respectively. An interest rate change of 100 basis points would have resulted in an approximate $6.6 million and $8.6 million increase or decrease to interest expense for the nine months ended September 30, 2026, and year ended December 31, 2025,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required by Rule 13a-15(b) under the Securities Exchange Act of 1934, as amended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September 30, 2026, the end of the period covered by this Report, our disclosure controls and procedures (as defined in Rule 13a-15(e) under the Exchange Act) were effective.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As required by Rule 13a-15(d) under the Exchange Act, our management, including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principal financial officer, has evaluated our internal control over financial reporting to determine whether any changes to our internal control over financial reporting occurred during the quarter ended September 30, 2026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September 30, 2026.</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3 and 4 of Part II are inapplicable and have been omitted.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Incorporated by reference is the information in Note 18,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in Part I, Item 1, of this Report.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the Company’s 2025 Form 10-K. There have been no material changes to the risk factors described therein other than as follows. However, the primary and secondary impacts of recent government actions including tariffs and trade policies, have impacted the global economy, disrupted global supply chains, created significant uncertainty and volatility in financial markets, and increased the risk of recession and elevated unemployment levels, and those conditions could continue or worsen. Accordingly, these actions and their impact on, among other things, the macroeconomic environment and regulatory policies could exacerbate the other risks and uncertainties set forth in “Item 1A. Risk Factors” in our 2025 10-K and could negatively impact our businesses and financial results.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Geopolitical instability, ongoing military conflicts involving Iran and other potential global events could materially and adversely affect our business, operations, and financial results.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Military conflict in the Middle East involving Iran has escalated in recent periods. This may result in extended or expanded military conflict, including to other countries, acts of terrorism, or other forms of regional instability. Such events could have a number of adverse impacts on our business, including but not limited to:</w:t>
      </w:r>
    </w:p>
    <w:p>
      <w:pPr>
        <w:spacing w:after="0" w:line="64" w:lineRule="exact"/>
        <w:rPr>
          <w:sz w:val="20"/>
          <w:szCs w:val="20"/>
          <w:color w:val="auto"/>
        </w:rPr>
      </w:pPr>
    </w:p>
    <w:p>
      <w:pPr>
        <w:jc w:val="both"/>
        <w:ind w:left="660" w:hanging="166"/>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Disruption of Supply Chains: </w:t>
      </w:r>
      <w:r>
        <w:rPr>
          <w:rFonts w:ascii="Times New Roman" w:cs="Times New Roman" w:eastAsia="Times New Roman" w:hAnsi="Times New Roman"/>
          <w:sz w:val="18"/>
          <w:szCs w:val="18"/>
          <w:color w:val="auto"/>
        </w:rPr>
        <w:t>Events unfolding in the Middle East have disrupted critical shipping routes (such as the Strait of Hormuz), delayed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delivery of raw materials and finished goods, and increased transportation and logistics costs. These may further increase our materials costs or make it difficult or impossible to obtain necessary raw materials.</w:t>
      </w:r>
    </w:p>
    <w:p>
      <w:pPr>
        <w:spacing w:after="0" w:line="62" w:lineRule="exact"/>
        <w:rPr>
          <w:rFonts w:ascii="Times New Roman" w:cs="Times New Roman" w:eastAsia="Times New Roman" w:hAnsi="Times New Roman"/>
          <w:sz w:val="18"/>
          <w:szCs w:val="18"/>
          <w:color w:val="auto"/>
        </w:rPr>
      </w:pPr>
    </w:p>
    <w:p>
      <w:pPr>
        <w:ind w:left="660" w:hanging="166"/>
        <w:spacing w:after="0" w:line="28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Energy Price Volatility: </w:t>
      </w:r>
      <w:r>
        <w:rPr>
          <w:rFonts w:ascii="Times New Roman" w:cs="Times New Roman" w:eastAsia="Times New Roman" w:hAnsi="Times New Roman"/>
          <w:sz w:val="18"/>
          <w:szCs w:val="18"/>
          <w:color w:val="auto"/>
        </w:rPr>
        <w:t>Iran and its neighbors are significant oil producers, and conflict in the region has led to sharp increases and volatility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energy prices, which may be prolonged and which may increase our operating costs and impact customer demand.</w:t>
      </w:r>
    </w:p>
    <w:p>
      <w:pPr>
        <w:spacing w:after="0" w:line="46" w:lineRule="exact"/>
        <w:rPr>
          <w:rFonts w:ascii="Times New Roman" w:cs="Times New Roman" w:eastAsia="Times New Roman" w:hAnsi="Times New Roman"/>
          <w:sz w:val="18"/>
          <w:szCs w:val="18"/>
          <w:color w:val="auto"/>
        </w:rPr>
      </w:pPr>
    </w:p>
    <w:p>
      <w:pPr>
        <w:jc w:val="both"/>
        <w:ind w:left="660" w:right="20" w:hanging="166"/>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Sanctions and Regulatory Risks: </w:t>
      </w:r>
      <w:r>
        <w:rPr>
          <w:rFonts w:ascii="Times New Roman" w:cs="Times New Roman" w:eastAsia="Times New Roman" w:hAnsi="Times New Roman"/>
          <w:sz w:val="18"/>
          <w:szCs w:val="18"/>
          <w:color w:val="auto"/>
        </w:rPr>
        <w:t>The imposition of new or expanded U.S., EU, or UN sanctions in response to hostilities could restrict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ability to conduct business with certain customers, suppliers, or financial institutions, and may require us to incur significant costs to ensure compliance or to unwind existing relationships.</w:t>
      </w:r>
    </w:p>
    <w:p>
      <w:pPr>
        <w:spacing w:after="0" w:line="62" w:lineRule="exact"/>
        <w:rPr>
          <w:rFonts w:ascii="Times New Roman" w:cs="Times New Roman" w:eastAsia="Times New Roman" w:hAnsi="Times New Roman"/>
          <w:sz w:val="18"/>
          <w:szCs w:val="18"/>
          <w:color w:val="auto"/>
        </w:rPr>
      </w:pPr>
    </w:p>
    <w:p>
      <w:pPr>
        <w:ind w:left="660" w:hanging="166"/>
        <w:spacing w:after="0" w:line="28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Cybersecurity Threats</w:t>
      </w:r>
      <w:r>
        <w:rPr>
          <w:rFonts w:ascii="Times New Roman" w:cs="Times New Roman" w:eastAsia="Times New Roman" w:hAnsi="Times New Roman"/>
          <w:sz w:val="18"/>
          <w:szCs w:val="18"/>
          <w:color w:val="auto"/>
        </w:rPr>
        <w:t>: Heightened geopolitical tensions may increase the risk of cyberattacks or other malicious activities targeting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systems, potentially resulting in data breaches, business interruption, or reputational harm.</w:t>
      </w:r>
    </w:p>
    <w:p>
      <w:pPr>
        <w:spacing w:after="0" w:line="46" w:lineRule="exact"/>
        <w:rPr>
          <w:rFonts w:ascii="Times New Roman" w:cs="Times New Roman" w:eastAsia="Times New Roman" w:hAnsi="Times New Roman"/>
          <w:sz w:val="18"/>
          <w:szCs w:val="18"/>
          <w:color w:val="auto"/>
        </w:rPr>
      </w:pPr>
    </w:p>
    <w:p>
      <w:pPr>
        <w:ind w:left="660" w:hanging="166"/>
        <w:spacing w:after="0" w:line="28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Insurance and Financial Market Impacts: </w:t>
      </w:r>
      <w:r>
        <w:rPr>
          <w:rFonts w:ascii="Times New Roman" w:cs="Times New Roman" w:eastAsia="Times New Roman" w:hAnsi="Times New Roman"/>
          <w:sz w:val="18"/>
          <w:szCs w:val="18"/>
          <w:color w:val="auto"/>
        </w:rPr>
        <w:t>War or ongoing instability may result in higher insurance premiums, reduced availability of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war-related losses, and increased volatility in global financial markets, which could adversely affect our liquidity and access to capital.</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any of these events, or other unforeseen consequences of conflict involving Iran and/or the Middle East, could materially and adversely affect our business, financial condition, results of operations, and cash flows. We cannot predict the duration or scope of any such conflict, nor the extent to which it may impact our business or the global economy.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shares of the Company’s common stock acquired by the Company during the period covered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40" w:type="dxa"/>
            <w:vAlign w:val="bottom"/>
          </w:tcPr>
          <w:p>
            <w:pPr>
              <w:spacing w:after="0"/>
              <w:rPr>
                <w:sz w:val="18"/>
                <w:szCs w:val="18"/>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w:t>
            </w:r>
          </w:p>
        </w:tc>
        <w:tc>
          <w:tcPr>
            <w:tcW w:w="28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80" w:type="dxa"/>
            <w:vAlign w:val="bottom"/>
          </w:tcPr>
          <w:p>
            <w:pPr>
              <w:spacing w:after="0"/>
              <w:rPr>
                <w:sz w:val="18"/>
                <w:szCs w:val="18"/>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 Purchased as part</w:t>
            </w: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that May Yet be</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80" w:type="dxa"/>
            <w:vAlign w:val="bottom"/>
          </w:tcPr>
          <w:p>
            <w:pPr>
              <w:spacing w:after="0"/>
              <w:rPr>
                <w:sz w:val="18"/>
                <w:szCs w:val="18"/>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 Publicly Announced</w:t>
            </w:r>
          </w:p>
        </w:tc>
        <w:tc>
          <w:tcPr>
            <w:tcW w:w="140" w:type="dxa"/>
            <w:vAlign w:val="bottom"/>
          </w:tcPr>
          <w:p>
            <w:pPr>
              <w:spacing w:after="0"/>
              <w:rPr>
                <w:sz w:val="18"/>
                <w:szCs w:val="18"/>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38"/>
        </w:trPr>
        <w:tc>
          <w:tcPr>
            <w:tcW w:w="27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Purchased (1)(2)</w:t>
            </w:r>
          </w:p>
        </w:tc>
        <w:tc>
          <w:tcPr>
            <w:tcW w:w="280" w:type="dxa"/>
            <w:vAlign w:val="bottom"/>
          </w:tcPr>
          <w:p>
            <w:pPr>
              <w:spacing w:after="0"/>
              <w:rPr>
                <w:sz w:val="20"/>
                <w:szCs w:val="20"/>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Per Share (1)(2)</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Plans or Programs (2)</w:t>
            </w:r>
          </w:p>
        </w:tc>
        <w:tc>
          <w:tcPr>
            <w:tcW w:w="140" w:type="dxa"/>
            <w:vAlign w:val="bottom"/>
          </w:tcPr>
          <w:p>
            <w:pPr>
              <w:spacing w:after="0"/>
              <w:rPr>
                <w:sz w:val="20"/>
                <w:szCs w:val="20"/>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Plans or Programs (2)</w:t>
            </w:r>
          </w:p>
        </w:tc>
      </w:tr>
      <w:tr>
        <w:trPr>
          <w:trHeight w:val="27"/>
        </w:trPr>
        <w:tc>
          <w:tcPr>
            <w:tcW w:w="2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228,587,103</w:t>
            </w: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August 31</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80" w:type="dxa"/>
            <w:vAlign w:val="bottom"/>
          </w:tcPr>
          <w:p>
            <w:pPr>
              <w:spacing w:after="0"/>
              <w:rPr>
                <w:sz w:val="21"/>
                <w:szCs w:val="21"/>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228,587,103</w:t>
            </w:r>
          </w:p>
        </w:tc>
      </w:tr>
      <w:tr>
        <w:trPr>
          <w:trHeight w:val="27"/>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8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226,150,126</w:t>
            </w:r>
          </w:p>
        </w:tc>
      </w:tr>
      <w:tr>
        <w:trPr>
          <w:trHeight w:val="257"/>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151.62</w:t>
            </w:r>
          </w:p>
        </w:tc>
        <w:tc>
          <w:tcPr>
            <w:tcW w:w="80" w:type="dxa"/>
            <w:vAlign w:val="bottom"/>
          </w:tcPr>
          <w:p>
            <w:pPr>
              <w:spacing w:after="0"/>
              <w:rPr>
                <w:sz w:val="22"/>
                <w:szCs w:val="22"/>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226,150,126</w:t>
            </w: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hanging="328"/>
        <w:spacing w:after="0" w:line="261"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 of these shares were acquired from employees related to the surrender of Quaker Chemical Corporation shares in payment of the vesting of restricted stock awards or units. The price paid for shares acquired from employees pursuant to employee benefit and share-based compensation plans is based on the closing price of the Company’s common stock on the date of vesting as specified by the plan pursuant to which the applicable option, restricted stock award, or restricted stock unit was granted.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2026, the Board of Directors of the Company approved, and the Company announced, the 2026 Share Repurchase Program, pursuant to which the Company is authorized to repurchase up to $250.0 million of Quaker Chemical Corporation common stock, which replaced the previous 2024 Share Repurchase Program and has no expiration date. The number of shares to be repurchased and the timing of such transactions will depend on a variety of factors, including market conditions.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the Payment of Dividends</w:t>
      </w:r>
    </w:p>
    <w:p>
      <w:pPr>
        <w:spacing w:after="0" w:line="11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Credit Facility has certain limitations on the payment of dividends and other so-called restricted payment covenants. See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the Condensed Consolidated Financial Statements, in Part I, Item 1, of this Report.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director or officer (as defined in Rule 16a-1(f) promulgated under the Exchange Act) of the Company adopted or terminated any Rule 10b5-1 trading arrangement or any non-Rule 10b5-1 trading arrangement (as such terms are defined in Item 408 of Regulation S-K) during the quarter ended September 30,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Amended and Restated Articles of Incorporation (as amended through July 24, 2019). Incorporated by reference to Exhibit 3.1 as</w:t>
        </w:r>
      </w:hyperlink>
    </w:p>
    <w:p>
      <w:pPr>
        <w:spacing w:after="0" w:line="233" w:lineRule="auto"/>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hyperlink r:id="rId71">
        <w:r>
          <w:rPr>
            <w:rFonts w:ascii="Times New Roman" w:cs="Times New Roman" w:eastAsia="Times New Roman" w:hAnsi="Times New Roman"/>
            <w:sz w:val="18"/>
            <w:szCs w:val="18"/>
            <w:u w:val="single" w:color="auto"/>
            <w:color w:val="0000FF"/>
          </w:rPr>
          <w:t>filed by the Registrant with its quarterly report on Form 10-Q filed on August 1, 2019.</w:t>
        </w:r>
      </w:hyperlink>
    </w:p>
    <w:p>
      <w:pPr>
        <w:ind w:left="220"/>
        <w:spacing w:after="0" w:line="203" w:lineRule="auto"/>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Amended and Restated By-laws (effective December 19, 2022). Incorporated by reference to Exhibit 3.1 as filed by the Registrant</w:t>
        </w:r>
      </w:hyperlink>
    </w:p>
    <w:p>
      <w:pPr>
        <w:spacing w:after="0" w:line="209" w:lineRule="auto"/>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hyperlink r:id="rId72">
        <w:r>
          <w:rPr>
            <w:rFonts w:ascii="Times New Roman" w:cs="Times New Roman" w:eastAsia="Times New Roman" w:hAnsi="Times New Roman"/>
            <w:sz w:val="18"/>
            <w:szCs w:val="18"/>
            <w:u w:val="single" w:color="auto"/>
            <w:color w:val="0000FF"/>
          </w:rPr>
          <w:t>with its current report on Form 8-K on December 20, 2022.</w:t>
        </w:r>
      </w:hyperlink>
    </w:p>
    <w:p>
      <w:pPr>
        <w:ind w:left="220"/>
        <w:spacing w:after="0" w:line="203"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Separation Agreement and General Release by and between Quaker Chemical Corporation and Jeewat Bijlani, dated September 30,</w:t>
      </w:r>
    </w:p>
    <w:p>
      <w:pPr>
        <w:spacing w:after="0" w:line="209"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2026.*†</w:t>
      </w:r>
    </w:p>
    <w:p>
      <w:pPr>
        <w:spacing w:after="0" w:line="183"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29"/>
          <w:szCs w:val="29"/>
          <w:color w:val="000000"/>
          <w:vertAlign w:val="subscript"/>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Amendment No. 5, dated as of October 1, 2026, to the Credit Agreement, dated as of August 1, 2019, as amended.*^</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Certification of Chief Executive Officer of the Company pursuant to Rule 13a-14(a) of the Securities Exchange Act of 1934.*</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Certification of Chief Financial Officer of the Company pursuant to Rule 13a-14(a) of the Securities Exchange Act of 1934.*</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Certification of Chief Executive Officer of the Company Pursuant to 18 U.S. C. Section 1350.**</w:t>
      </w:r>
    </w:p>
    <w:p>
      <w:pPr>
        <w:spacing w:after="0" w:line="20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Certification of Chief Financial Officer of the Company Pursuant to 18 U.S. C. Section 1350.**</w:t>
      </w:r>
    </w:p>
    <w:p>
      <w:pPr>
        <w:spacing w:after="0" w:line="76"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Instance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Schema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Calculation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Definition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Label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Inline XBRL Taxonomy Presentation Linkbase Document*</w:t>
      </w:r>
    </w:p>
    <w:p>
      <w:pPr>
        <w:spacing w:after="0" w:line="63" w:lineRule="exact"/>
        <w:rPr>
          <w:rFonts w:ascii="Times New Roman" w:cs="Times New Roman" w:eastAsia="Times New Roman" w:hAnsi="Times New Roman"/>
          <w:sz w:val="18"/>
          <w:szCs w:val="18"/>
          <w:color w:val="0000FF"/>
        </w:rPr>
      </w:pPr>
    </w:p>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Cover Page Interactive Data File (formatted as Inline XBRL and contained in Exhibit 101.INS)*</w:t>
      </w:r>
    </w:p>
    <w:p>
      <w:pPr>
        <w:spacing w:after="0" w:line="562"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280" w:space="100"/>
            <w:col w:w="986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w:t>
      </w:r>
    </w:p>
    <w:p>
      <w:pPr>
        <w:spacing w:after="0" w:line="117" w:lineRule="exact"/>
        <w:rPr>
          <w:rFonts w:ascii="Times New Roman" w:cs="Times New Roman" w:eastAsia="Times New Roman" w:hAnsi="Times New Roman"/>
          <w:sz w:val="18"/>
          <w:szCs w:val="18"/>
          <w:u w:val="single" w:color="auto"/>
          <w:color w:val="0000FF"/>
        </w:rPr>
      </w:pPr>
    </w:p>
    <w:p>
      <w:pPr>
        <w:ind w:firstLine="8"/>
        <w:spacing w:after="0" w:line="282" w:lineRule="auto"/>
        <w:tabs>
          <w:tab w:leader="none" w:pos="1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601(a)(5) of Regulation S-K, the appendices, exhibits and schedules to Exhibit 10.2 have been omitted from this report and will be furnished supplementally to the Securities and Exchange Commission upon request.</w:t>
      </w:r>
    </w:p>
    <w:p>
      <w:pPr>
        <w:spacing w:after="0" w:line="391"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u w:val="single" w:color="auto"/>
          <w:color w:val="0000FF"/>
        </w:rPr>
      </w:pPr>
    </w:p>
    <w:p>
      <w:pPr>
        <w:spacing w:after="0" w:line="241"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QUAKER CHEMICAL CORPORATION</w:t>
            </w:r>
          </w:p>
        </w:tc>
        <w:tc>
          <w:tcPr>
            <w:tcW w:w="0" w:type="dxa"/>
            <w:vAlign w:val="bottom"/>
          </w:tcPr>
          <w:p>
            <w:pPr>
              <w:spacing w:after="0"/>
              <w:rPr>
                <w:sz w:val="1"/>
                <w:szCs w:val="1"/>
                <w:color w:val="auto"/>
              </w:rPr>
            </w:pPr>
          </w:p>
        </w:tc>
      </w:tr>
      <w:tr>
        <w:trPr>
          <w:trHeight w:val="378"/>
        </w:trPr>
        <w:tc>
          <w:tcPr>
            <w:tcW w:w="3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648"/>
        </w:trPr>
        <w:tc>
          <w:tcPr>
            <w:tcW w:w="3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Coler</w:t>
            </w:r>
          </w:p>
        </w:tc>
        <w:tc>
          <w:tcPr>
            <w:tcW w:w="0" w:type="dxa"/>
            <w:vAlign w:val="bottom"/>
          </w:tcPr>
          <w:p>
            <w:pPr>
              <w:spacing w:after="0"/>
              <w:rPr>
                <w:sz w:val="1"/>
                <w:szCs w:val="1"/>
                <w:color w:val="auto"/>
              </w:rPr>
            </w:pPr>
          </w:p>
        </w:tc>
      </w:tr>
      <w:tr>
        <w:trPr>
          <w:trHeight w:val="27"/>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00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0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Thomas Coler, Executive Vice President, Chief Financial Officer and</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Accounting Officer (officer duly authorized on behalf of, and</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financial officer of, the Registrant)</w:t>
            </w:r>
          </w:p>
        </w:tc>
        <w:tc>
          <w:tcPr>
            <w:tcW w:w="0" w:type="dxa"/>
            <w:vAlign w:val="bottom"/>
          </w:tcPr>
          <w:p>
            <w:pPr>
              <w:spacing w:after="0"/>
              <w:rPr>
                <w:sz w:val="1"/>
                <w:szCs w:val="1"/>
                <w:color w:val="auto"/>
              </w:rPr>
            </w:pPr>
          </w:p>
        </w:tc>
      </w:tr>
      <w:tr>
        <w:trPr>
          <w:trHeight w:val="769"/>
        </w:trPr>
        <w:tc>
          <w:tcPr>
            <w:tcW w:w="3600" w:type="dxa"/>
            <w:vAlign w:val="bottom"/>
          </w:tcPr>
          <w:p>
            <w:pPr>
              <w:spacing w:after="0"/>
              <w:rPr>
                <w:sz w:val="24"/>
                <w:szCs w:val="24"/>
                <w:color w:val="auto"/>
              </w:rPr>
            </w:pPr>
          </w:p>
        </w:tc>
        <w:tc>
          <w:tcPr>
            <w:tcW w:w="762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4159885</wp:posOffset>
            </wp:positionH>
            <wp:positionV relativeFrom="page">
              <wp:posOffset>500380</wp:posOffset>
            </wp:positionV>
            <wp:extent cx="1937385" cy="7454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93738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SEPARATION AGREEMENT AND GENERAL RELEASE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20" w:firstLine="648"/>
        <w:spacing w:after="0" w:line="479" w:lineRule="auto"/>
        <w:rPr>
          <w:sz w:val="20"/>
          <w:szCs w:val="20"/>
          <w:color w:val="auto"/>
        </w:rPr>
      </w:pPr>
      <w:r>
        <w:rPr>
          <w:rFonts w:ascii="Arial" w:cs="Arial" w:eastAsia="Arial" w:hAnsi="Arial"/>
          <w:sz w:val="20"/>
          <w:szCs w:val="20"/>
          <w:color w:val="auto"/>
        </w:rPr>
        <w:t>Whereas, Jeewat Bijlani (herein referred to as “Employee”) has been employed by Quaker Houghton (herein referred to as “Employer”) as Executive Vice President, Global Security and Chief Growth Officer; and</w:t>
      </w:r>
    </w:p>
    <w:p>
      <w:pPr>
        <w:jc w:val="both"/>
        <w:ind w:firstLine="648"/>
        <w:spacing w:after="0" w:line="479" w:lineRule="auto"/>
        <w:rPr>
          <w:sz w:val="20"/>
          <w:szCs w:val="20"/>
          <w:color w:val="auto"/>
        </w:rPr>
      </w:pPr>
      <w:r>
        <w:rPr>
          <w:rFonts w:ascii="Arial" w:cs="Arial" w:eastAsia="Arial" w:hAnsi="Arial"/>
          <w:sz w:val="20"/>
          <w:szCs w:val="20"/>
          <w:color w:val="auto"/>
        </w:rPr>
        <w:t>Whereas, Employee’s employment with Employer is separated effective as of September 30, 2026, (the “Separation Date”) and Employee wants to enter into an agreement whereby the Employer will provide Employee with certain benefits in exchange for a release as to any claims that Employee might have or assert against Employer.</w:t>
      </w:r>
    </w:p>
    <w:p>
      <w:pPr>
        <w:jc w:val="both"/>
        <w:ind w:firstLine="648"/>
        <w:spacing w:after="0" w:line="479" w:lineRule="auto"/>
        <w:rPr>
          <w:sz w:val="20"/>
          <w:szCs w:val="20"/>
          <w:color w:val="auto"/>
        </w:rPr>
      </w:pPr>
      <w:r>
        <w:rPr>
          <w:rFonts w:ascii="Arial" w:cs="Arial" w:eastAsia="Arial" w:hAnsi="Arial"/>
          <w:sz w:val="20"/>
          <w:szCs w:val="20"/>
          <w:color w:val="auto"/>
        </w:rPr>
        <w:t>Whereas, regardless of whether Employee enters into this Agreement, Employer shall provide Employee with 90 days paid salary, at Employee's rate as of the Separation Date, less applicable payroll tax deductions, in lieu of notice of termination for the period from October 1, 2026 through December 29, 2026 in accordance with Employer's normal bi-weekly payroll practice and pay to the insurance carrier the entire premium for Employee's continued healthcare coverage at the same coverage level through December 31, 2026. In addition, Employer shall pay Employee for 13 days of PTO on or before October 15th, 2026, less applicable payroll tax deductions.</w:t>
      </w:r>
    </w:p>
    <w:p>
      <w:pPr>
        <w:jc w:val="both"/>
        <w:ind w:right="20" w:firstLine="648"/>
        <w:spacing w:after="0" w:line="486" w:lineRule="auto"/>
        <w:rPr>
          <w:sz w:val="20"/>
          <w:szCs w:val="20"/>
          <w:color w:val="auto"/>
        </w:rPr>
      </w:pPr>
      <w:r>
        <w:rPr>
          <w:rFonts w:ascii="Arial" w:cs="Arial" w:eastAsia="Arial" w:hAnsi="Arial"/>
          <w:sz w:val="20"/>
          <w:szCs w:val="20"/>
          <w:color w:val="auto"/>
        </w:rPr>
        <w:t>NOW, THEREFORE, in consideration of the mutual promises contained herein, Employee and Employer, intending to be legally bound, hereby agree as follows:</w:t>
      </w:r>
    </w:p>
    <w:p>
      <w:pPr>
        <w:jc w:val="both"/>
        <w:ind w:left="1300" w:hanging="657"/>
        <w:spacing w:after="0" w:line="457" w:lineRule="auto"/>
        <w:tabs>
          <w:tab w:leader="none" w:pos="1302"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consideration of the promises of Employer set forth in paragraph 2 below, Employee, on behalf of himself and Employee’s spouse, heirs, executors and administrators (hereinafter referred to collectively as “Releasing Parties”), intending to be legally bound, hereby permanently and irrevocably releases and discharges Employer, and its subsidiaries and affiliates, and its and their current and former officers, directors, employees, agents, representatives, successors, assigns, heirs, executors, administrators, and insurers (hereinafter</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referred to collectively as “Released Parties”), of and from any and all causes of action, suits,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189346234.1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189346234.3</w:t>
      </w:r>
    </w:p>
    <w:p>
      <w:pPr>
        <w:sectPr>
          <w:pgSz w:w="11900" w:h="16838" w:orient="portrait"/>
          <w:cols w:equalWidth="0" w:num="1">
            <w:col w:w="10460"/>
          </w:cols>
          <w:pgMar w:left="720" w:top="1440" w:right="719" w:bottom="1440" w:gutter="0" w:footer="0" w:header="0"/>
        </w:sectPr>
      </w:pPr>
    </w:p>
    <w:bookmarkStart w:id="50" w:name="page51"/>
    <w:bookmarkEnd w:id="50"/>
    <w:p>
      <w:pPr>
        <w:spacing w:after="0" w:line="96" w:lineRule="exact"/>
        <w:rPr>
          <w:sz w:val="20"/>
          <w:szCs w:val="20"/>
          <w:color w:val="auto"/>
        </w:rPr>
      </w:pPr>
    </w:p>
    <w:p>
      <w:pPr>
        <w:jc w:val="both"/>
        <w:ind w:left="657"/>
        <w:spacing w:after="0" w:line="460" w:lineRule="auto"/>
        <w:rPr>
          <w:sz w:val="20"/>
          <w:szCs w:val="20"/>
          <w:color w:val="auto"/>
        </w:rPr>
      </w:pPr>
      <w:r>
        <w:rPr>
          <w:rFonts w:ascii="Arial" w:cs="Arial" w:eastAsia="Arial" w:hAnsi="Arial"/>
          <w:sz w:val="20"/>
          <w:szCs w:val="20"/>
          <w:color w:val="auto"/>
        </w:rPr>
        <w:t xml:space="preserve">debts, claims and demands whatsoever, which Employee or Releasing Parties had, has, or may have against Released Parties up until the date of Employee’s execution of this Separation Agreement and General Release (hereinafter “Agreement”). Particularly, but without limitation, Employee and Releasing Parties release any claims relating in any way to Employee’s employment or the termination of Employee’s employment relationship with Employer, including any claims under any federal, state, or local laws, including Title VII of the Civil Rights Act of 1964 as amended, 42 U.S.C. § 2000e </w:t>
      </w:r>
      <w:r>
        <w:rPr>
          <w:rFonts w:ascii="Arial" w:cs="Arial" w:eastAsia="Arial" w:hAnsi="Arial"/>
          <w:sz w:val="20"/>
          <w:szCs w:val="20"/>
          <w:u w:val="single" w:color="auto"/>
          <w:color w:val="auto"/>
        </w:rPr>
        <w:t>et seq</w:t>
      </w:r>
      <w:r>
        <w:rPr>
          <w:rFonts w:ascii="Arial" w:cs="Arial" w:eastAsia="Arial" w:hAnsi="Arial"/>
          <w:sz w:val="20"/>
          <w:szCs w:val="20"/>
          <w:color w:val="auto"/>
        </w:rPr>
        <w:t>. (“Title VII”); the Age Discrimination in</w:t>
      </w:r>
    </w:p>
    <w:p>
      <w:pPr>
        <w:spacing w:after="0" w:line="6" w:lineRule="exact"/>
        <w:rPr>
          <w:sz w:val="20"/>
          <w:szCs w:val="20"/>
          <w:color w:val="auto"/>
        </w:rPr>
      </w:pPr>
    </w:p>
    <w:p>
      <w:pPr>
        <w:ind w:left="657" w:right="780"/>
        <w:spacing w:after="0" w:line="544" w:lineRule="auto"/>
        <w:rPr>
          <w:sz w:val="20"/>
          <w:szCs w:val="20"/>
          <w:color w:val="auto"/>
        </w:rPr>
      </w:pPr>
      <w:r>
        <w:rPr>
          <w:rFonts w:ascii="Arial" w:cs="Arial" w:eastAsia="Arial" w:hAnsi="Arial"/>
          <w:sz w:val="19"/>
          <w:szCs w:val="19"/>
          <w:color w:val="auto"/>
        </w:rPr>
        <w:t xml:space="preserve">Employment Act, 29 U.S.C. § 621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“ADEA”), as amended by the Older Workers Benefit Protection Act (the “OWBPA”); the Americans with Disabilities Act, 42 U.S.C § 12101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(“ADA”); the Employee Retirement Income Security Act, 29 U.S.C. § 1001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(“ERISA”); the Genetic Information Non-Discrimination Act of 2008, 42 U.S.C. § 2000ff-1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(“GINA”); 42</w:t>
      </w:r>
    </w:p>
    <w:p>
      <w:pPr>
        <w:spacing w:after="0" w:line="58" w:lineRule="exact"/>
        <w:rPr>
          <w:sz w:val="20"/>
          <w:szCs w:val="20"/>
          <w:color w:val="auto"/>
        </w:rPr>
      </w:pPr>
    </w:p>
    <w:p>
      <w:pPr>
        <w:jc w:val="both"/>
        <w:ind w:left="657"/>
        <w:spacing w:after="0" w:line="479" w:lineRule="auto"/>
        <w:rPr>
          <w:sz w:val="20"/>
          <w:szCs w:val="20"/>
          <w:color w:val="auto"/>
        </w:rPr>
      </w:pPr>
      <w:r>
        <w:rPr>
          <w:rFonts w:ascii="Arial" w:cs="Arial" w:eastAsia="Arial" w:hAnsi="Arial"/>
          <w:sz w:val="20"/>
          <w:szCs w:val="20"/>
          <w:color w:val="auto"/>
        </w:rPr>
        <w:t>U.S.C. § 1981 (“Section 1981”); the Pennsylvania Human Relations Act (“PHRA”); the Pennsylvania Wage Payment and Collection Law; the Pennsylvania Whistleblower Law; and any and all other statutory and common law claims, including any tort claims, or claims for breach of contract or arising under state or local anti-discrimination laws.</w:t>
      </w:r>
    </w:p>
    <w:p>
      <w:pPr>
        <w:ind w:left="657" w:right="20" w:hanging="657"/>
        <w:spacing w:after="0" w:line="500" w:lineRule="auto"/>
        <w:tabs>
          <w:tab w:leader="none" w:pos="659"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 full consideration of Employee’s execution of this Agreement and agreement to be legally bound by its terms, Employer agrees to the following:</w:t>
      </w:r>
    </w:p>
    <w:p>
      <w:pPr>
        <w:ind w:left="917" w:hanging="243"/>
        <w:spacing w:after="0" w:line="484" w:lineRule="auto"/>
        <w:rPr>
          <w:rFonts w:ascii="Arial" w:cs="Arial" w:eastAsia="Arial" w:hAnsi="Arial"/>
          <w:sz w:val="20"/>
          <w:szCs w:val="20"/>
          <w:color w:val="auto"/>
        </w:rPr>
      </w:pPr>
      <w:r>
        <w:rPr>
          <w:rFonts w:ascii="Arial" w:cs="Arial" w:eastAsia="Arial" w:hAnsi="Arial"/>
          <w:sz w:val="20"/>
          <w:szCs w:val="20"/>
          <w:color w:val="auto"/>
        </w:rPr>
        <w:t>a. Employer shall make bi-weekly severance payments to Employee at Employee’s current bi-weekly rate, less applicable payroll tax deductions, for 12 months (the total payment is hereinafter referred to as the “Severance Payment”). The first installment of the Severance Payment will be paid by Employer on the first regularly scheduled pay period in accordance with Employer’s normal payroll practice following January 1, 2027, provided that Employee delivers an executed copy of this Agreement to Employer, and provided further that Employee has not revoked Employee’s acceptance of this Agreement by invoking the procedure identified in Paragraph 10.</w:t>
      </w:r>
    </w:p>
    <w:p>
      <w:pPr>
        <w:sectPr>
          <w:pgSz w:w="11900" w:h="16838" w:orient="portrait"/>
          <w:cols w:equalWidth="0" w:num="1">
            <w:col w:w="9817"/>
          </w:cols>
          <w:pgMar w:left="1363" w:top="1440" w:right="71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517"/>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9817"/>
          </w:cols>
          <w:pgMar w:left="1363" w:top="1440" w:right="719" w:bottom="1440" w:gutter="0" w:footer="0" w:header="0"/>
          <w:type w:val="continuous"/>
        </w:sectPr>
      </w:pPr>
    </w:p>
    <w:bookmarkStart w:id="51" w:name="page52"/>
    <w:bookmarkEnd w:id="51"/>
    <w:p>
      <w:pPr>
        <w:spacing w:after="0" w:line="96" w:lineRule="exact"/>
        <w:rPr>
          <w:sz w:val="20"/>
          <w:szCs w:val="20"/>
          <w:color w:val="auto"/>
        </w:rPr>
      </w:pPr>
    </w:p>
    <w:p>
      <w:pPr>
        <w:jc w:val="both"/>
        <w:ind w:left="900" w:hanging="328"/>
        <w:spacing w:after="0" w:line="479" w:lineRule="auto"/>
        <w:tabs>
          <w:tab w:leader="none" w:pos="9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Employer shall pay Employee a 2026 Annual Incentive Plan (“AIP”) payment equal to Employee’s actual AIP payout as determined by Employer’s standard performance evaluation process applied through the year end period of December 31, 2026. Such payment shall be made no later than the date on which Employer pays AIP awards to active employees for the 2026 performance year, and in no event later than March 31, 2027, assuming Employee’s execution and no revocation of, and compliance with (in Employer’s discretion), this Agreement and compliance with the MOE (as defined below).</w:t>
      </w:r>
    </w:p>
    <w:p>
      <w:pPr>
        <w:jc w:val="both"/>
        <w:ind w:left="900" w:right="20" w:hanging="328"/>
        <w:spacing w:after="0" w:line="479" w:lineRule="auto"/>
        <w:tabs>
          <w:tab w:leader="none" w:pos="9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Employer shall pay Employee certain payments for 2026 under Employer’s Long Term Incentive Plan as determined by Employer’s standard process applied through the year end period of December 31, 2026, assuming Employee’s execution and no revocation of, and compliance with (in Employer’s discretion), this Agreement and compliance with the MOE (as defined below).</w:t>
      </w:r>
    </w:p>
    <w:p>
      <w:pPr>
        <w:jc w:val="both"/>
        <w:ind w:left="900" w:hanging="328"/>
        <w:spacing w:after="0" w:line="482" w:lineRule="auto"/>
        <w:tabs>
          <w:tab w:leader="none" w:pos="9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Following December 31, 2026, Employee shall be eligible to continue Employee’s coverage, pursuant to COBRA if this is the option Employee chooses for Employee’s continued medical and/or dental plans. If Employee is enrolled in Employer’s medical and/or dental plans as of the Separation Date, in further consideration for the execution by Employee of this Agreement and in compliance with the promises made herein, Employer shall make bi-weekly payments equivalent to the Employer-paid portion for Employee’s existing medical and/or dental coverage to Employee for a period of 18 months (the “COBRA Reimbursement Period”) in accordance with Employer’s payroll schedule, subject to normal payroll tax withholding. Following the COBRA Reimbursement Period, Employee shall be responsible for the entire COBRA premium (or other premiums, as applicable) for the remainder of any applicable COBRA or other health care continuation period.</w:t>
      </w:r>
    </w:p>
    <w:p>
      <w:pPr>
        <w:spacing w:after="0" w:line="11" w:lineRule="exact"/>
        <w:rPr>
          <w:rFonts w:ascii="Arial" w:cs="Arial" w:eastAsia="Arial" w:hAnsi="Arial"/>
          <w:sz w:val="20"/>
          <w:szCs w:val="20"/>
          <w:color w:val="auto"/>
        </w:rPr>
      </w:pPr>
    </w:p>
    <w:p>
      <w:pPr>
        <w:ind w:left="900" w:right="20" w:hanging="328"/>
        <w:spacing w:after="0" w:line="511" w:lineRule="auto"/>
        <w:tabs>
          <w:tab w:leader="none" w:pos="9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Employer shall provide Employee with twelve (12) months of outplacement services through a provider to be identified by Employer.</w:t>
      </w:r>
    </w:p>
    <w:p>
      <w:pPr>
        <w:spacing w:after="0" w:line="200" w:lineRule="exact"/>
        <w:rPr>
          <w:sz w:val="20"/>
          <w:szCs w:val="20"/>
          <w:color w:val="auto"/>
        </w:rPr>
      </w:pPr>
    </w:p>
    <w:p>
      <w:pPr>
        <w:spacing w:after="0" w:line="355"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9740"/>
          </w:cols>
          <w:pgMar w:left="1440" w:top="1440" w:right="719" w:bottom="1440" w:gutter="0" w:footer="0" w:header="0"/>
        </w:sectPr>
      </w:pPr>
    </w:p>
    <w:bookmarkStart w:id="52" w:name="page53"/>
    <w:bookmarkEnd w:id="52"/>
    <w:p>
      <w:pPr>
        <w:spacing w:after="0" w:line="96" w:lineRule="exact"/>
        <w:rPr>
          <w:sz w:val="20"/>
          <w:szCs w:val="20"/>
          <w:color w:val="auto"/>
        </w:rPr>
      </w:pPr>
    </w:p>
    <w:p>
      <w:pPr>
        <w:jc w:val="both"/>
        <w:ind w:left="977" w:hanging="328"/>
        <w:spacing w:after="0" w:line="479" w:lineRule="auto"/>
        <w:tabs>
          <w:tab w:leader="none" w:pos="964" w:val="left"/>
        </w:tabs>
        <w:numPr>
          <w:ilvl w:val="1"/>
          <w:numId w:val="21"/>
        </w:numPr>
        <w:rPr>
          <w:rFonts w:ascii="Arial" w:cs="Arial" w:eastAsia="Arial" w:hAnsi="Arial"/>
          <w:sz w:val="20"/>
          <w:szCs w:val="20"/>
          <w:color w:val="auto"/>
        </w:rPr>
      </w:pPr>
      <w:r>
        <w:rPr>
          <w:rFonts w:ascii="Arial" w:cs="Arial" w:eastAsia="Arial" w:hAnsi="Arial"/>
          <w:sz w:val="20"/>
          <w:szCs w:val="20"/>
          <w:color w:val="auto"/>
        </w:rPr>
        <w:t>Employer shall reimburse Employee for financial and well-being services for 2026 and 2027 under Employer’s executive benefit program, subject to Employee’s timely submission of receipts for reimbursement pursuant to the terms of the program.</w:t>
      </w:r>
    </w:p>
    <w:p>
      <w:pPr>
        <w:jc w:val="both"/>
        <w:ind w:left="657" w:right="20" w:hanging="657"/>
        <w:spacing w:after="0" w:line="479" w:lineRule="auto"/>
        <w:tabs>
          <w:tab w:leader="none" w:pos="659" w:val="left"/>
        </w:tabs>
        <w:numPr>
          <w:ilvl w:val="0"/>
          <w:numId w:val="22"/>
        </w:numPr>
        <w:rPr>
          <w:rFonts w:ascii="Arial" w:cs="Arial" w:eastAsia="Arial" w:hAnsi="Arial"/>
          <w:sz w:val="20"/>
          <w:szCs w:val="20"/>
          <w:color w:val="auto"/>
        </w:rPr>
      </w:pPr>
      <w:r>
        <w:rPr>
          <w:rFonts w:ascii="Arial" w:cs="Arial" w:eastAsia="Arial" w:hAnsi="Arial"/>
          <w:sz w:val="20"/>
          <w:szCs w:val="20"/>
          <w:color w:val="auto"/>
        </w:rPr>
        <w:t>Except as set forth in this Agreement, it is expressly agreed and understood that Employer does not have, and will not have, any obligation to provide Employee at any time in the future with any payments, benefits, or considerations other than those recited in this Agreement, except for any vested retirement, pension or COBRA benefits to which Employee is or may be entitled by law.</w:t>
      </w:r>
    </w:p>
    <w:p>
      <w:pPr>
        <w:ind w:left="657" w:hanging="656"/>
        <w:spacing w:after="0" w:line="479" w:lineRule="auto"/>
        <w:tabs>
          <w:tab w:leader="none" w:pos="659" w:val="left"/>
        </w:tabs>
        <w:numPr>
          <w:ilvl w:val="0"/>
          <w:numId w:val="22"/>
        </w:numPr>
        <w:rPr>
          <w:rFonts w:ascii="Arial" w:cs="Arial" w:eastAsia="Arial" w:hAnsi="Arial"/>
          <w:sz w:val="20"/>
          <w:szCs w:val="20"/>
          <w:color w:val="auto"/>
        </w:rPr>
      </w:pPr>
      <w:r>
        <w:rPr>
          <w:rFonts w:ascii="Arial" w:cs="Arial" w:eastAsia="Arial" w:hAnsi="Arial"/>
          <w:sz w:val="20"/>
          <w:szCs w:val="20"/>
          <w:color w:val="auto"/>
        </w:rPr>
        <w:t>Employee hereby agrees and recognizes that Employee’s employment with Employer has been permanently severed and that Employer has no obligation to re-employ Employee in the future.</w:t>
      </w:r>
    </w:p>
    <w:p>
      <w:pPr>
        <w:jc w:val="both"/>
        <w:ind w:left="657" w:right="20" w:hanging="656"/>
        <w:spacing w:after="0" w:line="479" w:lineRule="auto"/>
        <w:tabs>
          <w:tab w:leader="none" w:pos="659" w:val="left"/>
        </w:tabs>
        <w:numPr>
          <w:ilvl w:val="0"/>
          <w:numId w:val="22"/>
        </w:numPr>
        <w:rPr>
          <w:rFonts w:ascii="Arial" w:cs="Arial" w:eastAsia="Arial" w:hAnsi="Arial"/>
          <w:sz w:val="20"/>
          <w:szCs w:val="20"/>
          <w:color w:val="auto"/>
        </w:rPr>
      </w:pPr>
      <w:r>
        <w:rPr>
          <w:rFonts w:ascii="Arial" w:cs="Arial" w:eastAsia="Arial" w:hAnsi="Arial"/>
          <w:sz w:val="20"/>
          <w:szCs w:val="20"/>
          <w:color w:val="auto"/>
        </w:rPr>
        <w:t>Employee agrees and acknowledges that this Agreement is not and shall not be construed to be an admission of a violation by Employer of any federal, state or local statute or regulation, or of any duty owed by Employer.</w:t>
      </w:r>
    </w:p>
    <w:p>
      <w:pPr>
        <w:jc w:val="both"/>
        <w:ind w:left="657" w:hanging="657"/>
        <w:spacing w:after="0" w:line="479" w:lineRule="auto"/>
        <w:tabs>
          <w:tab w:leader="none" w:pos="659" w:val="left"/>
        </w:tabs>
        <w:numPr>
          <w:ilvl w:val="0"/>
          <w:numId w:val="22"/>
        </w:numPr>
        <w:rPr>
          <w:rFonts w:ascii="Arial" w:cs="Arial" w:eastAsia="Arial" w:hAnsi="Arial"/>
          <w:sz w:val="20"/>
          <w:szCs w:val="20"/>
          <w:color w:val="auto"/>
        </w:rPr>
      </w:pPr>
      <w:r>
        <w:rPr>
          <w:rFonts w:ascii="Arial" w:cs="Arial" w:eastAsia="Arial" w:hAnsi="Arial"/>
          <w:sz w:val="20"/>
          <w:szCs w:val="20"/>
          <w:color w:val="auto"/>
        </w:rPr>
        <w:t>Employee shall not make any statement, orally or in writing, regardless of whether such statement is truthful, nor take any action, that (a) in any way could disparage Employer or Released Parties or which could reasonably be expected to harm the reputation or goodwill of Employer, or (b) in any way, directly or indirectly, could knowingly cause or encourage or condone the making of such statements or the taking of such actions by anyone else. Employer shall not make any statement, orally or in writing, regardless of whether such statement is truthful, nor take any action, that in any way could disparage Employee or which could reasonably be expected to harm Employee’s business reputation and shall use its reasonable best efforts to ensure compliance with same by its employees.</w:t>
      </w:r>
    </w:p>
    <w:p>
      <w:pPr>
        <w:ind w:left="657" w:right="20" w:hanging="657"/>
        <w:spacing w:after="0" w:line="511" w:lineRule="auto"/>
        <w:tabs>
          <w:tab w:leader="none" w:pos="659" w:val="left"/>
        </w:tabs>
        <w:numPr>
          <w:ilvl w:val="0"/>
          <w:numId w:val="22"/>
        </w:numPr>
        <w:rPr>
          <w:rFonts w:ascii="Arial" w:cs="Arial" w:eastAsia="Arial" w:hAnsi="Arial"/>
          <w:sz w:val="20"/>
          <w:szCs w:val="20"/>
          <w:color w:val="auto"/>
        </w:rPr>
      </w:pPr>
      <w:r>
        <w:rPr>
          <w:rFonts w:ascii="Arial" w:cs="Arial" w:eastAsia="Arial" w:hAnsi="Arial"/>
          <w:sz w:val="20"/>
          <w:szCs w:val="20"/>
          <w:color w:val="auto"/>
        </w:rPr>
        <w:t>Prior to being eligible to receive the consideration set forth herein, Employee shall return to Employer all Employer-owned property including any business or other records of Employer in any form.</w:t>
      </w:r>
    </w:p>
    <w:p>
      <w:pPr>
        <w:spacing w:after="0" w:line="200" w:lineRule="exact"/>
        <w:rPr>
          <w:sz w:val="20"/>
          <w:szCs w:val="20"/>
          <w:color w:val="auto"/>
        </w:rPr>
      </w:pPr>
    </w:p>
    <w:p>
      <w:pPr>
        <w:spacing w:after="0" w:line="368" w:lineRule="exact"/>
        <w:rPr>
          <w:sz w:val="20"/>
          <w:szCs w:val="20"/>
          <w:color w:val="auto"/>
        </w:rPr>
      </w:pPr>
    </w:p>
    <w:p>
      <w:pPr>
        <w:ind w:left="4517"/>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9817"/>
          </w:cols>
          <w:pgMar w:left="1363" w:top="1440" w:right="719" w:bottom="1440" w:gutter="0" w:footer="0" w:header="0"/>
        </w:sectPr>
      </w:pPr>
    </w:p>
    <w:bookmarkStart w:id="53" w:name="page54"/>
    <w:bookmarkEnd w:id="53"/>
    <w:p>
      <w:pPr>
        <w:spacing w:after="0" w:line="96" w:lineRule="exact"/>
        <w:rPr>
          <w:sz w:val="20"/>
          <w:szCs w:val="20"/>
          <w:color w:val="auto"/>
        </w:rPr>
      </w:pPr>
    </w:p>
    <w:p>
      <w:pPr>
        <w:jc w:val="both"/>
        <w:ind w:left="656" w:hanging="656"/>
        <w:spacing w:after="0" w:line="506" w:lineRule="auto"/>
        <w:tabs>
          <w:tab w:leader="none" w:pos="659"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Employee shall comply with all post-employment obligations in any confidentiality or restrictive covenant agreements signed by Employee during Employee’s employment with Employer or any predecessor, including but not limited to any Memorandum of Employment, including but not limited to the MOE dated September 28, 2017 and the addenda thereto (collectively, the “MOE”), which post-employment obligations shall remain in full force and effect. Notwithstanding the above and in further consideration for Employee’s execution of the Release herein without revoking same, for purposes of Section 5(a) of the MOE concerning noncompetition, the parties agree that the one-year noncompetition period set forth in Section 5 of the MOE (the “Restricted Period”) shall run from the Separation Date, and Section 5 (a) only is replaced in its entirety with the following restriction: During the Restricted Period, Employee shall not, </w:t>
      </w:r>
      <w:r>
        <w:rPr>
          <w:rFonts w:ascii="Arial" w:cs="Arial" w:eastAsia="Arial" w:hAnsi="Arial"/>
          <w:sz w:val="19"/>
          <w:szCs w:val="19"/>
          <w:u w:val="single" w:color="auto"/>
          <w:color w:val="auto"/>
        </w:rPr>
        <w:t>without the prior consent of Employer (which may be delivered via email)</w:t>
      </w:r>
      <w:r>
        <w:rPr>
          <w:rFonts w:ascii="Arial" w:cs="Arial" w:eastAsia="Arial" w:hAnsi="Arial"/>
          <w:sz w:val="19"/>
          <w:szCs w:val="19"/>
          <w:color w:val="auto"/>
        </w:rPr>
        <w:t>, directly or indirectly, together or separately or with any third party, whether as an employee, individual proprietor, partner, stockholder, officer, director, advisor, investor, or any other capacity whatsoever, actively engage in business or assist anyone or any firm in connection with the following list of entities: TotalEnergies, Castrol, Fuchs, Henkel, MKS Atotech, BASF Chemetall Surventis, Element Solutions, Nihon Parkerizing, Daido, Yushiro, Moresco, Petrofer, Dubois, Blaser, Kodiak, Chemtrend (Freundenberg), Kluber (Freudenberg), Godfrey and Wing, Qualichem (Yushiro), Idemitsu, ,Kluthe, , and CSW Industrials (Whitmore), and any private equity firm or other investor seeking to invest in Employer. Nothing in this Agreement shall prohibit Employee from serving as an operating executive, advisor, board member, consultant, operating partner, or executive partner to any private equity firm or other investment vehicle, provided that during the Restricted Period, Employee is not involved in, advising on, planning for, financing, or managing an acquisition of or investment in Employer. For the avoidance of doubt, this Section 8 amends and replaces Section 5(a) only of the MOE. Employee's general employment by or affiliation with a private equity firm that may, independently of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16"/>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9816"/>
          </w:cols>
          <w:pgMar w:left="1364" w:top="1440" w:right="719" w:bottom="1440" w:gutter="0" w:footer="0" w:header="0"/>
        </w:sectPr>
      </w:pPr>
    </w:p>
    <w:bookmarkStart w:id="54" w:name="page55"/>
    <w:bookmarkEnd w:id="54"/>
    <w:p>
      <w:pPr>
        <w:ind w:left="656"/>
        <w:spacing w:after="0"/>
        <w:rPr>
          <w:sz w:val="20"/>
          <w:szCs w:val="20"/>
          <w:color w:val="auto"/>
        </w:rPr>
      </w:pPr>
      <w:r>
        <w:rPr>
          <w:rFonts w:ascii="Arial" w:cs="Arial" w:eastAsia="Arial" w:hAnsi="Arial"/>
          <w:sz w:val="20"/>
          <w:szCs w:val="20"/>
          <w:color w:val="auto"/>
        </w:rPr>
        <w:t xml:space="preserve">involvement, evaluate during the Restricted Period </w:t>
      </w:r>
      <w:r>
        <w:rPr>
          <w:rFonts w:ascii="Arial" w:cs="Arial" w:eastAsia="Arial" w:hAnsi="Arial"/>
          <w:sz w:val="20"/>
          <w:szCs w:val="20"/>
          <w:color w:val="auto"/>
          <w:strike w:val="1"/>
        </w:rPr>
        <w:t>or pursue</w:t>
      </w:r>
      <w:r>
        <w:rPr>
          <w:rFonts w:ascii="Arial" w:cs="Arial" w:eastAsia="Arial" w:hAnsi="Arial"/>
          <w:sz w:val="20"/>
          <w:szCs w:val="20"/>
          <w:color w:val="auto"/>
        </w:rPr>
        <w:t xml:space="preserve"> an investment in Employer shall</w:t>
      </w:r>
    </w:p>
    <w:p>
      <w:pPr>
        <w:spacing w:after="0" w:line="364" w:lineRule="exact"/>
        <w:rPr>
          <w:sz w:val="20"/>
          <w:szCs w:val="20"/>
          <w:color w:val="auto"/>
        </w:rPr>
      </w:pPr>
    </w:p>
    <w:p>
      <w:pPr>
        <w:jc w:val="both"/>
        <w:ind w:left="656"/>
        <w:spacing w:after="0" w:line="479" w:lineRule="auto"/>
        <w:rPr>
          <w:sz w:val="20"/>
          <w:szCs w:val="20"/>
          <w:color w:val="auto"/>
        </w:rPr>
      </w:pPr>
      <w:r>
        <w:rPr>
          <w:rFonts w:ascii="Arial" w:cs="Arial" w:eastAsia="Arial" w:hAnsi="Arial"/>
          <w:sz w:val="20"/>
          <w:szCs w:val="20"/>
          <w:color w:val="auto"/>
        </w:rPr>
        <w:t>not constitute a breach of this provision, so long as Employee complies with this Section 8. Should Employer determine, within its discretion, that Employee has breached any obligations under this Agreement or the MOE (as amended above), Employer shall notify Employee in writing. All other provisions of the MOE shall remain in full force and effect as originally executed.</w:t>
      </w:r>
    </w:p>
    <w:p>
      <w:pPr>
        <w:jc w:val="both"/>
        <w:ind w:left="656" w:hanging="656"/>
        <w:spacing w:after="0" w:line="481" w:lineRule="auto"/>
        <w:tabs>
          <w:tab w:leader="none" w:pos="659" w:val="left"/>
        </w:tabs>
        <w:numPr>
          <w:ilvl w:val="0"/>
          <w:numId w:val="24"/>
        </w:numPr>
        <w:rPr>
          <w:rFonts w:ascii="Arial" w:cs="Arial" w:eastAsia="Arial" w:hAnsi="Arial"/>
          <w:sz w:val="20"/>
          <w:szCs w:val="20"/>
          <w:color w:val="auto"/>
        </w:rPr>
      </w:pPr>
      <w:r>
        <w:rPr>
          <w:rFonts w:ascii="Arial" w:cs="Arial" w:eastAsia="Arial" w:hAnsi="Arial"/>
          <w:sz w:val="20"/>
          <w:szCs w:val="20"/>
          <w:color w:val="auto"/>
        </w:rPr>
        <w:t>Employee acknowledges that Employee was given forty-five (45) days to review, sign and return this Agreement since receiving it, and that Employee has reviewed it with an attorney to the extent Employee chose to do so. Employee also acknowledges that Employee has been instructed not to sign or return the signed Agreement to Employer before the close of business on the Separation Date. Employee acknowledges that Employee has seven (7) days after Employee signs and delivers the Agreement (the “Revocation Period”) to revoke it by notifying Employer in writing. The Agreement is not effective or enforceable until the Revocation Period has expired.</w:t>
      </w:r>
    </w:p>
    <w:p>
      <w:pPr>
        <w:jc w:val="both"/>
        <w:ind w:left="656" w:hanging="656"/>
        <w:spacing w:after="0" w:line="482" w:lineRule="auto"/>
        <w:tabs>
          <w:tab w:leader="none" w:pos="674"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 the event of any actual or threatened default in or breach of any of the covenants or agreements in this Agreement, Employer shall have the right of specific performance and injunctive relief from a court of competent jurisdiction giving effect to Employer’s rights under this Agreement without the need to post bond, in addition to any and all other rights and remedies which shall be cumulative. Employee agrees that any such breach or threatened breach would cause irreparable injury, that the remedies at law for any such breach or threatened breach, including monetary damages, are inadequate compensation for any loss and that any defense in any action for specific performance that a remedy at law would be adequate is waived. Nothing in this paragraph shall be construed as a waiver by Employee of any defense to any claim by Employer that monetary damages are inadequate compensation for a breach of the nondisparagement provision in paragraph 7 of this Agreement.</w:t>
      </w:r>
    </w:p>
    <w:p>
      <w:pPr>
        <w:spacing w:after="0" w:line="200" w:lineRule="exact"/>
        <w:rPr>
          <w:sz w:val="20"/>
          <w:szCs w:val="20"/>
          <w:color w:val="auto"/>
        </w:rPr>
      </w:pPr>
    </w:p>
    <w:p>
      <w:pPr>
        <w:spacing w:after="0" w:line="387" w:lineRule="exact"/>
        <w:rPr>
          <w:sz w:val="20"/>
          <w:szCs w:val="20"/>
          <w:color w:val="auto"/>
        </w:rPr>
      </w:pPr>
    </w:p>
    <w:p>
      <w:pPr>
        <w:ind w:left="4516"/>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816"/>
          </w:cols>
          <w:pgMar w:left="1364" w:top="1414" w:right="719" w:bottom="1440" w:gutter="0" w:footer="0" w:header="0"/>
        </w:sectPr>
      </w:pPr>
    </w:p>
    <w:bookmarkStart w:id="55" w:name="page56"/>
    <w:bookmarkEnd w:id="55"/>
    <w:p>
      <w:pPr>
        <w:spacing w:after="0" w:line="96" w:lineRule="exact"/>
        <w:rPr>
          <w:sz w:val="20"/>
          <w:szCs w:val="20"/>
          <w:color w:val="auto"/>
        </w:rPr>
      </w:pPr>
    </w:p>
    <w:p>
      <w:pPr>
        <w:jc w:val="both"/>
        <w:ind w:left="656" w:right="40" w:hanging="656"/>
        <w:spacing w:after="0" w:line="504" w:lineRule="auto"/>
        <w:tabs>
          <w:tab w:leader="none" w:pos="659"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This Agreement shall be interpreted in accordance with the laws of the Commonwealth of Pennsylvania, without regard to choice of law principles. In the event of a breach of any provision of this Agreement, either party may institute an action to be decided by a judge of competent jurisdiction specifically to enforce any term or terms of this Agreement and/or to seek any damages for breach. Should any provision of this Agreement be declared illegal or unenforceable by any court of competent jurisdiction and cannot be modified to be enforceable, excluding the general release language, such provision shall immediately become null and void, leaving the remainder of this Agreement in full force and effect.</w:t>
      </w:r>
    </w:p>
    <w:p>
      <w:pPr>
        <w:spacing w:after="0" w:line="1" w:lineRule="exact"/>
        <w:rPr>
          <w:rFonts w:ascii="Arial" w:cs="Arial" w:eastAsia="Arial" w:hAnsi="Arial"/>
          <w:sz w:val="19"/>
          <w:szCs w:val="19"/>
          <w:color w:val="auto"/>
        </w:rPr>
      </w:pPr>
    </w:p>
    <w:p>
      <w:pPr>
        <w:jc w:val="both"/>
        <w:ind w:left="656" w:hanging="656"/>
        <w:spacing w:after="0" w:line="479" w:lineRule="auto"/>
        <w:tabs>
          <w:tab w:leader="none" w:pos="674" w:val="left"/>
        </w:tabs>
        <w:numPr>
          <w:ilvl w:val="0"/>
          <w:numId w:val="25"/>
        </w:numPr>
        <w:rPr>
          <w:rFonts w:ascii="Arial" w:cs="Arial" w:eastAsia="Arial" w:hAnsi="Arial"/>
          <w:sz w:val="20"/>
          <w:szCs w:val="20"/>
          <w:color w:val="auto"/>
        </w:rPr>
      </w:pPr>
      <w:r>
        <w:rPr>
          <w:rFonts w:ascii="Arial" w:cs="Arial" w:eastAsia="Arial" w:hAnsi="Arial"/>
          <w:sz w:val="20"/>
          <w:szCs w:val="20"/>
          <w:color w:val="auto"/>
        </w:rPr>
        <w:t>Nothing in this Agreement prohibits or prevents Employee from filing a charge with or participating, testifying, or assisting in any investigation, hearing, or other proceeding before any federal, state, or local government agency including the Equal Employment Opportunity Commission, or comparable state or local agencies, or the National Labor Relations Board. However, to the maximum extent permitted by law, Employee agrees that if such an administrative claim is made, Employee shall not be entitled to recover any individual monetary relief or other individual remedies.</w:t>
      </w:r>
    </w:p>
    <w:p>
      <w:pPr>
        <w:jc w:val="both"/>
        <w:ind w:left="656" w:hanging="656"/>
        <w:spacing w:after="0" w:line="510" w:lineRule="auto"/>
        <w:tabs>
          <w:tab w:leader="none" w:pos="674" w:val="left"/>
        </w:tabs>
        <w:numPr>
          <w:ilvl w:val="0"/>
          <w:numId w:val="25"/>
        </w:numPr>
        <w:rPr>
          <w:rFonts w:ascii="Arial" w:cs="Arial" w:eastAsia="Arial" w:hAnsi="Arial"/>
          <w:sz w:val="19"/>
          <w:szCs w:val="19"/>
          <w:color w:val="auto"/>
        </w:rPr>
      </w:pPr>
      <w:r>
        <w:rPr>
          <w:rFonts w:ascii="Arial" w:cs="Arial" w:eastAsia="Arial" w:hAnsi="Arial"/>
          <w:sz w:val="19"/>
          <w:szCs w:val="19"/>
          <w:color w:val="auto"/>
        </w:rPr>
        <w:t>Employee has the right under federal law to certain protections for cooperating with or reporting legal violations to the Securities and Exchange Commission (the “SEC”) and/or its Office of the Whistleblower, as well as certain other governmental entities and self-regulatory organizations. As such, nothing in this Agreement or otherwise prohibits or limits Employee from disclosing this Agreement to, or from cooperating with or reporting violations to or initiating communications with, the SEC or any other such governmental entity or self-regulatory organization, and Employee may do so without notifying Employer. Neither Employer nor any of its subsidiaries or affiliates may retaliate against Employee for any of these activities, and nothing in this Agreement or otherwise requires Employee to waive any monetary award or other payment that Employee might become entitled to from the SEC or any other comparable</w:t>
      </w:r>
    </w:p>
    <w:p>
      <w:pPr>
        <w:spacing w:after="0" w:line="200" w:lineRule="exact"/>
        <w:rPr>
          <w:sz w:val="20"/>
          <w:szCs w:val="20"/>
          <w:color w:val="auto"/>
        </w:rPr>
      </w:pPr>
    </w:p>
    <w:p>
      <w:pPr>
        <w:spacing w:after="0" w:line="382" w:lineRule="exact"/>
        <w:rPr>
          <w:sz w:val="20"/>
          <w:szCs w:val="20"/>
          <w:color w:val="auto"/>
        </w:rPr>
      </w:pPr>
    </w:p>
    <w:p>
      <w:pPr>
        <w:ind w:left="4516"/>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856"/>
          </w:cols>
          <w:pgMar w:left="1364" w:top="1440" w:right="679" w:bottom="1440" w:gutter="0" w:footer="0" w:header="0"/>
        </w:sectPr>
      </w:pPr>
    </w:p>
    <w:bookmarkStart w:id="56" w:name="page57"/>
    <w:bookmarkEnd w:id="56"/>
    <w:p>
      <w:pPr>
        <w:spacing w:after="0" w:line="96" w:lineRule="exact"/>
        <w:rPr>
          <w:sz w:val="20"/>
          <w:szCs w:val="20"/>
          <w:color w:val="auto"/>
        </w:rPr>
      </w:pPr>
    </w:p>
    <w:p>
      <w:pPr>
        <w:jc w:val="both"/>
        <w:ind w:left="657"/>
        <w:spacing w:after="0" w:line="504" w:lineRule="auto"/>
        <w:rPr>
          <w:sz w:val="20"/>
          <w:szCs w:val="20"/>
          <w:color w:val="auto"/>
        </w:rPr>
      </w:pPr>
      <w:r>
        <w:rPr>
          <w:rFonts w:ascii="Arial" w:cs="Arial" w:eastAsia="Arial" w:hAnsi="Arial"/>
          <w:sz w:val="19"/>
          <w:szCs w:val="19"/>
          <w:color w:val="auto"/>
        </w:rPr>
        <w:t>governmental entity or self-regulatory organization. Moreover, nothing in this Agreement or otherwise prohibits Employee from notifying Employer that Employee is going to make a report or disclosure to law enforcement. Notwithstanding anything to the contrary in this Agreement or otherwise, as provided for in the Defend Trade Secrets Act of 2016 (18 U.S.C. § 1833(b)), Employee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Without limiting the foregoing, if Employee files a lawsuit for retaliation by Employer for reporting a suspected violation of law, Employee may disclose the trade secret to his or her attorney and use the trade secret information in the court proceeding, if Employee (x) files any document containing the trade secret under seal, and (y) does not disclose the trade secret, except pursuant to court order.</w:t>
      </w:r>
    </w:p>
    <w:p>
      <w:pPr>
        <w:spacing w:after="0" w:line="2" w:lineRule="exact"/>
        <w:rPr>
          <w:sz w:val="20"/>
          <w:szCs w:val="20"/>
          <w:color w:val="auto"/>
        </w:rPr>
      </w:pPr>
    </w:p>
    <w:p>
      <w:pPr>
        <w:jc w:val="both"/>
        <w:ind w:left="657" w:hanging="657"/>
        <w:spacing w:after="0" w:line="447" w:lineRule="auto"/>
        <w:tabs>
          <w:tab w:leader="none" w:pos="675" w:val="left"/>
        </w:tabs>
        <w:numPr>
          <w:ilvl w:val="0"/>
          <w:numId w:val="26"/>
        </w:numPr>
        <w:rPr>
          <w:rFonts w:ascii="Arial" w:cs="Arial" w:eastAsia="Arial" w:hAnsi="Arial"/>
          <w:sz w:val="20"/>
          <w:szCs w:val="20"/>
          <w:color w:val="auto"/>
        </w:rPr>
      </w:pPr>
      <w:r>
        <w:rPr>
          <w:rFonts w:ascii="Arial" w:cs="Arial" w:eastAsia="Arial" w:hAnsi="Arial"/>
          <w:sz w:val="20"/>
          <w:szCs w:val="20"/>
          <w:color w:val="auto"/>
        </w:rPr>
        <w:t>If any claim is not subject to release, to the extent permitted by law, Employee waives any right or ability to be a class or collective action representative or to otherwise participate in any putative or certified class, collective or multi-party action or proceeding based on such a claim in which the Employer or any other related entity identified in this Agreement is a party.</w:t>
      </w:r>
    </w:p>
    <w:p>
      <w:pPr>
        <w:spacing w:after="0" w:line="1" w:lineRule="exact"/>
        <w:rPr>
          <w:rFonts w:ascii="Arial" w:cs="Arial" w:eastAsia="Arial" w:hAnsi="Arial"/>
          <w:sz w:val="20"/>
          <w:szCs w:val="20"/>
          <w:color w:val="auto"/>
        </w:rPr>
      </w:pPr>
    </w:p>
    <w:p>
      <w:pPr>
        <w:ind w:left="657" w:hanging="657"/>
        <w:spacing w:after="0"/>
        <w:tabs>
          <w:tab w:leader="none" w:pos="657" w:val="left"/>
        </w:tabs>
        <w:numPr>
          <w:ilvl w:val="0"/>
          <w:numId w:val="26"/>
        </w:numPr>
        <w:rPr>
          <w:rFonts w:ascii="Arial" w:cs="Arial" w:eastAsia="Arial" w:hAnsi="Arial"/>
          <w:sz w:val="20"/>
          <w:szCs w:val="20"/>
          <w:color w:val="auto"/>
        </w:rPr>
      </w:pPr>
      <w:r>
        <w:rPr>
          <w:rFonts w:ascii="Arial" w:cs="Arial" w:eastAsia="Arial" w:hAnsi="Arial"/>
          <w:sz w:val="20"/>
          <w:szCs w:val="20"/>
          <w:color w:val="auto"/>
        </w:rPr>
        <w:t>By signing this Agreement, Employee certifies and acknowledges that:</w:t>
      </w:r>
    </w:p>
    <w:p>
      <w:pPr>
        <w:spacing w:after="0" w:line="377" w:lineRule="exact"/>
        <w:rPr>
          <w:rFonts w:ascii="Arial" w:cs="Arial" w:eastAsia="Arial" w:hAnsi="Arial"/>
          <w:sz w:val="20"/>
          <w:szCs w:val="20"/>
          <w:color w:val="auto"/>
        </w:rPr>
      </w:pPr>
    </w:p>
    <w:p>
      <w:pPr>
        <w:jc w:val="both"/>
        <w:ind w:left="977" w:right="40" w:hanging="329"/>
        <w:spacing w:after="0" w:line="450" w:lineRule="auto"/>
        <w:tabs>
          <w:tab w:leader="none" w:pos="992" w:val="left"/>
        </w:tabs>
        <w:numPr>
          <w:ilvl w:val="1"/>
          <w:numId w:val="26"/>
        </w:numPr>
        <w:rPr>
          <w:rFonts w:ascii="Arial" w:cs="Arial" w:eastAsia="Arial" w:hAnsi="Arial"/>
          <w:sz w:val="20"/>
          <w:szCs w:val="20"/>
          <w:color w:val="auto"/>
        </w:rPr>
      </w:pPr>
      <w:r>
        <w:rPr>
          <w:rFonts w:ascii="Arial" w:cs="Arial" w:eastAsia="Arial" w:hAnsi="Arial"/>
          <w:sz w:val="20"/>
          <w:szCs w:val="20"/>
          <w:color w:val="auto"/>
        </w:rPr>
        <w:t>Employee has read the terms of this Agreement completely and understands its terms and effects, including the fact that Employee has agreed to RELEASE and FOREVER DISCHARGE Employer and the Released Parties from any legal action arising out of Employee’s employment relationship with Employer, the terms and conditions of that employment relationship, and the termination of that employment relationship.</w:t>
      </w:r>
    </w:p>
    <w:p>
      <w:pPr>
        <w:spacing w:after="0" w:line="3" w:lineRule="exact"/>
        <w:rPr>
          <w:rFonts w:ascii="Arial" w:cs="Arial" w:eastAsia="Arial" w:hAnsi="Arial"/>
          <w:sz w:val="20"/>
          <w:szCs w:val="20"/>
          <w:color w:val="auto"/>
        </w:rPr>
      </w:pPr>
    </w:p>
    <w:p>
      <w:pPr>
        <w:ind w:left="977" w:hanging="329"/>
        <w:spacing w:after="0"/>
        <w:tabs>
          <w:tab w:leader="none" w:pos="977" w:val="left"/>
        </w:tabs>
        <w:numPr>
          <w:ilvl w:val="1"/>
          <w:numId w:val="26"/>
        </w:numPr>
        <w:rPr>
          <w:rFonts w:ascii="Arial" w:cs="Arial" w:eastAsia="Arial" w:hAnsi="Arial"/>
          <w:sz w:val="20"/>
          <w:szCs w:val="20"/>
          <w:color w:val="auto"/>
        </w:rPr>
      </w:pPr>
      <w:r>
        <w:rPr>
          <w:rFonts w:ascii="Arial" w:cs="Arial" w:eastAsia="Arial" w:hAnsi="Arial"/>
          <w:sz w:val="20"/>
          <w:szCs w:val="20"/>
          <w:color w:val="auto"/>
        </w:rPr>
        <w:t>Employee has had the opportunity to consider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517"/>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857"/>
          </w:cols>
          <w:pgMar w:left="1363" w:top="1440" w:right="679" w:bottom="1440" w:gutter="0" w:footer="0" w:header="0"/>
        </w:sectPr>
      </w:pPr>
    </w:p>
    <w:bookmarkStart w:id="57" w:name="page58"/>
    <w:bookmarkEnd w:id="57"/>
    <w:p>
      <w:pPr>
        <w:spacing w:after="0" w:line="96" w:lineRule="exact"/>
        <w:rPr>
          <w:sz w:val="20"/>
          <w:szCs w:val="20"/>
          <w:color w:val="auto"/>
        </w:rPr>
      </w:pPr>
    </w:p>
    <w:p>
      <w:pPr>
        <w:ind w:left="976" w:hanging="328"/>
        <w:spacing w:after="0" w:line="479" w:lineRule="auto"/>
        <w:tabs>
          <w:tab w:leader="none" w:pos="992" w:val="left"/>
        </w:tabs>
        <w:numPr>
          <w:ilvl w:val="2"/>
          <w:numId w:val="27"/>
        </w:numPr>
        <w:rPr>
          <w:rFonts w:ascii="Arial" w:cs="Arial" w:eastAsia="Arial" w:hAnsi="Arial"/>
          <w:sz w:val="20"/>
          <w:szCs w:val="20"/>
          <w:color w:val="auto"/>
        </w:rPr>
      </w:pPr>
      <w:r>
        <w:rPr>
          <w:rFonts w:ascii="Arial" w:cs="Arial" w:eastAsia="Arial" w:hAnsi="Arial"/>
          <w:sz w:val="20"/>
          <w:szCs w:val="20"/>
          <w:color w:val="auto"/>
        </w:rPr>
        <w:t>Employee affirms that Employee has not filed, caused to be filed, or presently is a party to any claim against the Employer.</w:t>
      </w:r>
    </w:p>
    <w:p>
      <w:pPr>
        <w:jc w:val="both"/>
        <w:ind w:left="976" w:hanging="328"/>
        <w:spacing w:after="0" w:line="476" w:lineRule="auto"/>
        <w:tabs>
          <w:tab w:leader="none" w:pos="976" w:val="left"/>
        </w:tabs>
        <w:numPr>
          <w:ilvl w:val="2"/>
          <w:numId w:val="27"/>
        </w:numPr>
        <w:rPr>
          <w:rFonts w:ascii="Arial" w:cs="Arial" w:eastAsia="Arial" w:hAnsi="Arial"/>
          <w:sz w:val="20"/>
          <w:szCs w:val="20"/>
          <w:color w:val="auto"/>
        </w:rPr>
      </w:pPr>
      <w:r>
        <w:rPr>
          <w:rFonts w:ascii="Arial" w:cs="Arial" w:eastAsia="Arial" w:hAnsi="Arial"/>
          <w:sz w:val="20"/>
          <w:szCs w:val="20"/>
          <w:color w:val="auto"/>
        </w:rPr>
        <w:t>Employee also affirms that Employee has been paid and/or has received all compensation, wages, bonuses, commissions, and/or benefits which are due and payable as of the date Employee signs this Agreement. Employee affirms that Employee has been granted any leave to which Employee was entitled under the Family and Medical Leave Act or related state or local leave or disability accommodation laws.</w:t>
      </w:r>
    </w:p>
    <w:p>
      <w:pPr>
        <w:ind w:left="996" w:hanging="347"/>
        <w:spacing w:after="0"/>
        <w:tabs>
          <w:tab w:leader="none" w:pos="996" w:val="left"/>
        </w:tabs>
        <w:numPr>
          <w:ilvl w:val="2"/>
          <w:numId w:val="27"/>
        </w:numPr>
        <w:rPr>
          <w:rFonts w:ascii="Arial" w:cs="Arial" w:eastAsia="Arial" w:hAnsi="Arial"/>
          <w:sz w:val="20"/>
          <w:szCs w:val="20"/>
          <w:color w:val="auto"/>
        </w:rPr>
      </w:pPr>
      <w:r>
        <w:rPr>
          <w:rFonts w:ascii="Arial" w:cs="Arial" w:eastAsia="Arial" w:hAnsi="Arial"/>
          <w:sz w:val="20"/>
          <w:szCs w:val="20"/>
          <w:color w:val="auto"/>
        </w:rPr>
        <w:t>Employee further affirms that Employee has no known workplace injuries or occupational diseases.</w:t>
      </w:r>
    </w:p>
    <w:p>
      <w:pPr>
        <w:spacing w:after="0" w:line="242" w:lineRule="exact"/>
        <w:rPr>
          <w:rFonts w:ascii="Arial" w:cs="Arial" w:eastAsia="Arial" w:hAnsi="Arial"/>
          <w:sz w:val="20"/>
          <w:szCs w:val="20"/>
          <w:color w:val="auto"/>
        </w:rPr>
      </w:pPr>
    </w:p>
    <w:p>
      <w:pPr>
        <w:jc w:val="both"/>
        <w:ind w:left="976" w:hanging="327"/>
        <w:spacing w:after="0" w:line="504" w:lineRule="auto"/>
        <w:tabs>
          <w:tab w:leader="none" w:pos="963" w:val="left"/>
        </w:tabs>
        <w:numPr>
          <w:ilvl w:val="2"/>
          <w:numId w:val="27"/>
        </w:numPr>
        <w:rPr>
          <w:rFonts w:ascii="Arial" w:cs="Arial" w:eastAsia="Arial" w:hAnsi="Arial"/>
          <w:sz w:val="19"/>
          <w:szCs w:val="19"/>
          <w:color w:val="auto"/>
        </w:rPr>
      </w:pPr>
      <w:r>
        <w:rPr>
          <w:rFonts w:ascii="Arial" w:cs="Arial" w:eastAsia="Arial" w:hAnsi="Arial"/>
          <w:sz w:val="19"/>
          <w:szCs w:val="19"/>
          <w:color w:val="auto"/>
        </w:rPr>
        <w:t>Employee also affirms that Employee has not divulged any proprietary or confidential information of Employer and will continue to maintain the confidentiality of such information consistent with statute and/or common law and Employee’s contractual obligations as set forth herein and in Section 4 (Covenant Not to Disclose) of the MOE, which provision shall remain in full force and effect. This Agreement constitutes written notice of termination of employment pursuant to Section 3 of the MOE.</w:t>
      </w:r>
    </w:p>
    <w:p>
      <w:pPr>
        <w:ind w:left="656" w:hanging="656"/>
        <w:spacing w:after="0" w:line="415" w:lineRule="auto"/>
        <w:tabs>
          <w:tab w:leader="none" w:pos="673" w:val="left"/>
        </w:tabs>
        <w:numPr>
          <w:ilvl w:val="1"/>
          <w:numId w:val="28"/>
        </w:numPr>
        <w:rPr>
          <w:rFonts w:ascii="Arial" w:cs="Arial" w:eastAsia="Arial" w:hAnsi="Arial"/>
          <w:sz w:val="20"/>
          <w:szCs w:val="20"/>
          <w:color w:val="auto"/>
        </w:rPr>
      </w:pPr>
      <w:r>
        <w:rPr>
          <w:rFonts w:ascii="Arial" w:cs="Arial" w:eastAsia="Arial" w:hAnsi="Arial"/>
          <w:sz w:val="20"/>
          <w:szCs w:val="20"/>
          <w:color w:val="auto"/>
        </w:rPr>
        <w:t>Employee further affirms that Employee has not been retaliated against for reporting any allegations of corporate fraud by Employer or its officers.</w:t>
      </w:r>
    </w:p>
    <w:p>
      <w:pPr>
        <w:spacing w:after="0" w:line="1" w:lineRule="exact"/>
        <w:rPr>
          <w:rFonts w:ascii="Arial" w:cs="Arial" w:eastAsia="Arial" w:hAnsi="Arial"/>
          <w:sz w:val="20"/>
          <w:szCs w:val="20"/>
          <w:color w:val="auto"/>
        </w:rPr>
      </w:pPr>
    </w:p>
    <w:p>
      <w:pPr>
        <w:ind w:left="676" w:hanging="675"/>
        <w:spacing w:after="0"/>
        <w:tabs>
          <w:tab w:leader="none" w:pos="676" w:val="left"/>
        </w:tabs>
        <w:numPr>
          <w:ilvl w:val="1"/>
          <w:numId w:val="29"/>
        </w:numPr>
        <w:rPr>
          <w:rFonts w:ascii="Arial" w:cs="Arial" w:eastAsia="Arial" w:hAnsi="Arial"/>
          <w:sz w:val="20"/>
          <w:szCs w:val="20"/>
          <w:color w:val="auto"/>
        </w:rPr>
      </w:pPr>
      <w:r>
        <w:rPr>
          <w:rFonts w:ascii="Arial" w:cs="Arial" w:eastAsia="Arial" w:hAnsi="Arial"/>
          <w:sz w:val="20"/>
          <w:szCs w:val="20"/>
          <w:color w:val="auto"/>
        </w:rPr>
        <w:t>Employee further agrees that:</w:t>
      </w:r>
    </w:p>
    <w:p>
      <w:pPr>
        <w:spacing w:after="0" w:line="377" w:lineRule="exact"/>
        <w:rPr>
          <w:rFonts w:ascii="Arial" w:cs="Arial" w:eastAsia="Arial" w:hAnsi="Arial"/>
          <w:sz w:val="20"/>
          <w:szCs w:val="20"/>
          <w:color w:val="auto"/>
        </w:rPr>
      </w:pPr>
    </w:p>
    <w:p>
      <w:pPr>
        <w:ind w:left="976" w:right="680" w:hanging="327"/>
        <w:spacing w:after="0" w:line="479" w:lineRule="auto"/>
        <w:tabs>
          <w:tab w:leader="none" w:pos="991" w:val="left"/>
        </w:tabs>
        <w:numPr>
          <w:ilvl w:val="2"/>
          <w:numId w:val="29"/>
        </w:numPr>
        <w:rPr>
          <w:rFonts w:ascii="Arial" w:cs="Arial" w:eastAsia="Arial" w:hAnsi="Arial"/>
          <w:sz w:val="20"/>
          <w:szCs w:val="20"/>
          <w:color w:val="auto"/>
        </w:rPr>
      </w:pPr>
      <w:r>
        <w:rPr>
          <w:rFonts w:ascii="Arial" w:cs="Arial" w:eastAsia="Arial" w:hAnsi="Arial"/>
          <w:sz w:val="20"/>
          <w:szCs w:val="20"/>
          <w:color w:val="auto"/>
        </w:rPr>
        <w:t>Employee has been advised to consult with an attorney prior to executing this Agreement and Employee has done so to the extent Employee chose to do so.</w:t>
      </w:r>
    </w:p>
    <w:p>
      <w:pPr>
        <w:ind w:left="976" w:right="160" w:hanging="328"/>
        <w:spacing w:after="0" w:line="479" w:lineRule="auto"/>
        <w:tabs>
          <w:tab w:leader="none" w:pos="976" w:val="left"/>
        </w:tabs>
        <w:numPr>
          <w:ilvl w:val="2"/>
          <w:numId w:val="29"/>
        </w:numPr>
        <w:rPr>
          <w:rFonts w:ascii="Arial" w:cs="Arial" w:eastAsia="Arial" w:hAnsi="Arial"/>
          <w:sz w:val="20"/>
          <w:szCs w:val="20"/>
          <w:color w:val="auto"/>
        </w:rPr>
      </w:pPr>
      <w:r>
        <w:rPr>
          <w:rFonts w:ascii="Arial" w:cs="Arial" w:eastAsia="Arial" w:hAnsi="Arial"/>
          <w:sz w:val="20"/>
          <w:szCs w:val="20"/>
          <w:color w:val="auto"/>
        </w:rPr>
        <w:t>Employee understands and means everything that Employee said in this Agreement and Employee agrees to all its terms, and</w:t>
      </w:r>
    </w:p>
    <w:p>
      <w:pPr>
        <w:ind w:left="976" w:right="1000" w:hanging="328"/>
        <w:spacing w:after="0" w:line="511" w:lineRule="auto"/>
        <w:tabs>
          <w:tab w:leader="none" w:pos="994" w:val="left"/>
        </w:tabs>
        <w:numPr>
          <w:ilvl w:val="2"/>
          <w:numId w:val="29"/>
        </w:numPr>
        <w:rPr>
          <w:rFonts w:ascii="Arial" w:cs="Arial" w:eastAsia="Arial" w:hAnsi="Arial"/>
          <w:sz w:val="20"/>
          <w:szCs w:val="20"/>
          <w:color w:val="auto"/>
        </w:rPr>
      </w:pPr>
      <w:r>
        <w:rPr>
          <w:rFonts w:ascii="Arial" w:cs="Arial" w:eastAsia="Arial" w:hAnsi="Arial"/>
          <w:sz w:val="20"/>
          <w:szCs w:val="20"/>
          <w:color w:val="auto"/>
        </w:rPr>
        <w:t>Employee is not relying on Employer or any representative of Employer to explain this Agreement to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16"/>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9856"/>
          </w:cols>
          <w:pgMar w:left="1364" w:top="1440" w:right="679" w:bottom="1440" w:gutter="0" w:footer="0" w:header="0"/>
        </w:sectPr>
      </w:pPr>
    </w:p>
    <w:bookmarkStart w:id="58" w:name="page59"/>
    <w:bookmarkEnd w:id="58"/>
    <w:p>
      <w:pPr>
        <w:spacing w:after="0" w:line="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and intending to be legally bound hereby, the parties have executed the foregoing</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Agreement this 30th day of September, 2026.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EMPLOYEE</w:t>
      </w:r>
    </w:p>
    <w:p>
      <w:pPr>
        <w:spacing w:after="0" w:line="12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JEEWAT BIJLANI</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DATE: 09/30/2026</w:t>
      </w:r>
    </w:p>
    <w:p>
      <w:pPr>
        <w:spacing w:after="0" w:line="16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EMPLOYER</w:t>
      </w:r>
    </w:p>
    <w:p>
      <w:pPr>
        <w:spacing w:after="0" w:line="6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KRISTIN ROKOSKY</w:t>
      </w:r>
    </w:p>
    <w:p>
      <w:pPr>
        <w:spacing w:after="0" w:line="1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QUAKER HOUGHTON DBA</w:t>
      </w:r>
    </w:p>
    <w:p>
      <w:pPr>
        <w:spacing w:after="0" w:line="4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QUAKER HOUGHTON</w:t>
      </w:r>
    </w:p>
    <w:p>
      <w:pPr>
        <w:spacing w:after="0" w:line="10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DATE: 09/30/2026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600"/>
          </w:cols>
          <w:pgMar w:left="320" w:top="1440" w:right="97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5 TO CREDIT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 xml:space="preserve">THIS AMENDMENT NO. 5 TO CREDIT AGREEMENT </w:t>
      </w:r>
      <w:r>
        <w:rPr>
          <w:rFonts w:ascii="Times New Roman" w:cs="Times New Roman" w:eastAsia="Times New Roman" w:hAnsi="Times New Roman"/>
          <w:sz w:val="19"/>
          <w:szCs w:val="19"/>
          <w:color w:val="auto"/>
        </w:rPr>
        <w:t>(this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is made and entered into as of October 1, 2026 by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and among </w:t>
      </w:r>
      <w:r>
        <w:rPr>
          <w:rFonts w:ascii="Times New Roman" w:cs="Times New Roman" w:eastAsia="Times New Roman" w:hAnsi="Times New Roman"/>
          <w:sz w:val="20"/>
          <w:szCs w:val="20"/>
          <w:b w:val="1"/>
          <w:bCs w:val="1"/>
          <w:color w:val="auto"/>
        </w:rPr>
        <w:t>QUAKER CHEMICAL CORPORATION</w:t>
      </w:r>
      <w:r>
        <w:rPr>
          <w:rFonts w:ascii="Times New Roman" w:cs="Times New Roman" w:eastAsia="Times New Roman" w:hAnsi="Times New Roman"/>
          <w:sz w:val="20"/>
          <w:szCs w:val="20"/>
          <w:color w:val="auto"/>
        </w:rPr>
        <w:t>, a Pennsylvania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each guarantor party hereto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each lender party hereto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individually,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general administrative agent (in such capacity, the “</w:t>
      </w:r>
      <w:r>
        <w:rPr>
          <w:rFonts w:ascii="Times New Roman" w:cs="Times New Roman" w:eastAsia="Times New Roman" w:hAnsi="Times New Roman"/>
          <w:sz w:val="20"/>
          <w:szCs w:val="20"/>
          <w:u w:val="single" w:color="auto"/>
          <w:color w:val="auto"/>
        </w:rPr>
        <w:t>General Administrative Agent</w:t>
      </w:r>
      <w:r>
        <w:rPr>
          <w:rFonts w:ascii="Times New Roman" w:cs="Times New Roman" w:eastAsia="Times New Roman" w:hAnsi="Times New Roman"/>
          <w:sz w:val="20"/>
          <w:szCs w:val="20"/>
          <w:color w:val="auto"/>
        </w:rPr>
        <w:t>”),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 as administrative agent for the Term B Facility (in such capacity, the “</w:t>
      </w:r>
      <w:r>
        <w:rPr>
          <w:rFonts w:ascii="Times New Roman" w:cs="Times New Roman" w:eastAsia="Times New Roman" w:hAnsi="Times New Roman"/>
          <w:sz w:val="20"/>
          <w:szCs w:val="20"/>
          <w:u w:val="single" w:color="auto"/>
          <w:color w:val="auto"/>
        </w:rPr>
        <w:t>Term Loan B Administrative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and, together with the General Administrative Agent, the “</w:t>
      </w:r>
      <w:r>
        <w:rPr>
          <w:rFonts w:ascii="Times New Roman" w:cs="Times New Roman" w:eastAsia="Times New Roman" w:hAnsi="Times New Roman"/>
          <w:sz w:val="20"/>
          <w:szCs w:val="20"/>
          <w:u w:val="single" w:color="auto"/>
          <w:color w:val="auto"/>
        </w:rPr>
        <w:t>Administrative Agents</w:t>
      </w:r>
      <w:r>
        <w:rPr>
          <w:rFonts w:ascii="Times New Roman" w:cs="Times New Roman" w:eastAsia="Times New Roman" w:hAnsi="Times New Roman"/>
          <w:sz w:val="20"/>
          <w:szCs w:val="20"/>
          <w:color w:val="auto"/>
        </w:rPr>
        <w:t>” and each, an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 I T N E S S E T H</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Borrowers, the General Administrative Agent, and the lenders from time to time party thereto have entered into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certain Credit Agreement dated as of August 1, 2019 (as amended, amended and restated, supplemented or otherwise modified from time to time, including pursuant to Amendment No. 1 to Credit Agreement, dated as of March 17, 2020, Amendment No. 2 to Credit Agreement (LIBOR Transition), dated as of December 10, 2021, Amendment No. 3 to Credit Agreement, dated as of June 17, 2022 and Amendment No. 4 to Credit Agreement, dated as of April 10, 2026,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and the Existing Credit Agreement as modified by this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all capitalized terms not otherwise defined herein shall have the meaning given thereto in the Amended Credit Agreement);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desires to amend the Existing Credit Agreement to, among other things, (i) establish a new senior secured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 dollar-denominated term loan B facility in an aggregate principal amount of $550,000,000 (the “</w:t>
      </w:r>
      <w:r>
        <w:rPr>
          <w:rFonts w:ascii="Times New Roman" w:cs="Times New Roman" w:eastAsia="Times New Roman" w:hAnsi="Times New Roman"/>
          <w:sz w:val="20"/>
          <w:szCs w:val="20"/>
          <w:u w:val="single" w:color="auto"/>
          <w:color w:val="auto"/>
        </w:rPr>
        <w:t>Term B Facility</w:t>
      </w:r>
      <w:r>
        <w:rPr>
          <w:rFonts w:ascii="Times New Roman" w:cs="Times New Roman" w:eastAsia="Times New Roman" w:hAnsi="Times New Roman"/>
          <w:sz w:val="20"/>
          <w:szCs w:val="20"/>
          <w:color w:val="auto"/>
        </w:rPr>
        <w:t>” and the loans thereunder, the “</w:t>
      </w:r>
      <w:r>
        <w:rPr>
          <w:rFonts w:ascii="Times New Roman" w:cs="Times New Roman" w:eastAsia="Times New Roman" w:hAnsi="Times New Roman"/>
          <w:sz w:val="20"/>
          <w:szCs w:val="20"/>
          <w:u w:val="single" w:color="auto"/>
          <w:color w:val="auto"/>
        </w:rPr>
        <w:t>Term B Loans</w:t>
      </w:r>
      <w:r>
        <w:rPr>
          <w:rFonts w:ascii="Times New Roman" w:cs="Times New Roman" w:eastAsia="Times New Roman" w:hAnsi="Times New Roman"/>
          <w:sz w:val="20"/>
          <w:szCs w:val="20"/>
          <w:color w:val="auto"/>
        </w:rPr>
        <w:t>”), (ii) use the proceeds of the Term B Facility to repay in full all U.S. Term Loans (as defined in the Existing Credit Agreement) outstanding under the Existing Credit Agreement as of the Amendment No. 5 Effective Date (as defined below), together with any unpaid interest and fees in respect thereof that accrue to but not including the Amendment No. 5 Effective Date and (iii) effect certain other changes to the Existing Credit Agreement as set forth in the Amended Credit Agreement;</w:t>
      </w:r>
    </w:p>
    <w:p>
      <w:pPr>
        <w:spacing w:after="0" w:line="20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JPMorgan Chase Bank, N.A. has agreed to serve as the Term Loan B Administrative Agent under the Amended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with respect to the Term B Facility and Bank of America, N.A. hereby consents to the appointment of JPMorgan Chase Bank, N.A. as the Term Loan B Administrative Agent under the Amended Credit Agreement;</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Lenders signatory hereto (each, a “</w:t>
      </w:r>
      <w:r>
        <w:rPr>
          <w:rFonts w:ascii="Times New Roman" w:cs="Times New Roman" w:eastAsia="Times New Roman" w:hAnsi="Times New Roman"/>
          <w:sz w:val="20"/>
          <w:szCs w:val="20"/>
          <w:u w:val="single" w:color="auto"/>
          <w:color w:val="auto"/>
        </w:rPr>
        <w:t>Term B Lender</w:t>
      </w:r>
      <w:r>
        <w:rPr>
          <w:rFonts w:ascii="Times New Roman" w:cs="Times New Roman" w:eastAsia="Times New Roman" w:hAnsi="Times New Roman"/>
          <w:sz w:val="20"/>
          <w:szCs w:val="20"/>
          <w:color w:val="auto"/>
        </w:rPr>
        <w:t>”) have agreed to provide new Term B Commitments in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amount equal to the amount opposite such Lender’s name in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to the Amended Credit Agreement;</w:t>
      </w:r>
    </w:p>
    <w:p>
      <w:pPr>
        <w:spacing w:after="0" w:line="165" w:lineRule="exact"/>
        <w:rPr>
          <w:sz w:val="20"/>
          <w:szCs w:val="20"/>
          <w:color w:val="auto"/>
        </w:rPr>
      </w:pPr>
    </w:p>
    <w:p>
      <w:pPr>
        <w:ind w:right="260"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has requested that each Administrative Agent and the Lenders agree to amend the Existing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(including the Schedules and Exhibits) as set forth herein, and each Administrative Agent and the Lenders, subject to the terms and conditions contained herein, are willing to effect such amendment and modification on the terms and conditions contained in this Amendment;</w:t>
      </w:r>
    </w:p>
    <w:p>
      <w:pPr>
        <w:sectPr>
          <w:pgSz w:w="11900" w:h="16838" w:orient="portrait"/>
          <w:cols w:equalWidth="0" w:num="1">
            <w:col w:w="11240"/>
          </w:cols>
          <w:pgMar w:left="320" w:top="114" w:right="339" w:bottom="1440" w:gutter="0" w:footer="0" w:header="0"/>
        </w:sectPr>
      </w:pPr>
    </w:p>
    <w:bookmarkStart w:id="60" w:name="page61"/>
    <w:bookmarkEnd w:id="60"/>
    <w:p>
      <w:pPr>
        <w:ind w:right="20" w:firstLine="648"/>
        <w:spacing w:after="0" w:line="26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JPMorgan Chase Bank, N.A., BofA Securities, Inc., Citibank, N.A., Citizens Bank, N.A., PNC Capital Markets LLC,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TD Securities (USA) LLC, U.S. Bank National Association, Wells Fargo Securities, LLC, Deutsche Bank Securities Inc. and Morgan Stanley Senior Funding, Inc. are the joint lead arrangers and joint bookrunners for this Amendment and the Term B Loans (the “</w:t>
      </w:r>
      <w:r>
        <w:rPr>
          <w:rFonts w:ascii="Times New Roman" w:cs="Times New Roman" w:eastAsia="Times New Roman" w:hAnsi="Times New Roman"/>
          <w:sz w:val="19"/>
          <w:szCs w:val="19"/>
          <w:u w:val="single" w:color="auto"/>
          <w:color w:val="auto"/>
        </w:rPr>
        <w:t>Amendment No. 5</w:t>
      </w:r>
    </w:p>
    <w:p>
      <w:pPr>
        <w:spacing w:after="0"/>
        <w:rPr>
          <w:sz w:val="20"/>
          <w:szCs w:val="20"/>
          <w:color w:val="auto"/>
        </w:rPr>
      </w:pP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and</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Loan Parties are willing to execute and deliver this Amendment;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THEREFORE</w:t>
      </w:r>
      <w:r>
        <w:rPr>
          <w:rFonts w:ascii="Times New Roman" w:cs="Times New Roman" w:eastAsia="Times New Roman" w:hAnsi="Times New Roman"/>
          <w:sz w:val="20"/>
          <w:szCs w:val="20"/>
          <w:color w:val="auto"/>
        </w:rPr>
        <w:t>, in consideration of the premises and the terms hereof, the parties hereto agree as follows:</w:t>
      </w:r>
    </w:p>
    <w:p>
      <w:pPr>
        <w:spacing w:after="0" w:line="216"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w:t>
      </w:r>
      <w:r>
        <w:rPr>
          <w:rFonts w:ascii="Times New Roman" w:cs="Times New Roman" w:eastAsia="Times New Roman" w:hAnsi="Times New Roman"/>
          <w:sz w:val="20"/>
          <w:szCs w:val="20"/>
          <w:color w:val="auto"/>
        </w:rPr>
        <w:t>. Subject to the terms and conditions set forth herein:</w:t>
      </w:r>
    </w:p>
    <w:p>
      <w:pPr>
        <w:spacing w:after="0" w:line="17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is hereby amended to be as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Schedule 2.01 to the Existing Credit Agreement is hereby amended to include the information set forth on </w:t>
      </w:r>
      <w:r>
        <w:rPr>
          <w:rFonts w:ascii="Times New Roman" w:cs="Times New Roman" w:eastAsia="Times New Roman" w:hAnsi="Times New Roman"/>
          <w:sz w:val="19"/>
          <w:szCs w:val="19"/>
          <w:u w:val="single" w:color="auto"/>
          <w:color w:val="auto"/>
        </w:rPr>
        <w:t>Exhibit B</w:t>
      </w:r>
    </w:p>
    <w:p>
      <w:pPr>
        <w:spacing w:after="0" w:line="6"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hereto;</w:t>
      </w:r>
    </w:p>
    <w:p>
      <w:pPr>
        <w:spacing w:after="0" w:line="153"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Schedule 10.02 to the Existing Credit Agreement is hereby amended and restated in its entirety as set forth in </w:t>
      </w:r>
      <w:r>
        <w:rPr>
          <w:rFonts w:ascii="Times New Roman" w:cs="Times New Roman" w:eastAsia="Times New Roman" w:hAnsi="Times New Roman"/>
          <w:sz w:val="19"/>
          <w:szCs w:val="19"/>
          <w:u w:val="single" w:color="auto"/>
          <w:color w:val="auto"/>
        </w:rPr>
        <w:t>Exhibit</w:t>
      </w:r>
    </w:p>
    <w:p>
      <w:pPr>
        <w:spacing w:after="0" w:line="6"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hereto; and</w:t>
      </w:r>
    </w:p>
    <w:p>
      <w:pPr>
        <w:spacing w:after="0" w:line="166" w:lineRule="exact"/>
        <w:rPr>
          <w:rFonts w:ascii="Times New Roman" w:cs="Times New Roman" w:eastAsia="Times New Roman" w:hAnsi="Times New Roman"/>
          <w:sz w:val="19"/>
          <w:szCs w:val="19"/>
          <w:color w:val="auto"/>
        </w:rPr>
      </w:pPr>
    </w:p>
    <w:p>
      <w:pPr>
        <w:ind w:left="660" w:right="640" w:firstLine="644"/>
        <w:spacing w:after="0" w:line="233" w:lineRule="auto"/>
        <w:tabs>
          <w:tab w:leader="none" w:pos="194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Exhibits to the Existing Credit Agreement are hereby amended and restated in their entirety as set forth in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w:t>
      </w:r>
    </w:p>
    <w:p>
      <w:pPr>
        <w:spacing w:after="0" w:line="39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Effectiveness; Conditions Precedent</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right="140" w:firstLine="648"/>
        <w:spacing w:after="0" w:line="310" w:lineRule="auto"/>
        <w:rPr>
          <w:sz w:val="20"/>
          <w:szCs w:val="20"/>
          <w:color w:val="auto"/>
        </w:rPr>
      </w:pPr>
      <w:r>
        <w:rPr>
          <w:rFonts w:ascii="Times New Roman" w:cs="Times New Roman" w:eastAsia="Times New Roman" w:hAnsi="Times New Roman"/>
          <w:sz w:val="19"/>
          <w:szCs w:val="19"/>
          <w:color w:val="auto"/>
        </w:rPr>
        <w:t xml:space="preserve">The effectiveness of this Amendment and the amendment to the Existing Credit Agreement provided in </w:t>
      </w:r>
      <w:r>
        <w:rPr>
          <w:rFonts w:ascii="Times New Roman" w:cs="Times New Roman" w:eastAsia="Times New Roman" w:hAnsi="Times New Roman"/>
          <w:sz w:val="19"/>
          <w:szCs w:val="19"/>
          <w:u w:val="single" w:color="auto"/>
          <w:color w:val="auto"/>
        </w:rPr>
        <w:t>Section 1</w:t>
      </w:r>
      <w:r>
        <w:rPr>
          <w:rFonts w:ascii="Times New Roman" w:cs="Times New Roman" w:eastAsia="Times New Roman" w:hAnsi="Times New Roman"/>
          <w:sz w:val="19"/>
          <w:szCs w:val="19"/>
          <w:color w:val="auto"/>
        </w:rPr>
        <w:t xml:space="preserve"> hereof are subject to the satisfaction of the following conditions precedent (the date of such satisfaction being the “</w:t>
      </w:r>
      <w:r>
        <w:rPr>
          <w:rFonts w:ascii="Times New Roman" w:cs="Times New Roman" w:eastAsia="Times New Roman" w:hAnsi="Times New Roman"/>
          <w:sz w:val="19"/>
          <w:szCs w:val="19"/>
          <w:u w:val="single" w:color="auto"/>
          <w:color w:val="auto"/>
        </w:rPr>
        <w:t>Amendment No. 5 Effective Date</w:t>
      </w:r>
      <w:r>
        <w:rPr>
          <w:rFonts w:ascii="Times New Roman" w:cs="Times New Roman" w:eastAsia="Times New Roman" w:hAnsi="Times New Roman"/>
          <w:sz w:val="19"/>
          <w:szCs w:val="19"/>
          <w:color w:val="auto"/>
        </w:rPr>
        <w:t>”):</w:t>
      </w:r>
    </w:p>
    <w:p>
      <w:pPr>
        <w:spacing w:after="0" w:line="124" w:lineRule="exact"/>
        <w:rPr>
          <w:sz w:val="20"/>
          <w:szCs w:val="20"/>
          <w:color w:val="auto"/>
        </w:rPr>
      </w:pPr>
    </w:p>
    <w:p>
      <w:pPr>
        <w:ind w:left="660" w:firstLine="644"/>
        <w:spacing w:after="0" w:line="216" w:lineRule="auto"/>
        <w:tabs>
          <w:tab w:leader="none" w:pos="194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Administrative Agent shall have received the following, each of which shall be originals or PDFs or telecopies (in each case, followed promptly by originals) unless otherwise specified, each properly executed by a Responsible Officer of the signing Loan Party, each dated as of the Amendment No. 5 Effective Date (or, in the case of certificates of governmental officials or authorizing resolutions, a recent date before the Amendment No. 5 Effective Date and, in the case of authorizing resolutions, certified to by a Responsible Officer as of the Amendment No. 5 Effective Date) and each in form and substance satisfactory to the Administrative Agents and each of the Lenders:</w:t>
      </w:r>
    </w:p>
    <w:p>
      <w:pPr>
        <w:spacing w:after="0" w:line="162" w:lineRule="exact"/>
        <w:rPr>
          <w:rFonts w:ascii="Times New Roman" w:cs="Times New Roman" w:eastAsia="Times New Roman" w:hAnsi="Times New Roman"/>
          <w:sz w:val="20"/>
          <w:szCs w:val="20"/>
          <w:color w:val="auto"/>
        </w:rPr>
      </w:pPr>
    </w:p>
    <w:p>
      <w:pPr>
        <w:ind w:left="2000" w:hanging="619"/>
        <w:spacing w:after="0"/>
        <w:tabs>
          <w:tab w:leader="none" w:pos="200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this Amendment;</w:t>
      </w:r>
    </w:p>
    <w:p>
      <w:pPr>
        <w:spacing w:after="0" w:line="175" w:lineRule="exact"/>
        <w:rPr>
          <w:rFonts w:ascii="Times New Roman" w:cs="Times New Roman" w:eastAsia="Times New Roman" w:hAnsi="Times New Roman"/>
          <w:sz w:val="20"/>
          <w:szCs w:val="20"/>
          <w:color w:val="auto"/>
        </w:rPr>
      </w:pPr>
    </w:p>
    <w:p>
      <w:pPr>
        <w:ind w:left="1940" w:hanging="559"/>
        <w:spacing w:after="0"/>
        <w:tabs>
          <w:tab w:leader="none" w:pos="19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740" w:right="120" w:firstLine="641"/>
        <w:spacing w:after="0" w:line="222" w:lineRule="auto"/>
        <w:tabs>
          <w:tab w:leader="none" w:pos="1955"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certificates of resolutions or other action, incumbency certificates and/or other certificates of Responsible Officers of the Company and each Guarantor as the Administrative Agents may require evidencing the identity, authority and capacity of each Responsible Officer thereof authorized to act as a Responsible Officer in connection with this Amendment and the other Loan Documents to which the Company or Guarantor is a party or is to be a party;</w:t>
      </w:r>
    </w:p>
    <w:p>
      <w:pPr>
        <w:spacing w:after="0" w:line="161" w:lineRule="exact"/>
        <w:rPr>
          <w:rFonts w:ascii="Times New Roman" w:cs="Times New Roman" w:eastAsia="Times New Roman" w:hAnsi="Times New Roman"/>
          <w:sz w:val="20"/>
          <w:szCs w:val="20"/>
          <w:color w:val="auto"/>
        </w:rPr>
      </w:pPr>
    </w:p>
    <w:p>
      <w:pPr>
        <w:ind w:left="740" w:right="300" w:firstLine="641"/>
        <w:spacing w:after="0" w:line="226" w:lineRule="auto"/>
        <w:tabs>
          <w:tab w:leader="none" w:pos="1957"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documents and certifications as the Administrative Agents may reasonably require to evidence that the Company and each Guarantor is duly organized or formed, and that the Company and each Guarantor is validly existing, in good standing and qualified to engage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61" w:name="page62"/>
    <w:bookmarkEnd w:id="61"/>
    <w:p>
      <w:pPr>
        <w:ind w:left="84" w:right="620"/>
        <w:spacing w:after="0" w:line="266" w:lineRule="auto"/>
        <w:rPr>
          <w:sz w:val="20"/>
          <w:szCs w:val="20"/>
          <w:color w:val="auto"/>
        </w:rPr>
      </w:pPr>
      <w:r>
        <w:rPr>
          <w:rFonts w:ascii="Times New Roman" w:cs="Times New Roman" w:eastAsia="Times New Roman" w:hAnsi="Times New Roman"/>
          <w:sz w:val="19"/>
          <w:szCs w:val="19"/>
          <w:color w:val="auto"/>
        </w:rPr>
        <w:t>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23" w:lineRule="exact"/>
        <w:rPr>
          <w:sz w:val="20"/>
          <w:szCs w:val="20"/>
          <w:color w:val="auto"/>
        </w:rPr>
      </w:pPr>
    </w:p>
    <w:p>
      <w:pPr>
        <w:ind w:left="84" w:right="800" w:firstLine="641"/>
        <w:spacing w:after="0"/>
        <w:tabs>
          <w:tab w:leader="none" w:pos="1300"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customary opinion of Faegre Drinker Biddle &amp; Reath LLP, counsel to the Loan Parties, addressed to each Administrative Agent and each Lender, dated as of the Amendment No. 5 Effective Date;</w:t>
      </w:r>
    </w:p>
    <w:p>
      <w:pPr>
        <w:spacing w:after="0" w:line="142" w:lineRule="exact"/>
        <w:rPr>
          <w:rFonts w:ascii="Times New Roman" w:cs="Times New Roman" w:eastAsia="Times New Roman" w:hAnsi="Times New Roman"/>
          <w:sz w:val="20"/>
          <w:szCs w:val="20"/>
          <w:color w:val="auto"/>
        </w:rPr>
      </w:pPr>
    </w:p>
    <w:p>
      <w:pPr>
        <w:ind w:left="1304" w:hanging="579"/>
        <w:spacing w:after="0"/>
        <w:tabs>
          <w:tab w:leader="none" w:pos="1304"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Responsible Officer certifying that the conditions specified in Sections 2(b) and (e) hereof have</w:t>
      </w:r>
    </w:p>
    <w:p>
      <w:pPr>
        <w:ind w:left="8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been satisfied;</w:t>
      </w:r>
    </w:p>
    <w:p>
      <w:pPr>
        <w:spacing w:after="0" w:line="166" w:lineRule="exact"/>
        <w:rPr>
          <w:rFonts w:ascii="Times New Roman" w:cs="Times New Roman" w:eastAsia="Times New Roman" w:hAnsi="Times New Roman"/>
          <w:sz w:val="20"/>
          <w:szCs w:val="20"/>
          <w:color w:val="auto"/>
        </w:rPr>
      </w:pPr>
    </w:p>
    <w:p>
      <w:pPr>
        <w:ind w:left="84" w:right="260" w:firstLine="641"/>
        <w:spacing w:after="0"/>
        <w:tabs>
          <w:tab w:leader="none" w:pos="1302"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solvency certificate substantially in the form of Exhibit G to the Amended Credit Agreement signed by the chief financial officer of the Company;</w:t>
      </w:r>
    </w:p>
    <w:p>
      <w:pPr>
        <w:spacing w:after="0" w:line="147" w:lineRule="exact"/>
        <w:rPr>
          <w:rFonts w:ascii="Times New Roman" w:cs="Times New Roman" w:eastAsia="Times New Roman" w:hAnsi="Times New Roman"/>
          <w:sz w:val="20"/>
          <w:szCs w:val="20"/>
          <w:color w:val="auto"/>
        </w:rPr>
      </w:pPr>
    </w:p>
    <w:p>
      <w:pPr>
        <w:ind w:left="84" w:right="380" w:firstLine="641"/>
        <w:spacing w:after="0"/>
        <w:tabs>
          <w:tab w:leader="none" w:pos="1290"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UCC, tax and judgment Lien searches in each applicable jurisdiction reasonably requested by the Term Loan B Administrative Agent; and</w:t>
      </w:r>
    </w:p>
    <w:p>
      <w:pPr>
        <w:spacing w:after="0" w:line="161" w:lineRule="exact"/>
        <w:rPr>
          <w:rFonts w:ascii="Times New Roman" w:cs="Times New Roman" w:eastAsia="Times New Roman" w:hAnsi="Times New Roman"/>
          <w:sz w:val="20"/>
          <w:szCs w:val="20"/>
          <w:color w:val="auto"/>
        </w:rPr>
      </w:pPr>
    </w:p>
    <w:p>
      <w:pPr>
        <w:ind w:left="84" w:right="120" w:firstLine="641"/>
        <w:spacing w:after="0" w:line="226" w:lineRule="auto"/>
        <w:tabs>
          <w:tab w:leader="none" w:pos="1301"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Request for Credit Extension in accordance with the requirements of the Amended Credit Agreement (including the notice periods set forth in Section 2.02(a) with respect to the Term B Loans being requested on the Amendment No. 5 Effective Date);</w:t>
      </w:r>
    </w:p>
    <w:p>
      <w:pPr>
        <w:spacing w:after="0" w:line="160" w:lineRule="exact"/>
        <w:rPr>
          <w:rFonts w:ascii="Times New Roman" w:cs="Times New Roman" w:eastAsia="Times New Roman" w:hAnsi="Times New Roman"/>
          <w:sz w:val="20"/>
          <w:szCs w:val="20"/>
          <w:color w:val="auto"/>
        </w:rPr>
      </w:pPr>
    </w:p>
    <w:p>
      <w:pPr>
        <w:ind w:left="4" w:right="120" w:firstLine="644"/>
        <w:spacing w:after="0" w:line="233" w:lineRule="auto"/>
        <w:tabs>
          <w:tab w:leader="none" w:pos="1288"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2025, there shall not have occurred any event, change, circumstance, occurrence, effect or state of facts that, individually or in the aggregate, has had, or could reasonably be expected to have, a Material Adverse Effect;</w:t>
      </w:r>
    </w:p>
    <w:p>
      <w:pPr>
        <w:spacing w:after="0" w:line="160" w:lineRule="exact"/>
        <w:rPr>
          <w:rFonts w:ascii="Times New Roman" w:cs="Times New Roman" w:eastAsia="Times New Roman" w:hAnsi="Times New Roman"/>
          <w:sz w:val="20"/>
          <w:szCs w:val="20"/>
          <w:color w:val="auto"/>
        </w:rPr>
      </w:pPr>
    </w:p>
    <w:p>
      <w:pPr>
        <w:ind w:left="4" w:firstLine="644"/>
        <w:spacing w:after="0" w:line="219" w:lineRule="auto"/>
        <w:tabs>
          <w:tab w:leader="none" w:pos="129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Administrative Agent and the Lenders shall have received (i) at least one Business Day before the Amendment No.5 Effective Date all documentation and other information about the Loan Parties and their Subsidiaries that shall have been reasonably requested by the Administrative Agents or the Lenders in writing at least five (5) business days prior to the Amendment No. 5 Effective Date and that the Administrative Agents and the Lenders reasonably determine is required by applicable regulatory authorities under applicable “know your customer” and anti-money laundering rules and regulations, including without limitation the PATRIOT Act (provided that such information shall, to the extent requested at least ten (10) Business Days prior to the Amendment No. 5 Effective Date, have been provided at least five (5) Business Days prior to the Amendment No. 5 Effective Date) and (ii) a certification regarding beneficial ownership required by the Beneficial Ownership Regulation in relation to the Company, at least five</w:t>
      </w:r>
    </w:p>
    <w:p>
      <w:pPr>
        <w:spacing w:after="0" w:line="6" w:lineRule="exact"/>
        <w:rPr>
          <w:rFonts w:ascii="Times New Roman" w:cs="Times New Roman" w:eastAsia="Times New Roman" w:hAnsi="Times New Roman"/>
          <w:sz w:val="19"/>
          <w:szCs w:val="19"/>
          <w:color w:val="auto"/>
        </w:rPr>
      </w:pPr>
    </w:p>
    <w:p>
      <w:pPr>
        <w:ind w:left="4" w:right="360" w:hanging="4"/>
        <w:spacing w:after="0" w:line="228" w:lineRule="auto"/>
        <w:tabs>
          <w:tab w:leader="none" w:pos="28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prior to the Amendment No. 5 Effective Date, if the Company qualifies as a “legal entity customer” under the Beneficial Ownership Regulation as to such Lender.</w:t>
      </w:r>
    </w:p>
    <w:p>
      <w:pPr>
        <w:spacing w:after="0" w:line="148" w:lineRule="exact"/>
        <w:rPr>
          <w:rFonts w:ascii="Times New Roman" w:cs="Times New Roman" w:eastAsia="Times New Roman" w:hAnsi="Times New Roman"/>
          <w:sz w:val="20"/>
          <w:szCs w:val="20"/>
          <w:color w:val="auto"/>
        </w:rPr>
      </w:pPr>
    </w:p>
    <w:p>
      <w:pPr>
        <w:ind w:left="4" w:right="180" w:firstLine="644"/>
        <w:spacing w:after="0" w:line="218" w:lineRule="auto"/>
        <w:tabs>
          <w:tab w:leader="none" w:pos="1288"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fees and expenses (A) payable to the Administrative Agents (including the fees and expenses of counsel to the Administrative Agents, to the extent due and payable under </w:t>
      </w:r>
      <w:r>
        <w:rPr>
          <w:rFonts w:ascii="Times New Roman" w:cs="Times New Roman" w:eastAsia="Times New Roman" w:hAnsi="Times New Roman"/>
          <w:sz w:val="20"/>
          <w:szCs w:val="20"/>
          <w:u w:val="single" w:color="auto"/>
          <w:color w:val="auto"/>
        </w:rPr>
        <w:t>Section 10.04(a)</w:t>
      </w:r>
      <w:r>
        <w:rPr>
          <w:rFonts w:ascii="Times New Roman" w:cs="Times New Roman" w:eastAsia="Times New Roman" w:hAnsi="Times New Roman"/>
          <w:sz w:val="20"/>
          <w:szCs w:val="20"/>
          <w:color w:val="auto"/>
        </w:rPr>
        <w:t xml:space="preserve"> of the Amended Credit Agreement) estimated to date and for which invoices have been presented a reasonable period of time prior to the effectiveness hereof shall have been paid in full (without prejudice to final settling of accounts for such fees and expenses) and (B) required to be paid by the Company on the Amendment No. 5 Effective Date pursuant to the Engagement Letter and Fee Letters (each as defined in the Amended Credit Agreement) shall have been paid;</w:t>
      </w:r>
    </w:p>
    <w:p>
      <w:pPr>
        <w:spacing w:after="0" w:line="145"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set forth in Section 3 of this Amendment shall be true and correct in all material</w:t>
      </w:r>
    </w:p>
    <w:p>
      <w:pPr>
        <w:ind w:left="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respects; and</w:t>
      </w:r>
    </w:p>
    <w:p>
      <w:pPr>
        <w:spacing w:after="0" w:line="166" w:lineRule="exact"/>
        <w:rPr>
          <w:rFonts w:ascii="Times New Roman" w:cs="Times New Roman" w:eastAsia="Times New Roman" w:hAnsi="Times New Roman"/>
          <w:sz w:val="20"/>
          <w:szCs w:val="20"/>
          <w:color w:val="auto"/>
        </w:rPr>
      </w:pPr>
    </w:p>
    <w:p>
      <w:pPr>
        <w:ind w:left="4" w:firstLine="644"/>
        <w:spacing w:after="0" w:line="222" w:lineRule="auto"/>
        <w:tabs>
          <w:tab w:leader="none" w:pos="1295"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U.S. Term Loans (as defined in the Existing Credit Agreement) outstanding immediately prior to the Amendment No. 5 Effective Date shall be repaid, together with all accrued and unpaid interest on such Loans (as defined in the Existing Credit Agreement) with the proceeds of the Term B Loans borrowed on the Amendment No. 5 Effective Date and the Company shall have delivered to the Pro Rata Facilities Administrative Agent a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584"/>
          </w:cols>
          <w:pgMar w:left="976" w:top="1399"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20"/>
          <w:szCs w:val="20"/>
          <w:color w:val="auto"/>
        </w:rPr>
        <w:t>notice with respect to such repayment as required by Section 2.05 of the Existing Credit Agreement.</w:t>
      </w:r>
    </w:p>
    <w:p>
      <w:pPr>
        <w:spacing w:after="0" w:line="2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the conditions specified in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each Lender that has signed this Amendment shall be deemed to have consented to, approved or accepted or to be satisfied with, each document or other matter required hereunder to be consented to or approved by or acceptable or satisfactory to a Lender unless the Term Loan B Administrative Agent shall have received notice from such Lender prior to the Amendment No. 5 Effective Date specifying its objection thereto.</w:t>
      </w:r>
    </w:p>
    <w:p>
      <w:pPr>
        <w:spacing w:after="0" w:line="170"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In order to induce the Administrative Agents and the Lenders to enter into this Amendment, each Loan Party represents and warrants to the each Administrative Agent and the Lenders as follows:</w:t>
      </w:r>
    </w:p>
    <w:p>
      <w:pPr>
        <w:spacing w:after="0" w:line="159" w:lineRule="exact"/>
        <w:rPr>
          <w:sz w:val="20"/>
          <w:szCs w:val="20"/>
          <w:color w:val="auto"/>
        </w:rPr>
      </w:pPr>
    </w:p>
    <w:p>
      <w:pPr>
        <w:ind w:left="660" w:firstLine="644"/>
        <w:spacing w:after="0" w:line="224" w:lineRule="auto"/>
        <w:tabs>
          <w:tab w:leader="none" w:pos="1946" w:val="left"/>
        </w:tabs>
        <w:numPr>
          <w:ilvl w:val="1"/>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representations and warranties made by such Loan Party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of the Amended Credit Agreement or in any other Loan Document, or which are contained in any document delivered pursuant to the Amended Credit Agreement or another Loan Document, are, in each case, true and correct in all material respects on and as of the date hereof, except that (i) in the case of the representations and warranties qualified or modified as to materiality in the text thereof, such representations and warranties shall be true and correct in all respects, (ii) to the extent that such representations and warranties expressly relate to an earlier date, in which case they are true and correct in all material respects as of such earlier date and (iii) the representations and warranties contained in subsections (a) and (b) of Section 5.05 of the Amended Credit Agreement shall be deemed to refer to the most recent statements furnished pursuant to subsections (a) and (b), respectively of Section 6.01 of the Existing Credit Agreement;</w:t>
      </w:r>
    </w:p>
    <w:p>
      <w:pPr>
        <w:spacing w:after="0" w:line="164" w:lineRule="exact"/>
        <w:rPr>
          <w:rFonts w:ascii="Times New Roman" w:cs="Times New Roman" w:eastAsia="Times New Roman" w:hAnsi="Times New Roman"/>
          <w:sz w:val="19"/>
          <w:szCs w:val="19"/>
          <w:color w:val="auto"/>
        </w:rPr>
      </w:pPr>
    </w:p>
    <w:p>
      <w:pPr>
        <w:ind w:left="660" w:right="20" w:firstLine="644"/>
        <w:spacing w:after="0" w:line="226" w:lineRule="auto"/>
        <w:tabs>
          <w:tab w:leader="none" w:pos="194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authorized, executed and delivered by such Loan Party, and constitutes a legal, valid and binding obligation of each Loan Party, except as may be limited by bankruptcy, insolvency, reorganization, moratorium or similar laws relating to or limiting creditors’ rights generally or by equitable principles relating to enforceability; and</w:t>
      </w:r>
    </w:p>
    <w:p>
      <w:pPr>
        <w:spacing w:after="0" w:line="15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before and after giving effect to this Amendment, no Default or Event of Default has occurred and is</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149" w:lineRule="exact"/>
        <w:rPr>
          <w:rFonts w:ascii="Times New Roman" w:cs="Times New Roman" w:eastAsia="Times New Roman" w:hAnsi="Times New Roman"/>
          <w:sz w:val="20"/>
          <w:szCs w:val="20"/>
          <w:color w:val="auto"/>
        </w:rPr>
      </w:pPr>
    </w:p>
    <w:p>
      <w:pPr>
        <w:ind w:firstLine="656"/>
        <w:spacing w:after="0" w:line="226" w:lineRule="auto"/>
        <w:tabs>
          <w:tab w:leader="none" w:pos="1296"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color w:val="auto"/>
        </w:rPr>
        <w:t>. This Amendment is a Loan Document. This Amendment, together with all the other Loan Documents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(collectively, the “</w:t>
      </w:r>
      <w:r>
        <w:rPr>
          <w:rFonts w:ascii="Times New Roman" w:cs="Times New Roman" w:eastAsia="Times New Roman" w:hAnsi="Times New Roman"/>
          <w:sz w:val="19"/>
          <w:szCs w:val="19"/>
          <w:u w:val="single" w:color="auto"/>
          <w:color w:val="auto"/>
        </w:rPr>
        <w:t>Relevant Documents</w:t>
      </w:r>
      <w:r>
        <w:rPr>
          <w:rFonts w:ascii="Times New Roman" w:cs="Times New Roman" w:eastAsia="Times New Roman" w:hAnsi="Times New Roman"/>
          <w:sz w:val="19"/>
          <w:szCs w:val="19"/>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of the Amended Credit Agreement.</w:t>
      </w:r>
    </w:p>
    <w:p>
      <w:pPr>
        <w:spacing w:after="0" w:line="163" w:lineRule="exact"/>
        <w:rPr>
          <w:rFonts w:ascii="Times New Roman" w:cs="Times New Roman" w:eastAsia="Times New Roman" w:hAnsi="Times New Roman"/>
          <w:sz w:val="19"/>
          <w:szCs w:val="19"/>
          <w:color w:val="auto"/>
        </w:rPr>
      </w:pPr>
    </w:p>
    <w:p>
      <w:pPr>
        <w:ind w:right="60" w:firstLine="656"/>
        <w:spacing w:after="0" w:line="227" w:lineRule="auto"/>
        <w:tabs>
          <w:tab w:leader="none" w:pos="129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Full Force and Effect of Amended Credit Agreement</w:t>
      </w:r>
      <w:r>
        <w:rPr>
          <w:rFonts w:ascii="Times New Roman" w:cs="Times New Roman" w:eastAsia="Times New Roman" w:hAnsi="Times New Roman"/>
          <w:sz w:val="20"/>
          <w:szCs w:val="20"/>
          <w:color w:val="auto"/>
        </w:rPr>
        <w:t>. Except as hereby specifically amended, modified or supplemented,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Amended Credit Agreement is hereby confirmed and ratified in all respects and shall be and remain in full force and effect according to its respective terms.</w:t>
      </w:r>
    </w:p>
    <w:p>
      <w:pPr>
        <w:spacing w:after="0" w:line="157" w:lineRule="exact"/>
        <w:rPr>
          <w:rFonts w:ascii="Times New Roman" w:cs="Times New Roman" w:eastAsia="Times New Roman" w:hAnsi="Times New Roman"/>
          <w:sz w:val="20"/>
          <w:szCs w:val="20"/>
          <w:color w:val="auto"/>
        </w:rPr>
      </w:pPr>
    </w:p>
    <w:p>
      <w:pPr>
        <w:ind w:right="100" w:firstLine="656"/>
        <w:spacing w:after="0" w:line="227" w:lineRule="auto"/>
        <w:tabs>
          <w:tab w:leader="none" w:pos="129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AMENDMENT SHALL IN ALL RESPECTS BE GOVERNED BY, AND CONSTRUED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LAWS OF THE STATE OF NEW YORK, AND SHALL BE FURTHER SUBJECT TO THE PROVISIONS OF SECTION 10.14 AND 10.15 OF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00"/>
          </w:cols>
          <w:pgMar w:left="320" w:top="1399" w:right="379" w:bottom="1440" w:gutter="0" w:footer="0" w:header="0"/>
        </w:sectPr>
      </w:pPr>
    </w:p>
    <w:bookmarkStart w:id="63" w:name="page64"/>
    <w:bookmarkEnd w:id="63"/>
    <w:p>
      <w:pPr>
        <w:ind w:left="-20" w:right="20" w:firstLine="656"/>
        <w:spacing w:after="0" w:line="245" w:lineRule="auto"/>
        <w:tabs>
          <w:tab w:leader="none" w:pos="127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Enforceability</w:t>
      </w:r>
      <w:r>
        <w:rPr>
          <w:rFonts w:ascii="Times New Roman" w:cs="Times New Roman" w:eastAsia="Times New Roman" w:hAnsi="Times New Roman"/>
          <w:sz w:val="20"/>
          <w:szCs w:val="20"/>
          <w:color w:val="auto"/>
        </w:rPr>
        <w:t>. Should any one or more of the provisions of this Amendment be determined to be illegal or unenforceable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one or more of the parties hereto, all other provisions nevertheless shall remain effective and binding on the parties hereto.</w:t>
      </w:r>
    </w:p>
    <w:p>
      <w:pPr>
        <w:spacing w:after="0" w:line="137" w:lineRule="exact"/>
        <w:rPr>
          <w:rFonts w:ascii="Times New Roman" w:cs="Times New Roman" w:eastAsia="Times New Roman" w:hAnsi="Times New Roman"/>
          <w:sz w:val="20"/>
          <w:szCs w:val="20"/>
          <w:color w:val="auto"/>
        </w:rPr>
      </w:pPr>
    </w:p>
    <w:p>
      <w:pPr>
        <w:ind w:left="-20" w:right="20" w:firstLine="656"/>
        <w:spacing w:after="0" w:line="232" w:lineRule="auto"/>
        <w:tabs>
          <w:tab w:leader="none" w:pos="127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References; Interpretation</w:t>
      </w:r>
      <w:r>
        <w:rPr>
          <w:rFonts w:ascii="Times New Roman" w:cs="Times New Roman" w:eastAsia="Times New Roman" w:hAnsi="Times New Roman"/>
          <w:sz w:val="20"/>
          <w:szCs w:val="20"/>
          <w:color w:val="auto"/>
        </w:rPr>
        <w:t>. All references in any of the Loan Documents to the “Credit Agreement” shall mean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Amended Credit Agreement. The rules of interpretation set forth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of the Amended Credit Agreement shall be applicable to this Amendment.</w:t>
      </w:r>
    </w:p>
    <w:p>
      <w:pPr>
        <w:spacing w:after="0" w:line="143" w:lineRule="exact"/>
        <w:rPr>
          <w:rFonts w:ascii="Times New Roman" w:cs="Times New Roman" w:eastAsia="Times New Roman" w:hAnsi="Times New Roman"/>
          <w:sz w:val="20"/>
          <w:szCs w:val="20"/>
          <w:color w:val="auto"/>
        </w:rPr>
      </w:pPr>
    </w:p>
    <w:p>
      <w:pPr>
        <w:ind w:left="-20" w:right="700" w:firstLine="656"/>
        <w:spacing w:after="0" w:line="232" w:lineRule="auto"/>
        <w:tabs>
          <w:tab w:leader="none" w:pos="127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color w:val="auto"/>
        </w:rPr>
        <w:t>. This Amendment shall be binding upon and inure to the benefit of the Company,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Administrative Agent and each of the Lenders, and their respective successors, legal representatives, and assignees to the extent such assignees are permitted assignees as provided in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of the Amended Credit Agreement.</w:t>
      </w:r>
    </w:p>
    <w:p>
      <w:pPr>
        <w:spacing w:after="0" w:line="143" w:lineRule="exact"/>
        <w:rPr>
          <w:rFonts w:ascii="Times New Roman" w:cs="Times New Roman" w:eastAsia="Times New Roman" w:hAnsi="Times New Roman"/>
          <w:sz w:val="20"/>
          <w:szCs w:val="20"/>
          <w:color w:val="auto"/>
        </w:rPr>
      </w:pPr>
    </w:p>
    <w:p>
      <w:pPr>
        <w:ind w:left="-20" w:firstLine="656"/>
        <w:spacing w:after="0" w:line="211" w:lineRule="auto"/>
        <w:tabs>
          <w:tab w:leader="none" w:pos="126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Novation; Reaffirmation</w:t>
      </w:r>
      <w:r>
        <w:rPr>
          <w:rFonts w:ascii="Times New Roman" w:cs="Times New Roman" w:eastAsia="Times New Roman" w:hAnsi="Times New Roman"/>
          <w:sz w:val="20"/>
          <w:szCs w:val="20"/>
          <w:color w:val="auto"/>
        </w:rPr>
        <w:t>. Neither the execution and delivery of this Amendment nor the consummation of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contemplated hereunder is intended to constitute a novation of the Existing Credit Agreement or of any of the other Loan Documents or any obligations thereunder. This Amendment and the Amended Credit Agreement shall not constitute a novation of the Existing Credit Agreement or any other Loan Document. Each Loan Party hereby (i) ratifies and reaffirms all of its payment and performance obligations, contingent or otherwise, under each of the Loan Documents to which it is a party and affirms and confirms each of the Loan Documents to which it is a party and its joint and several Obligations thereunder, (ii) affirms that it has the right, power and authority and has taken all necessary corporate and other action to authorize the execution, delivery and performance of this Amendment and (iii) agrees that, notwithstanding the effectiveness of this Amendment, each Loan Document shall continue to be in full force and effect and is hereby ratified and confirmed in all respects and shall remain in full force and effect according to its terms, (iv) ratifies and reaffirms its prior grant and the validity of the Liens and security interests made pursuant to the Collateral Documents and confirms that all such Liens and security interests continue in full force and effect to secure the Obligations under the Loan Documents after giving effect to this Amendment, and (v) in the case of each Guarantor, ratifies and reaffirms its guaranty of the Obligations pursuant to the Guaranty. Without limiting the generality of the foregoing, the Collateral Documents and all of the Collateral described therein do and shall continue to secure the payment of all Obligations of the Loan Parties under the Loan Documents, as amended by, and after giving effect to, this Amendment.</w:t>
      </w:r>
    </w:p>
    <w:p>
      <w:pPr>
        <w:spacing w:after="0" w:line="152" w:lineRule="exact"/>
        <w:rPr>
          <w:rFonts w:ascii="Times New Roman" w:cs="Times New Roman" w:eastAsia="Times New Roman" w:hAnsi="Times New Roman"/>
          <w:sz w:val="20"/>
          <w:szCs w:val="20"/>
          <w:color w:val="auto"/>
        </w:rPr>
      </w:pPr>
    </w:p>
    <w:p>
      <w:pPr>
        <w:ind w:left="-20" w:right="80" w:firstLine="656"/>
        <w:spacing w:after="0" w:line="215" w:lineRule="auto"/>
        <w:tabs>
          <w:tab w:leader="none" w:pos="125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each of which shall be deemed an original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against any party whose signature appears thereon, and all of which shall together constitute one and the same instrument. Delivery of an executed counterpart of a signature page of this Amendment by telecopy or other electronic means (including .pdf) shall be effective as delivery of a manually executed counterpart of this Amendment. Delivery of an executed signature page of this Amendment by facsimile transmission or Electronic Transmission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[Remainder of page is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40" w:top="139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duly executed this Amendment on the day and year first written above.</w:t>
      </w:r>
    </w:p>
    <w:p>
      <w:pPr>
        <w:sectPr>
          <w:pgSz w:w="11900" w:h="16838" w:orient="portrait"/>
          <w:cols w:equalWidth="0" w:num="1">
            <w:col w:w="9479"/>
          </w:cols>
          <w:pgMar w:left="980" w:top="1409" w:right="1440" w:bottom="1440" w:gutter="0" w:footer="0" w:header="0"/>
        </w:sectPr>
      </w:pPr>
    </w:p>
    <w:p>
      <w:pPr>
        <w:spacing w:after="0" w:line="24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QUAKER CHEMICAL CORPORATION</w:t>
      </w:r>
    </w:p>
    <w:p>
      <w:pPr>
        <w:spacing w:after="0" w:line="200" w:lineRule="exact"/>
        <w:rPr>
          <w:sz w:val="20"/>
          <w:szCs w:val="20"/>
          <w:color w:val="auto"/>
        </w:rPr>
      </w:pPr>
    </w:p>
    <w:p>
      <w:pPr>
        <w:spacing w:after="0" w:line="249" w:lineRule="exact"/>
        <w:rPr>
          <w:sz w:val="20"/>
          <w:szCs w:val="20"/>
          <w:color w:val="auto"/>
        </w:rPr>
      </w:pPr>
    </w:p>
    <w:p>
      <w:pPr>
        <w:jc w:val="right"/>
        <w:ind w:right="4399"/>
        <w:spacing w:after="0"/>
        <w:tabs>
          <w:tab w:leader="none" w:pos="4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-10795</wp:posOffset>
            </wp:positionV>
            <wp:extent cx="11169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2"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20"/>
          <w:szCs w:val="20"/>
          <w:color w:val="auto"/>
        </w:rPr>
        <w:t>Name: Thomas Coler</w:t>
      </w:r>
    </w:p>
    <w:p>
      <w:pPr>
        <w:spacing w:after="0" w:line="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Title: Executive Vice President and Chief Financial Officer</w:t>
      </w:r>
    </w:p>
    <w:p>
      <w:pPr>
        <w:spacing w:after="0" w:line="200" w:lineRule="exact"/>
        <w:rPr>
          <w:sz w:val="20"/>
          <w:szCs w:val="20"/>
          <w:color w:val="auto"/>
        </w:rPr>
      </w:pPr>
    </w:p>
    <w:p>
      <w:pPr>
        <w:spacing w:after="0" w:line="27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QUAKER HOUGHTON PA INC.</w:t>
      </w:r>
    </w:p>
    <w:p>
      <w:pPr>
        <w:spacing w:after="0" w:line="2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HOUGHTON TECHNICAL CORP.</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SIFCO APPLIED SURFACE CONCEPTS, LLC</w:t>
      </w:r>
    </w:p>
    <w:p>
      <w:pPr>
        <w:spacing w:after="0" w:line="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WALLOVER ENTERPRISES INC.</w:t>
      </w:r>
    </w:p>
    <w:p>
      <w:pPr>
        <w:spacing w:after="0" w:line="200" w:lineRule="exact"/>
        <w:rPr>
          <w:sz w:val="20"/>
          <w:szCs w:val="20"/>
          <w:color w:val="auto"/>
        </w:rPr>
      </w:pPr>
    </w:p>
    <w:p>
      <w:pPr>
        <w:jc w:val="right"/>
        <w:ind w:right="4399"/>
        <w:spacing w:after="0"/>
        <w:tabs>
          <w:tab w:leader="none" w:pos="4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-10795</wp:posOffset>
            </wp:positionV>
            <wp:extent cx="11169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8"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20"/>
          <w:szCs w:val="20"/>
          <w:color w:val="auto"/>
        </w:rPr>
        <w:t>Name: Thomas Coler</w:t>
      </w:r>
    </w:p>
    <w:p>
      <w:pPr>
        <w:spacing w:after="0" w:line="6" w:lineRule="exact"/>
        <w:rPr>
          <w:sz w:val="20"/>
          <w:szCs w:val="20"/>
          <w:color w:val="auto"/>
        </w:rPr>
      </w:pPr>
    </w:p>
    <w:p>
      <w:pPr>
        <w:ind w:left="3440"/>
        <w:spacing w:after="0"/>
        <w:tabs>
          <w:tab w:leader="none" w:pos="7140" w:val="left"/>
        </w:tabs>
        <w:rPr>
          <w:sz w:val="20"/>
          <w:szCs w:val="20"/>
          <w:color w:val="auto"/>
        </w:rPr>
      </w:pPr>
      <w:r>
        <w:rPr>
          <w:rFonts w:ascii="Times New Roman" w:cs="Times New Roman" w:eastAsia="Times New Roman" w:hAnsi="Times New Roman"/>
          <w:sz w:val="20"/>
          <w:szCs w:val="20"/>
          <w:color w:val="auto"/>
        </w:rPr>
        <w:t>Title: President, Chief Financial Officer and</w:t>
      </w:r>
      <w:r>
        <w:rPr>
          <w:sz w:val="20"/>
          <w:szCs w:val="20"/>
          <w:color w:val="auto"/>
        </w:rPr>
        <w:tab/>
      </w:r>
      <w:r>
        <w:rPr>
          <w:rFonts w:ascii="Times New Roman" w:cs="Times New Roman" w:eastAsia="Times New Roman" w:hAnsi="Times New Roman"/>
          <w:sz w:val="19"/>
          <w:szCs w:val="19"/>
          <w:color w:val="auto"/>
        </w:rPr>
        <w:t>Treasurer</w:t>
      </w:r>
    </w:p>
    <w:p>
      <w:pPr>
        <w:spacing w:after="0" w:line="200" w:lineRule="exact"/>
        <w:rPr>
          <w:sz w:val="20"/>
          <w:szCs w:val="20"/>
          <w:color w:val="auto"/>
        </w:rPr>
      </w:pPr>
    </w:p>
    <w:p>
      <w:pPr>
        <w:spacing w:after="0" w:line="2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AC PRODUCTS, INC.</w:t>
      </w:r>
    </w:p>
    <w:p>
      <w:pPr>
        <w:spacing w:after="0" w:line="200" w:lineRule="exact"/>
        <w:rPr>
          <w:sz w:val="20"/>
          <w:szCs w:val="20"/>
          <w:color w:val="auto"/>
        </w:rPr>
      </w:pPr>
    </w:p>
    <w:p>
      <w:pPr>
        <w:spacing w:after="0" w:line="249" w:lineRule="exact"/>
        <w:rPr>
          <w:sz w:val="20"/>
          <w:szCs w:val="20"/>
          <w:color w:val="auto"/>
        </w:rPr>
      </w:pPr>
    </w:p>
    <w:p>
      <w:pPr>
        <w:jc w:val="right"/>
        <w:ind w:right="4399"/>
        <w:spacing w:after="0"/>
        <w:tabs>
          <w:tab w:leader="none" w:pos="4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-10795</wp:posOffset>
            </wp:positionV>
            <wp:extent cx="11169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2"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20"/>
          <w:szCs w:val="20"/>
          <w:color w:val="auto"/>
        </w:rPr>
        <w:t>Name: Thomas Coler</w:t>
      </w:r>
    </w:p>
    <w:p>
      <w:pPr>
        <w:spacing w:after="0" w:line="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ECLI PRODUCTS, LLC</w:t>
      </w:r>
    </w:p>
    <w:p>
      <w:pPr>
        <w:spacing w:after="0" w:line="200" w:lineRule="exact"/>
        <w:rPr>
          <w:sz w:val="20"/>
          <w:szCs w:val="20"/>
          <w:color w:val="auto"/>
        </w:rPr>
      </w:pPr>
    </w:p>
    <w:p>
      <w:pPr>
        <w:spacing w:after="0" w:line="249" w:lineRule="exact"/>
        <w:rPr>
          <w:sz w:val="20"/>
          <w:szCs w:val="20"/>
          <w:color w:val="auto"/>
        </w:rPr>
      </w:pPr>
    </w:p>
    <w:p>
      <w:pPr>
        <w:jc w:val="right"/>
        <w:ind w:right="4399"/>
        <w:spacing w:after="0"/>
        <w:tabs>
          <w:tab w:leader="none" w:pos="4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-10795</wp:posOffset>
            </wp:positionV>
            <wp:extent cx="11169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2"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20"/>
          <w:szCs w:val="20"/>
          <w:color w:val="auto"/>
        </w:rPr>
        <w:t>Name: Thomas Coler</w:t>
      </w:r>
    </w:p>
    <w:p>
      <w:pPr>
        <w:spacing w:after="0" w:line="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8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CORAL CHEMICAL COMPANY, LLC</w:t>
      </w:r>
    </w:p>
    <w:p>
      <w:pPr>
        <w:spacing w:after="0" w:line="200" w:lineRule="exact"/>
        <w:rPr>
          <w:sz w:val="20"/>
          <w:szCs w:val="20"/>
          <w:color w:val="auto"/>
        </w:rPr>
      </w:pPr>
    </w:p>
    <w:p>
      <w:pPr>
        <w:spacing w:after="0" w:line="290"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-10795</wp:posOffset>
            </wp:positionV>
            <wp:extent cx="11169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Name: Thomas Coler</w:t>
      </w:r>
    </w:p>
    <w:p>
      <w:pPr>
        <w:spacing w:after="0" w:line="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Title: President</w:t>
      </w:r>
    </w:p>
    <w:p>
      <w:pPr>
        <w:sectPr>
          <w:pgSz w:w="11900" w:h="16838" w:orient="portrait"/>
          <w:cols w:equalWidth="0" w:num="1">
            <w:col w:w="9479"/>
          </w:cols>
          <w:pgMar w:left="980" w:top="140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Quaker Chemical Corporation</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Amendment No. 5 to Credit Agreement</w:t>
      </w:r>
    </w:p>
    <w:p>
      <w:pPr>
        <w:spacing w:after="0" w:line="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479"/>
          </w:cols>
          <w:pgMar w:left="980" w:top="1409" w:right="1440" w:bottom="1440" w:gutter="0" w:footer="0" w:header="0"/>
          <w:type w:val="continuous"/>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General Administrative Agent</w:t>
      </w:r>
    </w:p>
    <w:p>
      <w:pPr>
        <w:spacing w:after="0" w:line="200" w:lineRule="exact"/>
        <w:rPr>
          <w:sz w:val="20"/>
          <w:szCs w:val="20"/>
          <w:color w:val="auto"/>
        </w:rPr>
      </w:pPr>
    </w:p>
    <w:p>
      <w:pPr>
        <w:spacing w:after="0" w:line="249" w:lineRule="exact"/>
        <w:rPr>
          <w:sz w:val="20"/>
          <w:szCs w:val="20"/>
          <w:color w:val="auto"/>
        </w:rPr>
      </w:pPr>
    </w:p>
    <w:p>
      <w:pPr>
        <w:jc w:val="right"/>
        <w:ind w:right="4279"/>
        <w:spacing w:after="0"/>
        <w:tabs>
          <w:tab w:leader="none" w:pos="56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Elizabeth Uribe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-10795</wp:posOffset>
            </wp:positionV>
            <wp:extent cx="11931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spacing w:after="0" w:line="2" w:lineRule="exact"/>
        <w:rPr>
          <w:sz w:val="20"/>
          <w:szCs w:val="20"/>
          <w:color w:val="auto"/>
        </w:rPr>
      </w:pPr>
    </w:p>
    <w:p>
      <w:pPr>
        <w:jc w:val="right"/>
        <w:ind w:right="4219"/>
        <w:spacing w:after="0"/>
        <w:rPr>
          <w:sz w:val="20"/>
          <w:szCs w:val="20"/>
          <w:color w:val="auto"/>
        </w:rPr>
      </w:pPr>
      <w:r>
        <w:rPr>
          <w:rFonts w:ascii="Times New Roman" w:cs="Times New Roman" w:eastAsia="Times New Roman" w:hAnsi="Times New Roman"/>
          <w:sz w:val="20"/>
          <w:szCs w:val="20"/>
          <w:color w:val="auto"/>
        </w:rPr>
        <w:t>Name: Elizabeth Uribe</w:t>
      </w:r>
    </w:p>
    <w:p>
      <w:pPr>
        <w:spacing w:after="0" w:line="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23"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 as Term Loan B Administrative Agent</w:t>
      </w:r>
    </w:p>
    <w:p>
      <w:pPr>
        <w:spacing w:after="0" w:line="200" w:lineRule="exact"/>
        <w:rPr>
          <w:sz w:val="20"/>
          <w:szCs w:val="20"/>
          <w:color w:val="auto"/>
        </w:rPr>
      </w:pPr>
    </w:p>
    <w:p>
      <w:pPr>
        <w:spacing w:after="0" w:line="303" w:lineRule="exact"/>
        <w:rPr>
          <w:sz w:val="20"/>
          <w:szCs w:val="20"/>
          <w:color w:val="auto"/>
        </w:rPr>
      </w:pPr>
    </w:p>
    <w:p>
      <w:pPr>
        <w:ind w:left="3700"/>
        <w:spacing w:after="0"/>
        <w:tabs>
          <w:tab w:leader="none" w:pos="41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Nikhil Tanawade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-10795</wp:posOffset>
            </wp:positionV>
            <wp:extent cx="12611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Nikhil Tanawade</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 as a Term B Lender</w:t>
      </w:r>
    </w:p>
    <w:p>
      <w:pPr>
        <w:spacing w:after="0" w:line="200" w:lineRule="exact"/>
        <w:rPr>
          <w:sz w:val="20"/>
          <w:szCs w:val="20"/>
          <w:color w:val="auto"/>
        </w:rPr>
      </w:pPr>
    </w:p>
    <w:p>
      <w:pPr>
        <w:spacing w:after="0" w:line="290" w:lineRule="exact"/>
        <w:rPr>
          <w:sz w:val="20"/>
          <w:szCs w:val="20"/>
          <w:color w:val="auto"/>
        </w:rPr>
      </w:pPr>
    </w:p>
    <w:p>
      <w:pPr>
        <w:jc w:val="right"/>
        <w:ind w:right="4159"/>
        <w:spacing w:after="0"/>
        <w:tabs>
          <w:tab w:leader="none" w:pos="56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Nikhil Tanawade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-10795</wp:posOffset>
            </wp:positionV>
            <wp:extent cx="12611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spacing w:after="0" w:line="8"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20"/>
          <w:szCs w:val="20"/>
          <w:color w:val="auto"/>
        </w:rPr>
        <w:t>Name: Nikhil Tanawade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35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Quaker Chemical Corporation</w:t>
      </w:r>
    </w:p>
    <w:p>
      <w:pPr>
        <w:spacing w:after="0" w:line="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Amendment No. 5 to Credit Agreement</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939"/>
          </w:cols>
          <w:pgMar w:left="520" w:top="1440"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42545</wp:posOffset>
            </wp:positionV>
            <wp:extent cx="71323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93980</wp:posOffset>
            </wp:positionV>
            <wp:extent cx="71323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Published CUSIP Numbers:</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Deal: 74732HAJ1</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Revolver Facility: 74732HAK8</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Term Loan EUR Facility: 74732HAM4</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Term Loan USD Facility: 74732HAL6</w:t>
      </w: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Dated as of August 1, 2019</w:t>
      </w:r>
    </w:p>
    <w:p>
      <w:pPr>
        <w:spacing w:after="0" w:line="2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as amended by Amendment No. 1 to Credit Agreement, dated as of March 17, 2020,</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as further amended by Amendment No. 2 to Credit Agreement (LIBOR Transition), dated as of December 10, 2021,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as further amended by Amendment No. 3 to Credit Agreement, dated as of June 17, 2022,as further amended by Amendment No. 4 to Credit Agreement,</w:t>
      </w:r>
    </w:p>
    <w:p>
      <w:pPr>
        <w:spacing w:after="0" w:line="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dated as of April 10, 2026</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as further amended by Amendment No. 5 to Credit Agreement, dated as of October 1, 2026</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among</w:t>
      </w: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QUAKER CHEMICAL CORPORATION,</w:t>
      </w:r>
    </w:p>
    <w:p>
      <w:pPr>
        <w:spacing w:after="0" w:line="2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CERTAIN SUBSIDIARIES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as Borrowers,</w:t>
      </w:r>
    </w:p>
    <w:p>
      <w:pPr>
        <w:spacing w:after="0" w:line="20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as General Administrative Agent, Pro Rata Facilities Administrative Agent, U.S. Dollar Swing Line Lender and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L/C Issuer,</w:t>
      </w:r>
    </w:p>
    <w:p>
      <w:pPr>
        <w:spacing w:after="0" w:line="20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as Term Loan B Administrative Agent</w:t>
      </w: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BANK OF AMERICA EUROPE DESIGNATED ACTIVITY COMPANY,</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as Euro Swing Line Lender</w:t>
      </w: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CITIZENS BANK, N.A.,</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TD BANK, N.A.,</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HUNTINGTON NATIONAL BANK,</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MORGAN STANLEY SENIOR FUNDING, INC.,</w:t>
      </w:r>
    </w:p>
    <w:p>
      <w:pPr>
        <w:sectPr>
          <w:pgSz w:w="11900" w:h="16838" w:orient="portrait"/>
          <w:cols w:equalWidth="0" w:num="1">
            <w:col w:w="11120"/>
          </w:cols>
          <w:pgMar w:left="440" w:top="140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CITIZENS BANK, 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236220</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01</w:t>
            </w:r>
          </w:p>
        </w:tc>
        <w:tc>
          <w:tcPr>
            <w:tcW w:w="240" w:type="dxa"/>
            <w:vAlign w:val="bottom"/>
          </w:tcPr>
          <w:p>
            <w:pPr>
              <w:spacing w:after="0"/>
              <w:rPr>
                <w:sz w:val="19"/>
                <w:szCs w:val="19"/>
                <w:color w:val="auto"/>
              </w:rPr>
            </w:pPr>
          </w:p>
        </w:tc>
        <w:tc>
          <w:tcPr>
            <w:tcW w:w="1260" w:type="dxa"/>
            <w:vAlign w:val="bottom"/>
            <w:gridSpan w:val="12"/>
          </w:tcPr>
          <w:p>
            <w:pPr>
              <w:ind w:left="20"/>
              <w:spacing w:after="0"/>
              <w:rPr>
                <w:sz w:val="20"/>
                <w:szCs w:val="20"/>
                <w:color w:val="auto"/>
              </w:rPr>
            </w:pPr>
            <w:r>
              <w:rPr>
                <w:rFonts w:ascii="Times New Roman" w:cs="Times New Roman" w:eastAsia="Times New Roman" w:hAnsi="Times New Roman"/>
                <w:sz w:val="20"/>
                <w:szCs w:val="20"/>
                <w:color w:val="0563C1"/>
                <w:w w:val="99"/>
              </w:rPr>
              <w:t>Defined Terms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02</w:t>
            </w:r>
          </w:p>
        </w:tc>
        <w:tc>
          <w:tcPr>
            <w:tcW w:w="240" w:type="dxa"/>
            <w:vAlign w:val="bottom"/>
          </w:tcPr>
          <w:p>
            <w:pPr>
              <w:spacing w:after="0"/>
              <w:rPr>
                <w:sz w:val="21"/>
                <w:szCs w:val="21"/>
                <w:color w:val="auto"/>
              </w:rPr>
            </w:pPr>
          </w:p>
        </w:tc>
        <w:tc>
          <w:tcPr>
            <w:tcW w:w="2340" w:type="dxa"/>
            <w:vAlign w:val="bottom"/>
            <w:gridSpan w:val="23"/>
          </w:tcPr>
          <w:p>
            <w:pPr>
              <w:ind w:left="20"/>
              <w:spacing w:after="0"/>
              <w:rPr>
                <w:sz w:val="20"/>
                <w:szCs w:val="20"/>
                <w:color w:val="auto"/>
              </w:rPr>
            </w:pPr>
            <w:r>
              <w:rPr>
                <w:rFonts w:ascii="Times New Roman" w:cs="Times New Roman" w:eastAsia="Times New Roman" w:hAnsi="Times New Roman"/>
                <w:sz w:val="20"/>
                <w:szCs w:val="20"/>
                <w:color w:val="0563C1"/>
                <w:w w:val="98"/>
              </w:rPr>
              <w:t>Other Interpretive Provisions</w:t>
            </w:r>
          </w:p>
        </w:tc>
        <w:tc>
          <w:tcPr>
            <w:tcW w:w="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03</w:t>
            </w:r>
          </w:p>
        </w:tc>
        <w:tc>
          <w:tcPr>
            <w:tcW w:w="240" w:type="dxa"/>
            <w:vAlign w:val="bottom"/>
          </w:tcPr>
          <w:p>
            <w:pPr>
              <w:spacing w:after="0"/>
              <w:rPr>
                <w:sz w:val="20"/>
                <w:szCs w:val="20"/>
                <w:color w:val="auto"/>
              </w:rPr>
            </w:pPr>
          </w:p>
        </w:tc>
        <w:tc>
          <w:tcPr>
            <w:tcW w:w="168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rPr>
              <w:t>Accounting Terms.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04</w:t>
            </w:r>
          </w:p>
        </w:tc>
        <w:tc>
          <w:tcPr>
            <w:tcW w:w="240" w:type="dxa"/>
            <w:vAlign w:val="bottom"/>
          </w:tcPr>
          <w:p>
            <w:pPr>
              <w:spacing w:after="0"/>
              <w:rPr>
                <w:sz w:val="21"/>
                <w:szCs w:val="21"/>
                <w:color w:val="auto"/>
              </w:rPr>
            </w:pPr>
          </w:p>
        </w:tc>
        <w:tc>
          <w:tcPr>
            <w:tcW w:w="86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0563C1"/>
              </w:rPr>
              <w:t>Rounding</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05</w:t>
            </w:r>
          </w:p>
        </w:tc>
        <w:tc>
          <w:tcPr>
            <w:tcW w:w="240" w:type="dxa"/>
            <w:vAlign w:val="bottom"/>
          </w:tcPr>
          <w:p>
            <w:pPr>
              <w:spacing w:after="0"/>
              <w:rPr>
                <w:sz w:val="20"/>
                <w:szCs w:val="20"/>
                <w:color w:val="auto"/>
              </w:rPr>
            </w:pPr>
          </w:p>
        </w:tc>
        <w:tc>
          <w:tcPr>
            <w:tcW w:w="3920" w:type="dxa"/>
            <w:vAlign w:val="bottom"/>
            <w:gridSpan w:val="31"/>
          </w:tcPr>
          <w:p>
            <w:pPr>
              <w:ind w:left="20"/>
              <w:spacing w:after="0"/>
              <w:rPr>
                <w:sz w:val="20"/>
                <w:szCs w:val="20"/>
                <w:color w:val="auto"/>
              </w:rPr>
            </w:pPr>
            <w:r>
              <w:rPr>
                <w:rFonts w:ascii="Times New Roman" w:cs="Times New Roman" w:eastAsia="Times New Roman" w:hAnsi="Times New Roman"/>
                <w:sz w:val="20"/>
                <w:szCs w:val="20"/>
                <w:color w:val="0563C1"/>
              </w:rPr>
              <w:t xml:space="preserve">Exchange Rates; Currency Equivalents  </w:t>
            </w:r>
            <w:r>
              <w:rPr>
                <w:rFonts w:ascii="Times New Roman" w:cs="Times New Roman" w:eastAsia="Times New Roman" w:hAnsi="Times New Roman"/>
                <w:sz w:val="20"/>
                <w:szCs w:val="20"/>
                <w:color w:val="000000"/>
              </w:rPr>
              <w:t>72</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06</w:t>
            </w:r>
          </w:p>
        </w:tc>
        <w:tc>
          <w:tcPr>
            <w:tcW w:w="240" w:type="dxa"/>
            <w:vAlign w:val="bottom"/>
          </w:tcPr>
          <w:p>
            <w:pPr>
              <w:spacing w:after="0"/>
              <w:rPr>
                <w:sz w:val="21"/>
                <w:szCs w:val="21"/>
                <w:color w:val="auto"/>
              </w:rPr>
            </w:pPr>
          </w:p>
        </w:tc>
        <w:tc>
          <w:tcPr>
            <w:tcW w:w="2880" w:type="dxa"/>
            <w:vAlign w:val="bottom"/>
            <w:gridSpan w:val="27"/>
          </w:tcPr>
          <w:p>
            <w:pPr>
              <w:ind w:left="20"/>
              <w:spacing w:after="0"/>
              <w:rPr>
                <w:sz w:val="20"/>
                <w:szCs w:val="20"/>
                <w:color w:val="auto"/>
              </w:rPr>
            </w:pPr>
            <w:r>
              <w:rPr>
                <w:rFonts w:ascii="Times New Roman" w:cs="Times New Roman" w:eastAsia="Times New Roman" w:hAnsi="Times New Roman"/>
                <w:sz w:val="20"/>
                <w:szCs w:val="20"/>
                <w:color w:val="0563C1"/>
              </w:rPr>
              <w:t>Additional Alternative Currencies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72</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07</w:t>
            </w:r>
          </w:p>
        </w:tc>
        <w:tc>
          <w:tcPr>
            <w:tcW w:w="240" w:type="dxa"/>
            <w:vAlign w:val="bottom"/>
          </w:tcPr>
          <w:p>
            <w:pPr>
              <w:spacing w:after="0"/>
              <w:rPr>
                <w:sz w:val="21"/>
                <w:szCs w:val="21"/>
                <w:color w:val="auto"/>
              </w:rPr>
            </w:pPr>
          </w:p>
        </w:tc>
        <w:tc>
          <w:tcPr>
            <w:tcW w:w="168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rPr>
              <w:t>Change of Currency</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79"/>
              </w:rPr>
              <w:t>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08</w:t>
            </w:r>
          </w:p>
        </w:tc>
        <w:tc>
          <w:tcPr>
            <w:tcW w:w="240" w:type="dxa"/>
            <w:vAlign w:val="bottom"/>
          </w:tcPr>
          <w:p>
            <w:pPr>
              <w:spacing w:after="0"/>
              <w:rPr>
                <w:sz w:val="20"/>
                <w:szCs w:val="20"/>
                <w:color w:val="auto"/>
              </w:rPr>
            </w:pPr>
          </w:p>
        </w:tc>
        <w:tc>
          <w:tcPr>
            <w:tcW w:w="1260" w:type="dxa"/>
            <w:vAlign w:val="bottom"/>
            <w:gridSpan w:val="12"/>
          </w:tcPr>
          <w:p>
            <w:pPr>
              <w:ind w:left="20"/>
              <w:spacing w:after="0"/>
              <w:rPr>
                <w:sz w:val="20"/>
                <w:szCs w:val="20"/>
                <w:color w:val="auto"/>
              </w:rPr>
            </w:pPr>
            <w:r>
              <w:rPr>
                <w:rFonts w:ascii="Times New Roman" w:cs="Times New Roman" w:eastAsia="Times New Roman" w:hAnsi="Times New Roman"/>
                <w:sz w:val="20"/>
                <w:szCs w:val="20"/>
                <w:color w:val="0563C1"/>
              </w:rPr>
              <w:t>Times of Day</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09</w:t>
            </w:r>
          </w:p>
        </w:tc>
        <w:tc>
          <w:tcPr>
            <w:tcW w:w="240" w:type="dxa"/>
            <w:vAlign w:val="bottom"/>
          </w:tcPr>
          <w:p>
            <w:pPr>
              <w:spacing w:after="0"/>
              <w:rPr>
                <w:sz w:val="21"/>
                <w:szCs w:val="21"/>
                <w:color w:val="auto"/>
              </w:rPr>
            </w:pPr>
          </w:p>
        </w:tc>
        <w:tc>
          <w:tcPr>
            <w:tcW w:w="2040" w:type="dxa"/>
            <w:vAlign w:val="bottom"/>
            <w:gridSpan w:val="20"/>
          </w:tcPr>
          <w:p>
            <w:pPr>
              <w:ind w:left="20"/>
              <w:spacing w:after="0"/>
              <w:rPr>
                <w:sz w:val="20"/>
                <w:szCs w:val="20"/>
                <w:color w:val="auto"/>
              </w:rPr>
            </w:pPr>
            <w:r>
              <w:rPr>
                <w:rFonts w:ascii="Times New Roman" w:cs="Times New Roman" w:eastAsia="Times New Roman" w:hAnsi="Times New Roman"/>
                <w:sz w:val="20"/>
                <w:szCs w:val="20"/>
                <w:color w:val="0563C1"/>
                <w:w w:val="98"/>
              </w:rPr>
              <w:t>Letter of Credit Amounts</w:t>
            </w:r>
          </w:p>
        </w:tc>
        <w:tc>
          <w:tcPr>
            <w:tcW w:w="5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10</w:t>
            </w:r>
          </w:p>
        </w:tc>
        <w:tc>
          <w:tcPr>
            <w:tcW w:w="240" w:type="dxa"/>
            <w:vAlign w:val="bottom"/>
          </w:tcPr>
          <w:p>
            <w:pPr>
              <w:spacing w:after="0"/>
              <w:rPr>
                <w:sz w:val="20"/>
                <w:szCs w:val="20"/>
                <w:color w:val="auto"/>
              </w:rPr>
            </w:pPr>
          </w:p>
        </w:tc>
        <w:tc>
          <w:tcPr>
            <w:tcW w:w="1260" w:type="dxa"/>
            <w:vAlign w:val="bottom"/>
            <w:gridSpan w:val="12"/>
          </w:tcPr>
          <w:p>
            <w:pPr>
              <w:ind w:left="20"/>
              <w:spacing w:after="0"/>
              <w:rPr>
                <w:sz w:val="20"/>
                <w:szCs w:val="20"/>
                <w:color w:val="auto"/>
              </w:rPr>
            </w:pPr>
            <w:r>
              <w:rPr>
                <w:rFonts w:ascii="Times New Roman" w:cs="Times New Roman" w:eastAsia="Times New Roman" w:hAnsi="Times New Roman"/>
                <w:sz w:val="20"/>
                <w:szCs w:val="20"/>
                <w:color w:val="0563C1"/>
              </w:rPr>
              <w:t>Interest Rates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11</w:t>
            </w:r>
          </w:p>
        </w:tc>
        <w:tc>
          <w:tcPr>
            <w:tcW w:w="240" w:type="dxa"/>
            <w:vAlign w:val="bottom"/>
          </w:tcPr>
          <w:p>
            <w:pPr>
              <w:spacing w:after="0"/>
              <w:rPr>
                <w:sz w:val="21"/>
                <w:szCs w:val="21"/>
                <w:color w:val="auto"/>
              </w:rPr>
            </w:pPr>
          </w:p>
        </w:tc>
        <w:tc>
          <w:tcPr>
            <w:tcW w:w="860" w:type="dxa"/>
            <w:vAlign w:val="bottom"/>
            <w:gridSpan w:val="8"/>
          </w:tcPr>
          <w:p>
            <w:pPr>
              <w:spacing w:after="0"/>
              <w:rPr>
                <w:sz w:val="20"/>
                <w:szCs w:val="20"/>
                <w:color w:val="auto"/>
              </w:rPr>
            </w:pPr>
            <w:r>
              <w:rPr>
                <w:rFonts w:ascii="Times New Roman" w:cs="Times New Roman" w:eastAsia="Times New Roman" w:hAnsi="Times New Roman"/>
                <w:sz w:val="20"/>
                <w:szCs w:val="20"/>
                <w:color w:val="0563C1"/>
              </w:rPr>
              <w:t>Divisions</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74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1.</w:t>
            </w:r>
            <w:r>
              <w:rPr>
                <w:rFonts w:ascii="Times New Roman" w:cs="Times New Roman" w:eastAsia="Times New Roman" w:hAnsi="Times New Roman"/>
                <w:sz w:val="20"/>
                <w:szCs w:val="20"/>
                <w:u w:val="single" w:color="auto"/>
                <w:color w:val="0563C1"/>
                <w:w w:val="85"/>
              </w:rPr>
              <w:t>12</w:t>
            </w:r>
          </w:p>
        </w:tc>
        <w:tc>
          <w:tcPr>
            <w:tcW w:w="240" w:type="dxa"/>
            <w:vAlign w:val="bottom"/>
          </w:tcPr>
          <w:p>
            <w:pPr>
              <w:spacing w:after="0"/>
              <w:rPr>
                <w:sz w:val="21"/>
                <w:szCs w:val="21"/>
                <w:color w:val="auto"/>
              </w:rPr>
            </w:pPr>
          </w:p>
        </w:tc>
        <w:tc>
          <w:tcPr>
            <w:tcW w:w="2020" w:type="dxa"/>
            <w:vAlign w:val="bottom"/>
            <w:gridSpan w:val="19"/>
          </w:tcPr>
          <w:p>
            <w:pPr>
              <w:ind w:left="20"/>
              <w:spacing w:after="0"/>
              <w:rPr>
                <w:sz w:val="20"/>
                <w:szCs w:val="20"/>
                <w:color w:val="auto"/>
              </w:rPr>
            </w:pPr>
            <w:r>
              <w:rPr>
                <w:rFonts w:ascii="Times New Roman" w:cs="Times New Roman" w:eastAsia="Times New Roman" w:hAnsi="Times New Roman"/>
                <w:sz w:val="20"/>
                <w:szCs w:val="20"/>
                <w:color w:val="0563C1"/>
              </w:rPr>
              <w:t>Administrative Agents</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w w:val="79"/>
              </w:rPr>
              <w:t>74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gridSpan w:val="2"/>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42"/>
          </w:tcPr>
          <w:p>
            <w:pPr>
              <w:spacing w:after="0" w:line="209" w:lineRule="exact"/>
              <w:rPr>
                <w:sz w:val="20"/>
                <w:szCs w:val="20"/>
                <w:color w:val="auto"/>
              </w:rPr>
            </w:pPr>
            <w:r>
              <w:rPr>
                <w:rFonts w:ascii="Times New Roman" w:cs="Times New Roman" w:eastAsia="Times New Roman" w:hAnsi="Times New Roman"/>
                <w:sz w:val="20"/>
                <w:szCs w:val="20"/>
                <w:color w:val="0563C1"/>
              </w:rPr>
              <w:t xml:space="preserve">ARTICLE II THE COMMITMENTS AND CREDIT EXTENSIONS  </w:t>
            </w:r>
            <w:r>
              <w:rPr>
                <w:rFonts w:ascii="Times New Roman" w:cs="Times New Roman" w:eastAsia="Times New Roman" w:hAnsi="Times New Roman"/>
                <w:sz w:val="20"/>
                <w:szCs w:val="20"/>
                <w:color w:val="000000"/>
              </w:rPr>
              <w:t>74</w:t>
            </w:r>
          </w:p>
        </w:tc>
        <w:tc>
          <w:tcPr>
            <w:tcW w:w="0" w:type="dxa"/>
            <w:vAlign w:val="bottom"/>
          </w:tcPr>
          <w:p>
            <w:pPr>
              <w:spacing w:after="0"/>
              <w:rPr>
                <w:sz w:val="1"/>
                <w:szCs w:val="1"/>
                <w:color w:val="auto"/>
              </w:rPr>
            </w:pPr>
          </w:p>
        </w:tc>
      </w:tr>
      <w:tr>
        <w:trPr>
          <w:trHeight w:val="250"/>
        </w:trPr>
        <w:tc>
          <w:tcPr>
            <w:tcW w:w="2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01</w:t>
            </w:r>
          </w:p>
        </w:tc>
        <w:tc>
          <w:tcPr>
            <w:tcW w:w="240" w:type="dxa"/>
            <w:vAlign w:val="bottom"/>
            <w:tcBorders>
              <w:top w:val="single" w:sz="8" w:color="0563C1"/>
            </w:tcBorders>
          </w:tcPr>
          <w:p>
            <w:pPr>
              <w:spacing w:after="0"/>
              <w:rPr>
                <w:sz w:val="21"/>
                <w:szCs w:val="21"/>
                <w:color w:val="auto"/>
              </w:rPr>
            </w:pPr>
          </w:p>
        </w:tc>
        <w:tc>
          <w:tcPr>
            <w:tcW w:w="860" w:type="dxa"/>
            <w:vAlign w:val="bottom"/>
            <w:tcBorders>
              <w:top w:val="single" w:sz="8" w:color="0563C1"/>
            </w:tcBorders>
            <w:gridSpan w:val="8"/>
          </w:tcPr>
          <w:p>
            <w:pPr>
              <w:ind w:left="20"/>
              <w:spacing w:after="0"/>
              <w:rPr>
                <w:sz w:val="20"/>
                <w:szCs w:val="20"/>
                <w:color w:val="auto"/>
              </w:rPr>
            </w:pPr>
            <w:r>
              <w:rPr>
                <w:rFonts w:ascii="Times New Roman" w:cs="Times New Roman" w:eastAsia="Times New Roman" w:hAnsi="Times New Roman"/>
                <w:sz w:val="20"/>
                <w:szCs w:val="20"/>
                <w:color w:val="0563C1"/>
                <w:w w:val="96"/>
              </w:rPr>
              <w:t>The Loans</w:t>
            </w:r>
          </w:p>
        </w:tc>
        <w:tc>
          <w:tcPr>
            <w:tcW w:w="400" w:type="dxa"/>
            <w:vAlign w:val="bottom"/>
            <w:tcBorders>
              <w:top w:val="single" w:sz="8" w:color="0563C1"/>
            </w:tcBorders>
            <w:gridSpan w:val="4"/>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1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2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6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1"/>
                <w:szCs w:val="21"/>
                <w:color w:val="auto"/>
              </w:rPr>
            </w:pPr>
          </w:p>
        </w:tc>
        <w:tc>
          <w:tcPr>
            <w:tcW w:w="36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36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02</w:t>
            </w:r>
          </w:p>
        </w:tc>
        <w:tc>
          <w:tcPr>
            <w:tcW w:w="240" w:type="dxa"/>
            <w:vAlign w:val="bottom"/>
          </w:tcPr>
          <w:p>
            <w:pPr>
              <w:spacing w:after="0"/>
              <w:rPr>
                <w:sz w:val="20"/>
                <w:szCs w:val="20"/>
                <w:color w:val="auto"/>
              </w:rPr>
            </w:pPr>
          </w:p>
        </w:tc>
        <w:tc>
          <w:tcPr>
            <w:tcW w:w="6700" w:type="dxa"/>
            <w:vAlign w:val="bottom"/>
            <w:gridSpan w:val="39"/>
          </w:tcPr>
          <w:p>
            <w:pPr>
              <w:ind w:left="20"/>
              <w:spacing w:after="0"/>
              <w:rPr>
                <w:sz w:val="20"/>
                <w:szCs w:val="20"/>
                <w:color w:val="auto"/>
              </w:rPr>
            </w:pPr>
            <w:r>
              <w:rPr>
                <w:rFonts w:ascii="Times New Roman" w:cs="Times New Roman" w:eastAsia="Times New Roman" w:hAnsi="Times New Roman"/>
                <w:sz w:val="20"/>
                <w:szCs w:val="20"/>
                <w:color w:val="0563C1"/>
              </w:rPr>
              <w:t xml:space="preserve">Borrowings, Conversions and Continuations of Loans  </w:t>
            </w:r>
            <w:r>
              <w:rPr>
                <w:rFonts w:ascii="Times New Roman" w:cs="Times New Roman" w:eastAsia="Times New Roman" w:hAnsi="Times New Roman"/>
                <w:sz w:val="20"/>
                <w:szCs w:val="20"/>
                <w:color w:val="000000"/>
              </w:rPr>
              <w:t>75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03</w:t>
            </w:r>
          </w:p>
        </w:tc>
        <w:tc>
          <w:tcPr>
            <w:tcW w:w="240" w:type="dxa"/>
            <w:vAlign w:val="bottom"/>
          </w:tcPr>
          <w:p>
            <w:pPr>
              <w:spacing w:after="0"/>
              <w:rPr>
                <w:sz w:val="21"/>
                <w:szCs w:val="21"/>
                <w:color w:val="auto"/>
              </w:rPr>
            </w:pPr>
          </w:p>
        </w:tc>
        <w:tc>
          <w:tcPr>
            <w:tcW w:w="140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w w:val="99"/>
              </w:rPr>
              <w:t>Letters of Credit.</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04</w:t>
            </w:r>
          </w:p>
        </w:tc>
        <w:tc>
          <w:tcPr>
            <w:tcW w:w="240" w:type="dxa"/>
            <w:vAlign w:val="bottom"/>
          </w:tcPr>
          <w:p>
            <w:pPr>
              <w:spacing w:after="0"/>
              <w:rPr>
                <w:sz w:val="21"/>
                <w:szCs w:val="21"/>
                <w:color w:val="auto"/>
              </w:rPr>
            </w:pPr>
          </w:p>
        </w:tc>
        <w:tc>
          <w:tcPr>
            <w:tcW w:w="168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rPr>
              <w:t>Swing Line Loans.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05</w:t>
            </w:r>
          </w:p>
        </w:tc>
        <w:tc>
          <w:tcPr>
            <w:tcW w:w="240" w:type="dxa"/>
            <w:vAlign w:val="bottom"/>
          </w:tcPr>
          <w:p>
            <w:pPr>
              <w:spacing w:after="0"/>
              <w:rPr>
                <w:sz w:val="20"/>
                <w:szCs w:val="20"/>
                <w:color w:val="auto"/>
              </w:rPr>
            </w:pPr>
          </w:p>
        </w:tc>
        <w:tc>
          <w:tcPr>
            <w:tcW w:w="1260" w:type="dxa"/>
            <w:vAlign w:val="bottom"/>
            <w:gridSpan w:val="12"/>
          </w:tcPr>
          <w:p>
            <w:pPr>
              <w:ind w:left="20"/>
              <w:spacing w:after="0"/>
              <w:rPr>
                <w:sz w:val="20"/>
                <w:szCs w:val="20"/>
                <w:color w:val="auto"/>
              </w:rPr>
            </w:pPr>
            <w:r>
              <w:rPr>
                <w:rFonts w:ascii="Times New Roman" w:cs="Times New Roman" w:eastAsia="Times New Roman" w:hAnsi="Times New Roman"/>
                <w:sz w:val="20"/>
                <w:szCs w:val="20"/>
                <w:color w:val="0563C1"/>
              </w:rPr>
              <w:t>Prepayments.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06</w:t>
            </w:r>
          </w:p>
        </w:tc>
        <w:tc>
          <w:tcPr>
            <w:tcW w:w="240" w:type="dxa"/>
            <w:vAlign w:val="bottom"/>
          </w:tcPr>
          <w:p>
            <w:pPr>
              <w:spacing w:after="0"/>
              <w:rPr>
                <w:sz w:val="21"/>
                <w:szCs w:val="21"/>
                <w:color w:val="auto"/>
              </w:rPr>
            </w:pPr>
          </w:p>
        </w:tc>
        <w:tc>
          <w:tcPr>
            <w:tcW w:w="3920" w:type="dxa"/>
            <w:vAlign w:val="bottom"/>
            <w:gridSpan w:val="31"/>
          </w:tcPr>
          <w:p>
            <w:pPr>
              <w:ind w:left="20"/>
              <w:spacing w:after="0"/>
              <w:rPr>
                <w:sz w:val="20"/>
                <w:szCs w:val="20"/>
                <w:color w:val="auto"/>
              </w:rPr>
            </w:pPr>
            <w:r>
              <w:rPr>
                <w:rFonts w:ascii="Times New Roman" w:cs="Times New Roman" w:eastAsia="Times New Roman" w:hAnsi="Times New Roman"/>
                <w:sz w:val="20"/>
                <w:szCs w:val="20"/>
                <w:color w:val="0563C1"/>
              </w:rPr>
              <w:t xml:space="preserve">Termination or Reduction of Commitments  </w:t>
            </w:r>
            <w:r>
              <w:rPr>
                <w:rFonts w:ascii="Times New Roman" w:cs="Times New Roman" w:eastAsia="Times New Roman" w:hAnsi="Times New Roman"/>
                <w:sz w:val="20"/>
                <w:szCs w:val="20"/>
                <w:color w:val="000000"/>
              </w:rPr>
              <w:t>96</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07</w:t>
            </w:r>
          </w:p>
        </w:tc>
        <w:tc>
          <w:tcPr>
            <w:tcW w:w="240" w:type="dxa"/>
            <w:vAlign w:val="bottom"/>
          </w:tcPr>
          <w:p>
            <w:pPr>
              <w:spacing w:after="0"/>
              <w:rPr>
                <w:sz w:val="20"/>
                <w:szCs w:val="20"/>
                <w:color w:val="auto"/>
              </w:rPr>
            </w:pPr>
          </w:p>
        </w:tc>
        <w:tc>
          <w:tcPr>
            <w:tcW w:w="168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w w:val="98"/>
              </w:rPr>
              <w:t>Repayment of Loans</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08</w:t>
            </w:r>
          </w:p>
        </w:tc>
        <w:tc>
          <w:tcPr>
            <w:tcW w:w="240" w:type="dxa"/>
            <w:vAlign w:val="bottom"/>
          </w:tcPr>
          <w:p>
            <w:pPr>
              <w:spacing w:after="0"/>
              <w:rPr>
                <w:sz w:val="21"/>
                <w:szCs w:val="21"/>
                <w:color w:val="auto"/>
              </w:rPr>
            </w:pPr>
          </w:p>
        </w:tc>
        <w:tc>
          <w:tcPr>
            <w:tcW w:w="6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0563C1"/>
                <w:w w:val="99"/>
              </w:rPr>
              <w:t>Interest</w:t>
            </w:r>
          </w:p>
        </w:tc>
        <w:tc>
          <w:tcPr>
            <w:tcW w:w="44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98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09</w:t>
            </w:r>
          </w:p>
        </w:tc>
        <w:tc>
          <w:tcPr>
            <w:tcW w:w="240" w:type="dxa"/>
            <w:vAlign w:val="bottom"/>
          </w:tcPr>
          <w:p>
            <w:pPr>
              <w:spacing w:after="0"/>
              <w:rPr>
                <w:sz w:val="20"/>
                <w:szCs w:val="20"/>
                <w:color w:val="auto"/>
              </w:rPr>
            </w:pPr>
          </w:p>
        </w:tc>
        <w:tc>
          <w:tcPr>
            <w:tcW w:w="86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0563C1"/>
              </w:rPr>
              <w:t xml:space="preserve">Fees  </w:t>
            </w:r>
            <w:r>
              <w:rPr>
                <w:rFonts w:ascii="Times New Roman" w:cs="Times New Roman" w:eastAsia="Times New Roman" w:hAnsi="Times New Roman"/>
                <w:sz w:val="20"/>
                <w:szCs w:val="20"/>
                <w:color w:val="000000"/>
              </w:rPr>
              <w:t>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10</w:t>
            </w:r>
          </w:p>
        </w:tc>
        <w:tc>
          <w:tcPr>
            <w:tcW w:w="240" w:type="dxa"/>
            <w:vAlign w:val="bottom"/>
          </w:tcPr>
          <w:p>
            <w:pPr>
              <w:spacing w:after="0"/>
              <w:rPr>
                <w:sz w:val="21"/>
                <w:szCs w:val="21"/>
                <w:color w:val="auto"/>
              </w:rPr>
            </w:pPr>
          </w:p>
        </w:tc>
        <w:tc>
          <w:tcPr>
            <w:tcW w:w="6700" w:type="dxa"/>
            <w:vAlign w:val="bottom"/>
            <w:gridSpan w:val="39"/>
          </w:tcPr>
          <w:p>
            <w:pPr>
              <w:ind w:left="20"/>
              <w:spacing w:after="0"/>
              <w:rPr>
                <w:sz w:val="20"/>
                <w:szCs w:val="20"/>
                <w:color w:val="auto"/>
              </w:rPr>
            </w:pPr>
            <w:r>
              <w:rPr>
                <w:rFonts w:ascii="Times New Roman" w:cs="Times New Roman" w:eastAsia="Times New Roman" w:hAnsi="Times New Roman"/>
                <w:sz w:val="20"/>
                <w:szCs w:val="20"/>
                <w:color w:val="0563C1"/>
                <w:w w:val="99"/>
              </w:rPr>
              <w:t xml:space="preserve">Computation of Interest and Fees; Retroactive Adjustments of Applicable Rate.  </w:t>
            </w:r>
            <w:r>
              <w:rPr>
                <w:rFonts w:ascii="Times New Roman" w:cs="Times New Roman" w:eastAsia="Times New Roman" w:hAnsi="Times New Roman"/>
                <w:sz w:val="20"/>
                <w:szCs w:val="20"/>
                <w:color w:val="000000"/>
                <w:w w:val="99"/>
              </w:rPr>
              <w:t>99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gridSpan w:val="2"/>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24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11</w:t>
            </w:r>
          </w:p>
        </w:tc>
        <w:tc>
          <w:tcPr>
            <w:tcW w:w="240" w:type="dxa"/>
            <w:vAlign w:val="bottom"/>
          </w:tcPr>
          <w:p>
            <w:pPr>
              <w:spacing w:after="0"/>
              <w:rPr>
                <w:sz w:val="21"/>
                <w:szCs w:val="21"/>
                <w:color w:val="auto"/>
              </w:rPr>
            </w:pPr>
          </w:p>
        </w:tc>
        <w:tc>
          <w:tcPr>
            <w:tcW w:w="1400" w:type="dxa"/>
            <w:vAlign w:val="bottom"/>
            <w:tcBorders>
              <w:bottom w:val="single" w:sz="8" w:color="0563C1"/>
            </w:tcBorders>
            <w:gridSpan w:val="14"/>
          </w:tcPr>
          <w:p>
            <w:pPr>
              <w:spacing w:after="0"/>
              <w:rPr>
                <w:sz w:val="20"/>
                <w:szCs w:val="20"/>
                <w:color w:val="auto"/>
              </w:rPr>
            </w:pPr>
            <w:r>
              <w:rPr>
                <w:rFonts w:ascii="Times New Roman" w:cs="Times New Roman" w:eastAsia="Times New Roman" w:hAnsi="Times New Roman"/>
                <w:sz w:val="20"/>
                <w:szCs w:val="20"/>
                <w:color w:val="0563C1"/>
                <w:w w:val="98"/>
              </w:rPr>
              <w:t>Evidence of Debt</w:t>
            </w:r>
          </w:p>
        </w:tc>
        <w:tc>
          <w:tcPr>
            <w:tcW w:w="62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100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12</w:t>
            </w:r>
          </w:p>
        </w:tc>
        <w:tc>
          <w:tcPr>
            <w:tcW w:w="240" w:type="dxa"/>
            <w:vAlign w:val="bottom"/>
          </w:tcPr>
          <w:p>
            <w:pPr>
              <w:spacing w:after="0"/>
              <w:rPr>
                <w:sz w:val="20"/>
                <w:szCs w:val="20"/>
                <w:color w:val="auto"/>
              </w:rPr>
            </w:pPr>
          </w:p>
        </w:tc>
        <w:tc>
          <w:tcPr>
            <w:tcW w:w="4640" w:type="dxa"/>
            <w:vAlign w:val="bottom"/>
            <w:gridSpan w:val="35"/>
          </w:tcPr>
          <w:p>
            <w:pPr>
              <w:ind w:left="20"/>
              <w:spacing w:after="0"/>
              <w:rPr>
                <w:sz w:val="20"/>
                <w:szCs w:val="20"/>
                <w:color w:val="auto"/>
              </w:rPr>
            </w:pPr>
            <w:r>
              <w:rPr>
                <w:rFonts w:ascii="Times New Roman" w:cs="Times New Roman" w:eastAsia="Times New Roman" w:hAnsi="Times New Roman"/>
                <w:sz w:val="20"/>
                <w:szCs w:val="20"/>
                <w:color w:val="0563C1"/>
              </w:rPr>
              <w:t>Payments Generally; Administrative Agents’ Clawback.</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100</w:t>
            </w: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340" w:type="dxa"/>
            <w:vAlign w:val="bottom"/>
            <w:tcBorders>
              <w:left w:val="single" w:sz="8" w:color="0563C1"/>
            </w:tcBorders>
            <w:gridSpan w:val="4"/>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940" w:type="dxa"/>
            <w:vAlign w:val="bottom"/>
            <w:gridSpan w:val="4"/>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13</w:t>
            </w:r>
          </w:p>
        </w:tc>
        <w:tc>
          <w:tcPr>
            <w:tcW w:w="240" w:type="dxa"/>
            <w:vAlign w:val="bottom"/>
          </w:tcPr>
          <w:p>
            <w:pPr>
              <w:spacing w:after="0"/>
              <w:rPr>
                <w:sz w:val="21"/>
                <w:szCs w:val="21"/>
                <w:color w:val="auto"/>
              </w:rPr>
            </w:pPr>
          </w:p>
        </w:tc>
        <w:tc>
          <w:tcPr>
            <w:tcW w:w="3920" w:type="dxa"/>
            <w:vAlign w:val="bottom"/>
            <w:gridSpan w:val="31"/>
          </w:tcPr>
          <w:p>
            <w:pPr>
              <w:ind w:left="20"/>
              <w:spacing w:after="0"/>
              <w:rPr>
                <w:sz w:val="20"/>
                <w:szCs w:val="20"/>
                <w:color w:val="auto"/>
              </w:rPr>
            </w:pPr>
            <w:r>
              <w:rPr>
                <w:rFonts w:ascii="Times New Roman" w:cs="Times New Roman" w:eastAsia="Times New Roman" w:hAnsi="Times New Roman"/>
                <w:sz w:val="20"/>
                <w:szCs w:val="20"/>
                <w:color w:val="0563C1"/>
              </w:rPr>
              <w:t xml:space="preserve">Sharing of Payments by Lenders  </w:t>
            </w:r>
            <w:r>
              <w:rPr>
                <w:rFonts w:ascii="Times New Roman" w:cs="Times New Roman" w:eastAsia="Times New Roman" w:hAnsi="Times New Roman"/>
                <w:sz w:val="20"/>
                <w:szCs w:val="20"/>
                <w:color w:val="000000"/>
              </w:rPr>
              <w:t>103</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340" w:type="dxa"/>
            <w:vAlign w:val="bottom"/>
            <w:tcBorders>
              <w:left w:val="single" w:sz="8" w:color="0563C1"/>
            </w:tcBorders>
            <w:gridSpan w:val="4"/>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14</w:t>
            </w:r>
          </w:p>
        </w:tc>
        <w:tc>
          <w:tcPr>
            <w:tcW w:w="240" w:type="dxa"/>
            <w:vAlign w:val="bottom"/>
          </w:tcPr>
          <w:p>
            <w:pPr>
              <w:spacing w:after="0"/>
              <w:rPr>
                <w:sz w:val="20"/>
                <w:szCs w:val="20"/>
                <w:color w:val="auto"/>
              </w:rPr>
            </w:pPr>
          </w:p>
        </w:tc>
        <w:tc>
          <w:tcPr>
            <w:tcW w:w="4640" w:type="dxa"/>
            <w:vAlign w:val="bottom"/>
            <w:gridSpan w:val="35"/>
          </w:tcPr>
          <w:p>
            <w:pPr>
              <w:ind w:left="20"/>
              <w:spacing w:after="0"/>
              <w:rPr>
                <w:sz w:val="20"/>
                <w:szCs w:val="20"/>
                <w:color w:val="auto"/>
              </w:rPr>
            </w:pPr>
            <w:r>
              <w:rPr>
                <w:rFonts w:ascii="Times New Roman" w:cs="Times New Roman" w:eastAsia="Times New Roman" w:hAnsi="Times New Roman"/>
                <w:sz w:val="20"/>
                <w:szCs w:val="20"/>
                <w:color w:val="0563C1"/>
              </w:rPr>
              <w:t>Designation of Unrestricted and Restricted Subsidiaries.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104</w:t>
            </w: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340" w:type="dxa"/>
            <w:vAlign w:val="bottom"/>
            <w:tcBorders>
              <w:left w:val="single" w:sz="8" w:color="0563C1"/>
            </w:tcBorders>
            <w:gridSpan w:val="4"/>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15</w:t>
            </w:r>
          </w:p>
        </w:tc>
        <w:tc>
          <w:tcPr>
            <w:tcW w:w="240" w:type="dxa"/>
            <w:vAlign w:val="bottom"/>
          </w:tcPr>
          <w:p>
            <w:pPr>
              <w:spacing w:after="0"/>
              <w:rPr>
                <w:sz w:val="21"/>
                <w:szCs w:val="21"/>
                <w:color w:val="auto"/>
              </w:rPr>
            </w:pPr>
          </w:p>
        </w:tc>
        <w:tc>
          <w:tcPr>
            <w:tcW w:w="2020" w:type="dxa"/>
            <w:vAlign w:val="bottom"/>
            <w:gridSpan w:val="19"/>
          </w:tcPr>
          <w:p>
            <w:pPr>
              <w:ind w:left="20"/>
              <w:spacing w:after="0"/>
              <w:rPr>
                <w:sz w:val="20"/>
                <w:szCs w:val="20"/>
                <w:color w:val="auto"/>
              </w:rPr>
            </w:pPr>
            <w:r>
              <w:rPr>
                <w:rFonts w:ascii="Times New Roman" w:cs="Times New Roman" w:eastAsia="Times New Roman" w:hAnsi="Times New Roman"/>
                <w:sz w:val="20"/>
                <w:szCs w:val="20"/>
                <w:color w:val="0563C1"/>
              </w:rPr>
              <w:t>Designated Borrowers.</w:t>
            </w: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3"/>
              </w:rPr>
              <w:t>105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340" w:type="dxa"/>
            <w:vAlign w:val="bottom"/>
            <w:tcBorders>
              <w:left w:val="single" w:sz="8" w:color="0563C1"/>
            </w:tcBorders>
            <w:gridSpan w:val="4"/>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16</w:t>
            </w:r>
          </w:p>
        </w:tc>
        <w:tc>
          <w:tcPr>
            <w:tcW w:w="240" w:type="dxa"/>
            <w:vAlign w:val="bottom"/>
          </w:tcPr>
          <w:p>
            <w:pPr>
              <w:spacing w:after="0"/>
              <w:rPr>
                <w:sz w:val="21"/>
                <w:szCs w:val="21"/>
                <w:color w:val="auto"/>
              </w:rPr>
            </w:pPr>
          </w:p>
        </w:tc>
        <w:tc>
          <w:tcPr>
            <w:tcW w:w="2020" w:type="dxa"/>
            <w:vAlign w:val="bottom"/>
            <w:gridSpan w:val="19"/>
          </w:tcPr>
          <w:p>
            <w:pPr>
              <w:ind w:left="20"/>
              <w:spacing w:after="0"/>
              <w:rPr>
                <w:sz w:val="20"/>
                <w:szCs w:val="20"/>
                <w:color w:val="auto"/>
              </w:rPr>
            </w:pPr>
            <w:r>
              <w:rPr>
                <w:rFonts w:ascii="Times New Roman" w:cs="Times New Roman" w:eastAsia="Times New Roman" w:hAnsi="Times New Roman"/>
                <w:sz w:val="20"/>
                <w:szCs w:val="20"/>
                <w:color w:val="0563C1"/>
              </w:rPr>
              <w:t>Incremental Facilities.</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79"/>
              </w:rPr>
              <w:t>107</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17</w:t>
            </w:r>
          </w:p>
        </w:tc>
        <w:tc>
          <w:tcPr>
            <w:tcW w:w="240" w:type="dxa"/>
            <w:vAlign w:val="bottom"/>
          </w:tcPr>
          <w:p>
            <w:pPr>
              <w:spacing w:after="0"/>
              <w:rPr>
                <w:sz w:val="20"/>
                <w:szCs w:val="20"/>
                <w:color w:val="auto"/>
              </w:rPr>
            </w:pPr>
          </w:p>
        </w:tc>
        <w:tc>
          <w:tcPr>
            <w:tcW w:w="140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rPr>
              <w:t>Cash Collateral.</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340" w:type="dxa"/>
            <w:vAlign w:val="bottom"/>
            <w:tcBorders>
              <w:left w:val="single" w:sz="8" w:color="0563C1"/>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18</w:t>
            </w:r>
          </w:p>
        </w:tc>
        <w:tc>
          <w:tcPr>
            <w:tcW w:w="240" w:type="dxa"/>
            <w:vAlign w:val="bottom"/>
          </w:tcPr>
          <w:p>
            <w:pPr>
              <w:spacing w:after="0"/>
              <w:rPr>
                <w:sz w:val="21"/>
                <w:szCs w:val="21"/>
                <w:color w:val="auto"/>
              </w:rPr>
            </w:pPr>
          </w:p>
        </w:tc>
        <w:tc>
          <w:tcPr>
            <w:tcW w:w="168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rPr>
              <w:t>Defaulting Lenders.</w:t>
            </w:r>
          </w:p>
        </w:tc>
        <w:tc>
          <w:tcPr>
            <w:tcW w:w="4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113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34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19</w:t>
            </w:r>
          </w:p>
        </w:tc>
        <w:tc>
          <w:tcPr>
            <w:tcW w:w="240" w:type="dxa"/>
            <w:vAlign w:val="bottom"/>
          </w:tcPr>
          <w:p>
            <w:pPr>
              <w:spacing w:after="0"/>
              <w:rPr>
                <w:sz w:val="20"/>
                <w:szCs w:val="20"/>
                <w:color w:val="auto"/>
              </w:rPr>
            </w:pPr>
          </w:p>
        </w:tc>
        <w:tc>
          <w:tcPr>
            <w:tcW w:w="168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rPr>
              <w:t xml:space="preserve">[Reserved].  </w:t>
            </w:r>
            <w:r>
              <w:rPr>
                <w:rFonts w:ascii="Times New Roman" w:cs="Times New Roman" w:eastAsia="Times New Roman" w:hAnsi="Times New Roman"/>
                <w:sz w:val="20"/>
                <w:szCs w:val="20"/>
                <w:color w:val="000000"/>
              </w:rPr>
              <w:t>115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3"/>
            <w:shd w:val="clear" w:color="auto" w:fill="0563C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20</w:t>
            </w:r>
          </w:p>
        </w:tc>
        <w:tc>
          <w:tcPr>
            <w:tcW w:w="240" w:type="dxa"/>
            <w:vAlign w:val="bottom"/>
          </w:tcPr>
          <w:p>
            <w:pPr>
              <w:spacing w:after="0"/>
              <w:rPr>
                <w:sz w:val="21"/>
                <w:szCs w:val="21"/>
                <w:color w:val="auto"/>
              </w:rPr>
            </w:pPr>
          </w:p>
        </w:tc>
        <w:tc>
          <w:tcPr>
            <w:tcW w:w="168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rPr>
              <w:t>Foreign Guarantors.</w:t>
            </w:r>
          </w:p>
        </w:tc>
        <w:tc>
          <w:tcPr>
            <w:tcW w:w="4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115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580" w:type="dxa"/>
            <w:vAlign w:val="bottom"/>
            <w:tcBorders>
              <w:left w:val="single" w:sz="8" w:color="0563C1"/>
            </w:tcBorders>
            <w:gridSpan w:val="6"/>
            <w:shd w:val="clear" w:color="auto" w:fill="0563C1"/>
          </w:tcPr>
          <w:p>
            <w:pPr>
              <w:spacing w:after="0" w:line="20" w:lineRule="exact"/>
              <w:rPr>
                <w:sz w:val="1"/>
                <w:szCs w:val="1"/>
                <w:color w:val="auto"/>
              </w:rPr>
            </w:pPr>
          </w:p>
        </w:tc>
        <w:tc>
          <w:tcPr>
            <w:tcW w:w="340" w:type="dxa"/>
            <w:vAlign w:val="bottom"/>
            <w:tcBorders>
              <w:left w:val="single" w:sz="8" w:color="0563C1"/>
            </w:tcBorders>
            <w:gridSpan w:val="4"/>
            <w:shd w:val="clear" w:color="auto" w:fill="0563C1"/>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2.</w:t>
            </w:r>
            <w:r>
              <w:rPr>
                <w:rFonts w:ascii="Times New Roman" w:cs="Times New Roman" w:eastAsia="Times New Roman" w:hAnsi="Times New Roman"/>
                <w:sz w:val="20"/>
                <w:szCs w:val="20"/>
                <w:u w:val="single" w:color="auto"/>
                <w:color w:val="0563C1"/>
                <w:w w:val="85"/>
              </w:rPr>
              <w:t>21</w:t>
            </w:r>
          </w:p>
        </w:tc>
        <w:tc>
          <w:tcPr>
            <w:tcW w:w="240" w:type="dxa"/>
            <w:vAlign w:val="bottom"/>
          </w:tcPr>
          <w:p>
            <w:pPr>
              <w:spacing w:after="0"/>
              <w:rPr>
                <w:sz w:val="21"/>
                <w:szCs w:val="21"/>
                <w:color w:val="auto"/>
              </w:rPr>
            </w:pPr>
          </w:p>
        </w:tc>
        <w:tc>
          <w:tcPr>
            <w:tcW w:w="2340" w:type="dxa"/>
            <w:vAlign w:val="bottom"/>
            <w:gridSpan w:val="23"/>
          </w:tcPr>
          <w:p>
            <w:pPr>
              <w:ind w:left="20"/>
              <w:spacing w:after="0"/>
              <w:rPr>
                <w:sz w:val="20"/>
                <w:szCs w:val="20"/>
                <w:color w:val="auto"/>
              </w:rPr>
            </w:pPr>
            <w:r>
              <w:rPr>
                <w:rFonts w:ascii="Times New Roman" w:cs="Times New Roman" w:eastAsia="Times New Roman" w:hAnsi="Times New Roman"/>
                <w:sz w:val="20"/>
                <w:szCs w:val="20"/>
                <w:color w:val="0563C1"/>
              </w:rPr>
              <w:t>Refinancing Amendments.</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86"/>
              </w:rPr>
              <w:t>116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3"/>
            <w:vMerge w:val="restart"/>
          </w:tcPr>
          <w:p>
            <w:pPr>
              <w:jc w:val="right"/>
              <w:ind w:right="1220"/>
              <w:spacing w:after="0"/>
              <w:rPr>
                <w:sz w:val="20"/>
                <w:szCs w:val="20"/>
                <w:color w:val="auto"/>
              </w:rPr>
            </w:pPr>
            <w:r>
              <w:rPr>
                <w:rFonts w:ascii="Times New Roman" w:cs="Times New Roman" w:eastAsia="Times New Roman" w:hAnsi="Times New Roman"/>
                <w:sz w:val="20"/>
                <w:szCs w:val="20"/>
                <w:color w:val="auto"/>
              </w:rPr>
              <w:t>120</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gridSpan w:val="2"/>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580" w:type="dxa"/>
            <w:vAlign w:val="bottom"/>
            <w:tcBorders>
              <w:left w:val="single" w:sz="8" w:color="0563C1"/>
            </w:tcBorders>
            <w:gridSpan w:val="6"/>
            <w:shd w:val="clear" w:color="auto" w:fill="0563C1"/>
          </w:tcPr>
          <w:p>
            <w:pPr>
              <w:spacing w:after="0" w:line="20" w:lineRule="exact"/>
              <w:rPr>
                <w:sz w:val="1"/>
                <w:szCs w:val="1"/>
                <w:color w:val="auto"/>
              </w:rPr>
            </w:pPr>
          </w:p>
        </w:tc>
        <w:tc>
          <w:tcPr>
            <w:tcW w:w="760" w:type="dxa"/>
            <w:vAlign w:val="bottom"/>
            <w:tcBorders>
              <w:left w:val="single" w:sz="8" w:color="0563C1"/>
              <w:right w:val="single" w:sz="8" w:color="0563C1"/>
            </w:tcBorders>
            <w:gridSpan w:val="7"/>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38"/>
          </w:tcPr>
          <w:p>
            <w:pPr>
              <w:spacing w:after="0" w:line="209" w:lineRule="exact"/>
              <w:rPr>
                <w:sz w:val="20"/>
                <w:szCs w:val="20"/>
                <w:color w:val="auto"/>
              </w:rPr>
            </w:pPr>
            <w:r>
              <w:rPr>
                <w:rFonts w:ascii="Times New Roman" w:cs="Times New Roman" w:eastAsia="Times New Roman" w:hAnsi="Times New Roman"/>
                <w:sz w:val="20"/>
                <w:szCs w:val="20"/>
                <w:color w:val="0563C1"/>
                <w:w w:val="98"/>
              </w:rPr>
              <w:t>ARTICLE III TAXES, YIELD PROTECTION AND ILLEGALITY</w:t>
            </w:r>
          </w:p>
        </w:tc>
        <w:tc>
          <w:tcPr>
            <w:tcW w:w="168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3.</w:t>
            </w:r>
            <w:r>
              <w:rPr>
                <w:rFonts w:ascii="Times New Roman" w:cs="Times New Roman" w:eastAsia="Times New Roman" w:hAnsi="Times New Roman"/>
                <w:sz w:val="20"/>
                <w:szCs w:val="20"/>
                <w:u w:val="single" w:color="auto"/>
                <w:color w:val="0563C1"/>
                <w:w w:val="85"/>
              </w:rPr>
              <w:t>01</w:t>
            </w:r>
          </w:p>
        </w:tc>
        <w:tc>
          <w:tcPr>
            <w:tcW w:w="240" w:type="dxa"/>
            <w:vAlign w:val="bottom"/>
            <w:tcBorders>
              <w:top w:val="single" w:sz="8" w:color="0563C1"/>
            </w:tcBorders>
          </w:tcPr>
          <w:p>
            <w:pPr>
              <w:spacing w:after="0"/>
              <w:rPr>
                <w:sz w:val="21"/>
                <w:szCs w:val="21"/>
                <w:color w:val="auto"/>
              </w:rPr>
            </w:pPr>
          </w:p>
        </w:tc>
        <w:tc>
          <w:tcPr>
            <w:tcW w:w="640" w:type="dxa"/>
            <w:vAlign w:val="bottom"/>
            <w:tcBorders>
              <w:top w:val="single" w:sz="8" w:color="0563C1"/>
            </w:tcBorders>
            <w:gridSpan w:val="5"/>
          </w:tcPr>
          <w:p>
            <w:pPr>
              <w:ind w:left="20"/>
              <w:spacing w:after="0"/>
              <w:rPr>
                <w:sz w:val="20"/>
                <w:szCs w:val="20"/>
                <w:color w:val="auto"/>
              </w:rPr>
            </w:pPr>
            <w:r>
              <w:rPr>
                <w:rFonts w:ascii="Times New Roman" w:cs="Times New Roman" w:eastAsia="Times New Roman" w:hAnsi="Times New Roman"/>
                <w:sz w:val="20"/>
                <w:szCs w:val="20"/>
                <w:color w:val="0563C1"/>
              </w:rPr>
              <w:t>Taxes</w:t>
            </w:r>
          </w:p>
        </w:tc>
        <w:tc>
          <w:tcPr>
            <w:tcW w:w="440" w:type="dxa"/>
            <w:vAlign w:val="bottom"/>
            <w:tcBorders>
              <w:top w:val="single" w:sz="8" w:color="0563C1"/>
            </w:tcBorders>
            <w:gridSpan w:val="5"/>
          </w:tcPr>
          <w:p>
            <w:pPr>
              <w:jc w:val="right"/>
              <w:ind w:right="120"/>
              <w:spacing w:after="0"/>
              <w:rPr>
                <w:sz w:val="20"/>
                <w:szCs w:val="20"/>
                <w:color w:val="auto"/>
              </w:rPr>
            </w:pPr>
            <w:r>
              <w:rPr>
                <w:rFonts w:ascii="Times New Roman" w:cs="Times New Roman" w:eastAsia="Times New Roman" w:hAnsi="Times New Roman"/>
                <w:sz w:val="20"/>
                <w:szCs w:val="20"/>
                <w:color w:val="auto"/>
                <w:w w:val="99"/>
              </w:rPr>
              <w:t>120</w:t>
            </w:r>
          </w:p>
        </w:tc>
        <w:tc>
          <w:tcPr>
            <w:tcW w:w="1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2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6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1"/>
                <w:szCs w:val="21"/>
                <w:color w:val="auto"/>
              </w:rPr>
            </w:pPr>
          </w:p>
        </w:tc>
        <w:tc>
          <w:tcPr>
            <w:tcW w:w="36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36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3.</w:t>
            </w:r>
            <w:r>
              <w:rPr>
                <w:rFonts w:ascii="Times New Roman" w:cs="Times New Roman" w:eastAsia="Times New Roman" w:hAnsi="Times New Roman"/>
                <w:sz w:val="20"/>
                <w:szCs w:val="20"/>
                <w:u w:val="single" w:color="auto"/>
                <w:color w:val="0563C1"/>
                <w:w w:val="85"/>
              </w:rPr>
              <w:t>02</w:t>
            </w:r>
          </w:p>
        </w:tc>
        <w:tc>
          <w:tcPr>
            <w:tcW w:w="240" w:type="dxa"/>
            <w:vAlign w:val="bottom"/>
          </w:tcPr>
          <w:p>
            <w:pPr>
              <w:spacing w:after="0"/>
              <w:rPr>
                <w:sz w:val="20"/>
                <w:szCs w:val="20"/>
                <w:color w:val="auto"/>
              </w:rPr>
            </w:pPr>
          </w:p>
        </w:tc>
        <w:tc>
          <w:tcPr>
            <w:tcW w:w="86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0563C1"/>
              </w:rPr>
              <w:t>Illegality</w:t>
            </w:r>
          </w:p>
        </w:tc>
        <w:tc>
          <w:tcPr>
            <w:tcW w:w="4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125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580" w:type="dxa"/>
            <w:vAlign w:val="bottom"/>
            <w:tcBorders>
              <w:left w:val="single" w:sz="8" w:color="0563C1"/>
            </w:tcBorders>
            <w:gridSpan w:val="6"/>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3.</w:t>
            </w:r>
            <w:r>
              <w:rPr>
                <w:rFonts w:ascii="Times New Roman" w:cs="Times New Roman" w:eastAsia="Times New Roman" w:hAnsi="Times New Roman"/>
                <w:sz w:val="20"/>
                <w:szCs w:val="20"/>
                <w:u w:val="single" w:color="auto"/>
                <w:color w:val="0563C1"/>
                <w:w w:val="85"/>
              </w:rPr>
              <w:t>03</w:t>
            </w:r>
          </w:p>
        </w:tc>
        <w:tc>
          <w:tcPr>
            <w:tcW w:w="240" w:type="dxa"/>
            <w:vAlign w:val="bottom"/>
          </w:tcPr>
          <w:p>
            <w:pPr>
              <w:spacing w:after="0"/>
              <w:rPr>
                <w:sz w:val="21"/>
                <w:szCs w:val="21"/>
                <w:color w:val="auto"/>
              </w:rPr>
            </w:pPr>
          </w:p>
        </w:tc>
        <w:tc>
          <w:tcPr>
            <w:tcW w:w="2340" w:type="dxa"/>
            <w:vAlign w:val="bottom"/>
            <w:gridSpan w:val="23"/>
          </w:tcPr>
          <w:p>
            <w:pPr>
              <w:ind w:left="20"/>
              <w:spacing w:after="0"/>
              <w:rPr>
                <w:sz w:val="20"/>
                <w:szCs w:val="20"/>
                <w:color w:val="auto"/>
              </w:rPr>
            </w:pPr>
            <w:r>
              <w:rPr>
                <w:rFonts w:ascii="Times New Roman" w:cs="Times New Roman" w:eastAsia="Times New Roman" w:hAnsi="Times New Roman"/>
                <w:sz w:val="20"/>
                <w:szCs w:val="20"/>
                <w:color w:val="0563C1"/>
                <w:w w:val="99"/>
              </w:rPr>
              <w:t>Inability to Determine Rates.</w:t>
            </w:r>
          </w:p>
        </w:tc>
        <w:tc>
          <w:tcPr>
            <w:tcW w:w="5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126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580" w:type="dxa"/>
            <w:vAlign w:val="bottom"/>
            <w:tcBorders>
              <w:left w:val="single" w:sz="8" w:color="0563C1"/>
            </w:tcBorders>
            <w:gridSpan w:val="6"/>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80" w:type="dxa"/>
            <w:vAlign w:val="bottom"/>
            <w:gridSpan w:val="4"/>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3.</w:t>
            </w:r>
            <w:r>
              <w:rPr>
                <w:rFonts w:ascii="Times New Roman" w:cs="Times New Roman" w:eastAsia="Times New Roman" w:hAnsi="Times New Roman"/>
                <w:sz w:val="20"/>
                <w:szCs w:val="20"/>
                <w:u w:val="single" w:color="auto"/>
                <w:color w:val="0563C1"/>
                <w:w w:val="85"/>
              </w:rPr>
              <w:t>04</w:t>
            </w:r>
          </w:p>
        </w:tc>
        <w:tc>
          <w:tcPr>
            <w:tcW w:w="240" w:type="dxa"/>
            <w:vAlign w:val="bottom"/>
          </w:tcPr>
          <w:p>
            <w:pPr>
              <w:spacing w:after="0"/>
              <w:rPr>
                <w:sz w:val="21"/>
                <w:szCs w:val="21"/>
                <w:color w:val="auto"/>
              </w:rPr>
            </w:pPr>
          </w:p>
        </w:tc>
        <w:tc>
          <w:tcPr>
            <w:tcW w:w="1260" w:type="dxa"/>
            <w:vAlign w:val="bottom"/>
            <w:gridSpan w:val="12"/>
          </w:tcPr>
          <w:p>
            <w:pPr>
              <w:ind w:left="20"/>
              <w:spacing w:after="0"/>
              <w:rPr>
                <w:sz w:val="20"/>
                <w:szCs w:val="20"/>
                <w:color w:val="auto"/>
              </w:rPr>
            </w:pPr>
            <w:r>
              <w:rPr>
                <w:rFonts w:ascii="Times New Roman" w:cs="Times New Roman" w:eastAsia="Times New Roman" w:hAnsi="Times New Roman"/>
                <w:sz w:val="20"/>
                <w:szCs w:val="20"/>
                <w:color w:val="0563C1"/>
                <w:w w:val="95"/>
              </w:rPr>
              <w:t>Increased Costs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580" w:type="dxa"/>
            <w:vAlign w:val="bottom"/>
            <w:tcBorders>
              <w:left w:val="single" w:sz="8" w:color="0563C1"/>
            </w:tcBorders>
            <w:gridSpan w:val="6"/>
            <w:shd w:val="clear" w:color="auto" w:fill="0563C1"/>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3.</w:t>
            </w:r>
            <w:r>
              <w:rPr>
                <w:rFonts w:ascii="Times New Roman" w:cs="Times New Roman" w:eastAsia="Times New Roman" w:hAnsi="Times New Roman"/>
                <w:sz w:val="20"/>
                <w:szCs w:val="20"/>
                <w:u w:val="single" w:color="auto"/>
                <w:color w:val="0563C1"/>
                <w:w w:val="85"/>
              </w:rPr>
              <w:t>05</w:t>
            </w:r>
          </w:p>
        </w:tc>
        <w:tc>
          <w:tcPr>
            <w:tcW w:w="240" w:type="dxa"/>
            <w:vAlign w:val="bottom"/>
          </w:tcPr>
          <w:p>
            <w:pPr>
              <w:spacing w:after="0"/>
              <w:rPr>
                <w:sz w:val="20"/>
                <w:szCs w:val="20"/>
                <w:color w:val="auto"/>
              </w:rPr>
            </w:pPr>
          </w:p>
        </w:tc>
        <w:tc>
          <w:tcPr>
            <w:tcW w:w="2040" w:type="dxa"/>
            <w:vAlign w:val="bottom"/>
            <w:gridSpan w:val="20"/>
          </w:tcPr>
          <w:p>
            <w:pPr>
              <w:ind w:left="20"/>
              <w:spacing w:after="0"/>
              <w:rPr>
                <w:sz w:val="20"/>
                <w:szCs w:val="20"/>
                <w:color w:val="auto"/>
              </w:rPr>
            </w:pPr>
            <w:r>
              <w:rPr>
                <w:rFonts w:ascii="Times New Roman" w:cs="Times New Roman" w:eastAsia="Times New Roman" w:hAnsi="Times New Roman"/>
                <w:sz w:val="20"/>
                <w:szCs w:val="20"/>
                <w:color w:val="0563C1"/>
                <w:w w:val="98"/>
              </w:rPr>
              <w:t>Compensation for Losses</w:t>
            </w:r>
          </w:p>
        </w:tc>
        <w:tc>
          <w:tcPr>
            <w:tcW w:w="5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130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3.</w:t>
            </w:r>
            <w:r>
              <w:rPr>
                <w:rFonts w:ascii="Times New Roman" w:cs="Times New Roman" w:eastAsia="Times New Roman" w:hAnsi="Times New Roman"/>
                <w:sz w:val="20"/>
                <w:szCs w:val="20"/>
                <w:u w:val="single" w:color="auto"/>
                <w:color w:val="0563C1"/>
                <w:w w:val="85"/>
              </w:rPr>
              <w:t>06</w:t>
            </w:r>
          </w:p>
        </w:tc>
        <w:tc>
          <w:tcPr>
            <w:tcW w:w="240" w:type="dxa"/>
            <w:vAlign w:val="bottom"/>
          </w:tcPr>
          <w:p>
            <w:pPr>
              <w:spacing w:after="0"/>
              <w:rPr>
                <w:sz w:val="21"/>
                <w:szCs w:val="21"/>
                <w:color w:val="auto"/>
              </w:rPr>
            </w:pPr>
          </w:p>
        </w:tc>
        <w:tc>
          <w:tcPr>
            <w:tcW w:w="3920" w:type="dxa"/>
            <w:vAlign w:val="bottom"/>
            <w:gridSpan w:val="31"/>
          </w:tcPr>
          <w:p>
            <w:pPr>
              <w:ind w:left="20"/>
              <w:spacing w:after="0"/>
              <w:rPr>
                <w:sz w:val="20"/>
                <w:szCs w:val="20"/>
                <w:color w:val="auto"/>
              </w:rPr>
            </w:pPr>
            <w:r>
              <w:rPr>
                <w:rFonts w:ascii="Times New Roman" w:cs="Times New Roman" w:eastAsia="Times New Roman" w:hAnsi="Times New Roman"/>
                <w:sz w:val="20"/>
                <w:szCs w:val="20"/>
                <w:color w:val="0563C1"/>
                <w:w w:val="99"/>
              </w:rPr>
              <w:t>Mitigation Obligations; Replacement of Lenders</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340" w:type="dxa"/>
            <w:vAlign w:val="bottom"/>
            <w:gridSpan w:val="3"/>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3.</w:t>
            </w:r>
            <w:r>
              <w:rPr>
                <w:rFonts w:ascii="Times New Roman" w:cs="Times New Roman" w:eastAsia="Times New Roman" w:hAnsi="Times New Roman"/>
                <w:sz w:val="20"/>
                <w:szCs w:val="20"/>
                <w:u w:val="single" w:color="auto"/>
                <w:color w:val="0563C1"/>
                <w:w w:val="85"/>
              </w:rPr>
              <w:t>07</w:t>
            </w:r>
          </w:p>
        </w:tc>
        <w:tc>
          <w:tcPr>
            <w:tcW w:w="240" w:type="dxa"/>
            <w:vAlign w:val="bottom"/>
          </w:tcPr>
          <w:p>
            <w:pPr>
              <w:spacing w:after="0"/>
              <w:rPr>
                <w:sz w:val="20"/>
                <w:szCs w:val="20"/>
                <w:color w:val="auto"/>
              </w:rPr>
            </w:pPr>
          </w:p>
        </w:tc>
        <w:tc>
          <w:tcPr>
            <w:tcW w:w="86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0563C1"/>
              </w:rPr>
              <w:t>Survival</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w w:val="99"/>
              </w:rPr>
              <w:t>132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gridSpan w:val="2"/>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2180" w:type="dxa"/>
            <w:vAlign w:val="bottom"/>
            <w:gridSpan w:val="20"/>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00" w:type="dxa"/>
            <w:vAlign w:val="bottom"/>
            <w:gridSpan w:val="42"/>
          </w:tcPr>
          <w:p>
            <w:pPr>
              <w:spacing w:after="0" w:line="223" w:lineRule="exact"/>
              <w:rPr>
                <w:sz w:val="20"/>
                <w:szCs w:val="20"/>
                <w:color w:val="auto"/>
              </w:rPr>
            </w:pPr>
            <w:r>
              <w:rPr>
                <w:rFonts w:ascii="Times New Roman" w:cs="Times New Roman" w:eastAsia="Times New Roman" w:hAnsi="Times New Roman"/>
                <w:sz w:val="20"/>
                <w:szCs w:val="20"/>
                <w:color w:val="0563C1"/>
              </w:rPr>
              <w:t xml:space="preserve">ARTICLE IV CONDITIONS PRECEDENT TO CREDIT EXTENSIONS  </w:t>
            </w:r>
            <w:r>
              <w:rPr>
                <w:rFonts w:ascii="Times New Roman" w:cs="Times New Roman" w:eastAsia="Times New Roman" w:hAnsi="Times New Roman"/>
                <w:sz w:val="20"/>
                <w:szCs w:val="20"/>
                <w:color w:val="000000"/>
              </w:rPr>
              <w:t>132</w:t>
            </w:r>
          </w:p>
        </w:tc>
        <w:tc>
          <w:tcPr>
            <w:tcW w:w="0" w:type="dxa"/>
            <w:vAlign w:val="bottom"/>
          </w:tcPr>
          <w:p>
            <w:pPr>
              <w:spacing w:after="0"/>
              <w:rPr>
                <w:sz w:val="1"/>
                <w:szCs w:val="1"/>
                <w:color w:val="auto"/>
              </w:rPr>
            </w:pPr>
          </w:p>
        </w:tc>
      </w:tr>
      <w:tr>
        <w:trPr>
          <w:trHeight w:val="250"/>
        </w:trPr>
        <w:tc>
          <w:tcPr>
            <w:tcW w:w="2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4.</w:t>
            </w:r>
            <w:r>
              <w:rPr>
                <w:rFonts w:ascii="Times New Roman" w:cs="Times New Roman" w:eastAsia="Times New Roman" w:hAnsi="Times New Roman"/>
                <w:sz w:val="20"/>
                <w:szCs w:val="20"/>
                <w:u w:val="single" w:color="auto"/>
                <w:color w:val="0563C1"/>
                <w:w w:val="85"/>
              </w:rPr>
              <w:t>01</w:t>
            </w:r>
          </w:p>
        </w:tc>
        <w:tc>
          <w:tcPr>
            <w:tcW w:w="240" w:type="dxa"/>
            <w:vAlign w:val="bottom"/>
            <w:tcBorders>
              <w:top w:val="single" w:sz="8" w:color="0563C1"/>
            </w:tcBorders>
          </w:tcPr>
          <w:p>
            <w:pPr>
              <w:spacing w:after="0"/>
              <w:rPr>
                <w:sz w:val="21"/>
                <w:szCs w:val="21"/>
                <w:color w:val="auto"/>
              </w:rPr>
            </w:pPr>
          </w:p>
        </w:tc>
        <w:tc>
          <w:tcPr>
            <w:tcW w:w="3920" w:type="dxa"/>
            <w:vAlign w:val="bottom"/>
            <w:tcBorders>
              <w:top w:val="single" w:sz="8" w:color="0563C1"/>
            </w:tcBorders>
            <w:gridSpan w:val="31"/>
          </w:tcPr>
          <w:p>
            <w:pPr>
              <w:ind w:left="20"/>
              <w:spacing w:after="0"/>
              <w:rPr>
                <w:sz w:val="20"/>
                <w:szCs w:val="20"/>
                <w:color w:val="auto"/>
              </w:rPr>
            </w:pPr>
            <w:r>
              <w:rPr>
                <w:rFonts w:ascii="Times New Roman" w:cs="Times New Roman" w:eastAsia="Times New Roman" w:hAnsi="Times New Roman"/>
                <w:sz w:val="20"/>
                <w:szCs w:val="20"/>
                <w:color w:val="0563C1"/>
              </w:rPr>
              <w:t>Conditions to Amendment No. 4 Effective Date</w:t>
            </w:r>
          </w:p>
        </w:tc>
        <w:tc>
          <w:tcPr>
            <w:tcW w:w="540" w:type="dxa"/>
            <w:vAlign w:val="bottom"/>
            <w:tcBorders>
              <w:top w:val="single" w:sz="8" w:color="0563C1"/>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132</w:t>
            </w: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380" w:type="dxa"/>
            <w:vAlign w:val="bottom"/>
            <w:tcBorders>
              <w:top w:val="single" w:sz="8" w:color="0563C1"/>
            </w:tcBorders>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25"/>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4.</w:t>
            </w:r>
            <w:r>
              <w:rPr>
                <w:rFonts w:ascii="Times New Roman" w:cs="Times New Roman" w:eastAsia="Times New Roman" w:hAnsi="Times New Roman"/>
                <w:sz w:val="20"/>
                <w:szCs w:val="20"/>
                <w:u w:val="single" w:color="auto"/>
                <w:color w:val="0563C1"/>
                <w:w w:val="85"/>
              </w:rPr>
              <w:t>02</w:t>
            </w:r>
          </w:p>
        </w:tc>
        <w:tc>
          <w:tcPr>
            <w:tcW w:w="240" w:type="dxa"/>
            <w:vAlign w:val="bottom"/>
          </w:tcPr>
          <w:p>
            <w:pPr>
              <w:spacing w:after="0"/>
              <w:rPr>
                <w:sz w:val="20"/>
                <w:szCs w:val="20"/>
                <w:color w:val="auto"/>
              </w:rPr>
            </w:pPr>
          </w:p>
        </w:tc>
        <w:tc>
          <w:tcPr>
            <w:tcW w:w="2880" w:type="dxa"/>
            <w:vAlign w:val="bottom"/>
            <w:gridSpan w:val="27"/>
          </w:tcPr>
          <w:p>
            <w:pPr>
              <w:ind w:left="20"/>
              <w:spacing w:after="0"/>
              <w:rPr>
                <w:sz w:val="20"/>
                <w:szCs w:val="20"/>
                <w:color w:val="auto"/>
              </w:rPr>
            </w:pPr>
            <w:r>
              <w:rPr>
                <w:rFonts w:ascii="Times New Roman" w:cs="Times New Roman" w:eastAsia="Times New Roman" w:hAnsi="Times New Roman"/>
                <w:sz w:val="20"/>
                <w:szCs w:val="20"/>
                <w:color w:val="0563C1"/>
                <w:w w:val="99"/>
              </w:rPr>
              <w:t>Conditions to All Credit Extensions</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132</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4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0139"/>
          </w:cols>
          <w:pgMar w:left="320" w:top="1422" w:right="1440"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4820" w:type="dxa"/>
            <w:vAlign w:val="bottom"/>
            <w:gridSpan w:val="38"/>
          </w:tcPr>
          <w:p>
            <w:pPr>
              <w:jc w:val="center"/>
              <w:ind w:right="140"/>
              <w:spacing w:after="0"/>
              <w:rPr>
                <w:sz w:val="20"/>
                <w:szCs w:val="20"/>
                <w:color w:val="auto"/>
              </w:rPr>
            </w:pPr>
            <w:r>
              <w:rPr>
                <w:rFonts w:ascii="Times New Roman" w:cs="Times New Roman" w:eastAsia="Times New Roman" w:hAnsi="Times New Roman"/>
                <w:sz w:val="20"/>
                <w:szCs w:val="20"/>
                <w:color w:val="0563C1"/>
                <w:w w:val="97"/>
              </w:rPr>
              <w:t>ARTICLE V REPRESENTATIONS AND WARRANTIES</w:t>
            </w: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133</w:t>
            </w:r>
          </w:p>
        </w:tc>
      </w:tr>
      <w:tr>
        <w:trPr>
          <w:trHeight w:val="250"/>
        </w:trPr>
        <w:tc>
          <w:tcPr>
            <w:tcW w:w="560" w:type="dxa"/>
            <w:vAlign w:val="bottom"/>
            <w:tcBorders>
              <w:top w:val="single" w:sz="8" w:color="0563C1"/>
            </w:tcBorders>
            <w:gridSpan w:val="2"/>
          </w:tcPr>
          <w:p>
            <w:pPr>
              <w:ind w:left="220"/>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01</w:t>
            </w:r>
          </w:p>
        </w:tc>
        <w:tc>
          <w:tcPr>
            <w:tcW w:w="240" w:type="dxa"/>
            <w:vAlign w:val="bottom"/>
            <w:tcBorders>
              <w:top w:val="single" w:sz="8" w:color="0563C1"/>
            </w:tcBorders>
          </w:tcPr>
          <w:p>
            <w:pPr>
              <w:spacing w:after="0"/>
              <w:rPr>
                <w:sz w:val="21"/>
                <w:szCs w:val="21"/>
                <w:color w:val="auto"/>
              </w:rPr>
            </w:pPr>
          </w:p>
        </w:tc>
        <w:tc>
          <w:tcPr>
            <w:tcW w:w="3000" w:type="dxa"/>
            <w:vAlign w:val="bottom"/>
            <w:tcBorders>
              <w:top w:val="single" w:sz="8" w:color="0563C1"/>
            </w:tcBorders>
            <w:gridSpan w:val="27"/>
          </w:tcPr>
          <w:p>
            <w:pPr>
              <w:ind w:left="20"/>
              <w:spacing w:after="0"/>
              <w:rPr>
                <w:sz w:val="20"/>
                <w:szCs w:val="20"/>
                <w:color w:val="auto"/>
              </w:rPr>
            </w:pPr>
            <w:r>
              <w:rPr>
                <w:rFonts w:ascii="Times New Roman" w:cs="Times New Roman" w:eastAsia="Times New Roman" w:hAnsi="Times New Roman"/>
                <w:sz w:val="20"/>
                <w:szCs w:val="20"/>
                <w:color w:val="0563C1"/>
              </w:rPr>
              <w:t>Existence, Qualification and Power</w:t>
            </w:r>
          </w:p>
        </w:tc>
        <w:tc>
          <w:tcPr>
            <w:tcW w:w="440" w:type="dxa"/>
            <w:vAlign w:val="bottom"/>
            <w:tcBorders>
              <w:top w:val="single" w:sz="8" w:color="0563C1"/>
            </w:tcBorders>
            <w:gridSpan w:val="3"/>
          </w:tcPr>
          <w:p>
            <w:pPr>
              <w:jc w:val="right"/>
              <w:ind w:right="21"/>
              <w:spacing w:after="0"/>
              <w:rPr>
                <w:sz w:val="20"/>
                <w:szCs w:val="20"/>
                <w:color w:val="auto"/>
              </w:rPr>
            </w:pPr>
            <w:r>
              <w:rPr>
                <w:rFonts w:ascii="Times New Roman" w:cs="Times New Roman" w:eastAsia="Times New Roman" w:hAnsi="Times New Roman"/>
                <w:sz w:val="20"/>
                <w:szCs w:val="20"/>
                <w:color w:val="auto"/>
                <w:w w:val="99"/>
              </w:rPr>
              <w:t>133</w:t>
            </w:r>
          </w:p>
        </w:tc>
        <w:tc>
          <w:tcPr>
            <w:tcW w:w="18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560" w:type="dxa"/>
            <w:vAlign w:val="bottom"/>
            <w:gridSpan w:val="2"/>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02</w:t>
            </w:r>
          </w:p>
        </w:tc>
        <w:tc>
          <w:tcPr>
            <w:tcW w:w="240" w:type="dxa"/>
            <w:vAlign w:val="bottom"/>
          </w:tcPr>
          <w:p>
            <w:pPr>
              <w:spacing w:after="0"/>
              <w:rPr>
                <w:sz w:val="20"/>
                <w:szCs w:val="20"/>
                <w:color w:val="auto"/>
              </w:rPr>
            </w:pPr>
          </w:p>
        </w:tc>
        <w:tc>
          <w:tcPr>
            <w:tcW w:w="3200" w:type="dxa"/>
            <w:vAlign w:val="bottom"/>
            <w:gridSpan w:val="29"/>
          </w:tcPr>
          <w:p>
            <w:pPr>
              <w:ind w:left="20"/>
              <w:spacing w:after="0"/>
              <w:rPr>
                <w:sz w:val="20"/>
                <w:szCs w:val="20"/>
                <w:color w:val="auto"/>
              </w:rPr>
            </w:pPr>
            <w:r>
              <w:rPr>
                <w:rFonts w:ascii="Times New Roman" w:cs="Times New Roman" w:eastAsia="Times New Roman" w:hAnsi="Times New Roman"/>
                <w:sz w:val="20"/>
                <w:szCs w:val="20"/>
                <w:color w:val="0563C1"/>
              </w:rPr>
              <w:t xml:space="preserve">Authorization; No Contravention  </w:t>
            </w:r>
            <w:r>
              <w:rPr>
                <w:rFonts w:ascii="Times New Roman" w:cs="Times New Roman" w:eastAsia="Times New Roman" w:hAnsi="Times New Roman"/>
                <w:sz w:val="20"/>
                <w:szCs w:val="20"/>
                <w:color w:val="000000"/>
              </w:rPr>
              <w:t>133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03</w:t>
            </w:r>
          </w:p>
        </w:tc>
        <w:tc>
          <w:tcPr>
            <w:tcW w:w="240" w:type="dxa"/>
            <w:vAlign w:val="bottom"/>
          </w:tcPr>
          <w:p>
            <w:pPr>
              <w:spacing w:after="0"/>
              <w:rPr>
                <w:sz w:val="21"/>
                <w:szCs w:val="21"/>
                <w:color w:val="auto"/>
              </w:rPr>
            </w:pPr>
          </w:p>
        </w:tc>
        <w:tc>
          <w:tcPr>
            <w:tcW w:w="3620" w:type="dxa"/>
            <w:vAlign w:val="bottom"/>
            <w:gridSpan w:val="31"/>
          </w:tcPr>
          <w:p>
            <w:pPr>
              <w:ind w:left="20"/>
              <w:spacing w:after="0"/>
              <w:rPr>
                <w:sz w:val="20"/>
                <w:szCs w:val="20"/>
                <w:color w:val="auto"/>
              </w:rPr>
            </w:pPr>
            <w:r>
              <w:rPr>
                <w:rFonts w:ascii="Times New Roman" w:cs="Times New Roman" w:eastAsia="Times New Roman" w:hAnsi="Times New Roman"/>
                <w:sz w:val="20"/>
                <w:szCs w:val="20"/>
                <w:color w:val="0563C1"/>
                <w:w w:val="98"/>
              </w:rPr>
              <w:t>Governmental Authorization; Other Consents</w:t>
            </w:r>
          </w:p>
        </w:tc>
        <w:tc>
          <w:tcPr>
            <w:tcW w:w="660" w:type="dxa"/>
            <w:vAlign w:val="bottom"/>
            <w:gridSpan w:val="5"/>
          </w:tcPr>
          <w:p>
            <w:pPr>
              <w:jc w:val="right"/>
              <w:ind w:right="61"/>
              <w:spacing w:after="0"/>
              <w:rPr>
                <w:sz w:val="20"/>
                <w:szCs w:val="20"/>
                <w:color w:val="auto"/>
              </w:rPr>
            </w:pPr>
            <w:r>
              <w:rPr>
                <w:rFonts w:ascii="Times New Roman" w:cs="Times New Roman" w:eastAsia="Times New Roman" w:hAnsi="Times New Roman"/>
                <w:sz w:val="20"/>
                <w:szCs w:val="20"/>
                <w:color w:val="auto"/>
              </w:rPr>
              <w:t>133</w:t>
            </w: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04</w:t>
            </w:r>
          </w:p>
        </w:tc>
        <w:tc>
          <w:tcPr>
            <w:tcW w:w="240" w:type="dxa"/>
            <w:vAlign w:val="bottom"/>
          </w:tcPr>
          <w:p>
            <w:pPr>
              <w:spacing w:after="0"/>
              <w:rPr>
                <w:sz w:val="20"/>
                <w:szCs w:val="20"/>
                <w:color w:val="auto"/>
              </w:rPr>
            </w:pPr>
          </w:p>
        </w:tc>
        <w:tc>
          <w:tcPr>
            <w:tcW w:w="1300" w:type="dxa"/>
            <w:vAlign w:val="bottom"/>
            <w:gridSpan w:val="10"/>
          </w:tcPr>
          <w:p>
            <w:pPr>
              <w:ind w:left="20"/>
              <w:spacing w:after="0"/>
              <w:rPr>
                <w:sz w:val="20"/>
                <w:szCs w:val="20"/>
                <w:color w:val="auto"/>
              </w:rPr>
            </w:pPr>
            <w:r>
              <w:rPr>
                <w:rFonts w:ascii="Times New Roman" w:cs="Times New Roman" w:eastAsia="Times New Roman" w:hAnsi="Times New Roman"/>
                <w:sz w:val="20"/>
                <w:szCs w:val="20"/>
                <w:color w:val="0563C1"/>
              </w:rPr>
              <w:t>Binding Effect</w:t>
            </w:r>
          </w:p>
        </w:tc>
        <w:tc>
          <w:tcPr>
            <w:tcW w:w="44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133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560" w:type="dxa"/>
            <w:vAlign w:val="bottom"/>
            <w:gridSpan w:val="2"/>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05</w:t>
            </w:r>
          </w:p>
        </w:tc>
        <w:tc>
          <w:tcPr>
            <w:tcW w:w="240" w:type="dxa"/>
            <w:vAlign w:val="bottom"/>
          </w:tcPr>
          <w:p>
            <w:pPr>
              <w:spacing w:after="0"/>
              <w:rPr>
                <w:sz w:val="21"/>
                <w:szCs w:val="21"/>
                <w:color w:val="auto"/>
              </w:rPr>
            </w:pPr>
          </w:p>
        </w:tc>
        <w:tc>
          <w:tcPr>
            <w:tcW w:w="4020" w:type="dxa"/>
            <w:vAlign w:val="bottom"/>
            <w:gridSpan w:val="35"/>
          </w:tcPr>
          <w:p>
            <w:pPr>
              <w:ind w:left="20"/>
              <w:spacing w:after="0"/>
              <w:rPr>
                <w:sz w:val="20"/>
                <w:szCs w:val="20"/>
                <w:color w:val="auto"/>
              </w:rPr>
            </w:pPr>
            <w:r>
              <w:rPr>
                <w:rFonts w:ascii="Times New Roman" w:cs="Times New Roman" w:eastAsia="Times New Roman" w:hAnsi="Times New Roman"/>
                <w:sz w:val="20"/>
                <w:szCs w:val="20"/>
                <w:color w:val="0563C1"/>
                <w:w w:val="99"/>
              </w:rPr>
              <w:t>Financial Statements; No Material Adverse Effect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134</w:t>
            </w: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06</w:t>
            </w:r>
          </w:p>
        </w:tc>
        <w:tc>
          <w:tcPr>
            <w:tcW w:w="240" w:type="dxa"/>
            <w:vAlign w:val="bottom"/>
          </w:tcPr>
          <w:p>
            <w:pPr>
              <w:spacing w:after="0"/>
              <w:rPr>
                <w:sz w:val="21"/>
                <w:szCs w:val="21"/>
                <w:color w:val="auto"/>
              </w:rPr>
            </w:pPr>
          </w:p>
        </w:tc>
        <w:tc>
          <w:tcPr>
            <w:tcW w:w="88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0563C1"/>
              </w:rPr>
              <w:t>Litigation</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07</w:t>
            </w:r>
          </w:p>
        </w:tc>
        <w:tc>
          <w:tcPr>
            <w:tcW w:w="240" w:type="dxa"/>
            <w:vAlign w:val="bottom"/>
          </w:tcPr>
          <w:p>
            <w:pPr>
              <w:spacing w:after="0"/>
              <w:rPr>
                <w:sz w:val="20"/>
                <w:szCs w:val="20"/>
                <w:color w:val="auto"/>
              </w:rPr>
            </w:pPr>
          </w:p>
        </w:tc>
        <w:tc>
          <w:tcPr>
            <w:tcW w:w="88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0563C1"/>
                <w:w w:val="91"/>
              </w:rPr>
              <w:t>No Default</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08</w:t>
            </w:r>
          </w:p>
        </w:tc>
        <w:tc>
          <w:tcPr>
            <w:tcW w:w="240" w:type="dxa"/>
            <w:vAlign w:val="bottom"/>
          </w:tcPr>
          <w:p>
            <w:pPr>
              <w:spacing w:after="0"/>
              <w:rPr>
                <w:sz w:val="21"/>
                <w:szCs w:val="21"/>
                <w:color w:val="auto"/>
              </w:rPr>
            </w:pPr>
          </w:p>
        </w:tc>
        <w:tc>
          <w:tcPr>
            <w:tcW w:w="3620" w:type="dxa"/>
            <w:vAlign w:val="bottom"/>
            <w:gridSpan w:val="31"/>
          </w:tcPr>
          <w:p>
            <w:pPr>
              <w:ind w:left="20"/>
              <w:spacing w:after="0"/>
              <w:rPr>
                <w:sz w:val="20"/>
                <w:szCs w:val="20"/>
                <w:color w:val="auto"/>
              </w:rPr>
            </w:pPr>
            <w:r>
              <w:rPr>
                <w:rFonts w:ascii="Times New Roman" w:cs="Times New Roman" w:eastAsia="Times New Roman" w:hAnsi="Times New Roman"/>
                <w:sz w:val="20"/>
                <w:szCs w:val="20"/>
                <w:color w:val="0563C1"/>
              </w:rPr>
              <w:t>Ownership of Property; Liens; Investments</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3"/>
              </w:rPr>
              <w:t>134</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560" w:type="dxa"/>
            <w:vAlign w:val="bottom"/>
            <w:gridSpan w:val="2"/>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09</w:t>
            </w:r>
          </w:p>
        </w:tc>
        <w:tc>
          <w:tcPr>
            <w:tcW w:w="240" w:type="dxa"/>
            <w:vAlign w:val="bottom"/>
          </w:tcPr>
          <w:p>
            <w:pPr>
              <w:spacing w:after="0"/>
              <w:rPr>
                <w:sz w:val="20"/>
                <w:szCs w:val="20"/>
                <w:color w:val="auto"/>
              </w:rPr>
            </w:pPr>
          </w:p>
        </w:tc>
        <w:tc>
          <w:tcPr>
            <w:tcW w:w="2260" w:type="dxa"/>
            <w:vAlign w:val="bottom"/>
            <w:gridSpan w:val="20"/>
          </w:tcPr>
          <w:p>
            <w:pPr>
              <w:ind w:left="20"/>
              <w:spacing w:after="0"/>
              <w:rPr>
                <w:sz w:val="20"/>
                <w:szCs w:val="20"/>
                <w:color w:val="auto"/>
              </w:rPr>
            </w:pPr>
            <w:r>
              <w:rPr>
                <w:rFonts w:ascii="Times New Roman" w:cs="Times New Roman" w:eastAsia="Times New Roman" w:hAnsi="Times New Roman"/>
                <w:sz w:val="20"/>
                <w:szCs w:val="20"/>
                <w:color w:val="0563C1"/>
                <w:w w:val="98"/>
              </w:rPr>
              <w:t>Environmental Compliance.</w:t>
            </w:r>
          </w:p>
        </w:tc>
        <w:tc>
          <w:tcPr>
            <w:tcW w:w="56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135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10</w:t>
            </w:r>
          </w:p>
        </w:tc>
        <w:tc>
          <w:tcPr>
            <w:tcW w:w="240" w:type="dxa"/>
            <w:vAlign w:val="bottom"/>
          </w:tcPr>
          <w:p>
            <w:pPr>
              <w:spacing w:after="0"/>
              <w:rPr>
                <w:sz w:val="21"/>
                <w:szCs w:val="21"/>
                <w:color w:val="auto"/>
              </w:rPr>
            </w:pPr>
          </w:p>
        </w:tc>
        <w:tc>
          <w:tcPr>
            <w:tcW w:w="88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0563C1"/>
              </w:rPr>
              <w:t>Insurance</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11</w:t>
            </w:r>
          </w:p>
        </w:tc>
        <w:tc>
          <w:tcPr>
            <w:tcW w:w="240" w:type="dxa"/>
            <w:vAlign w:val="bottom"/>
          </w:tcPr>
          <w:p>
            <w:pPr>
              <w:spacing w:after="0"/>
              <w:rPr>
                <w:sz w:val="21"/>
                <w:szCs w:val="21"/>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20"/>
                <w:szCs w:val="20"/>
                <w:color w:val="0563C1"/>
              </w:rPr>
              <w:t>Taxes</w:t>
            </w:r>
          </w:p>
        </w:tc>
        <w:tc>
          <w:tcPr>
            <w:tcW w:w="46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w w:val="99"/>
              </w:rPr>
              <w:t>135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12</w:t>
            </w:r>
          </w:p>
        </w:tc>
        <w:tc>
          <w:tcPr>
            <w:tcW w:w="240" w:type="dxa"/>
            <w:vAlign w:val="bottom"/>
          </w:tcPr>
          <w:p>
            <w:pPr>
              <w:spacing w:after="0"/>
              <w:rPr>
                <w:sz w:val="20"/>
                <w:szCs w:val="20"/>
                <w:color w:val="auto"/>
              </w:rPr>
            </w:pPr>
          </w:p>
        </w:tc>
        <w:tc>
          <w:tcPr>
            <w:tcW w:w="174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rPr>
              <w:t>ERISA Compliance</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560" w:type="dxa"/>
            <w:vAlign w:val="bottom"/>
            <w:gridSpan w:val="2"/>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5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13</w:t>
            </w:r>
          </w:p>
        </w:tc>
        <w:tc>
          <w:tcPr>
            <w:tcW w:w="240" w:type="dxa"/>
            <w:vAlign w:val="bottom"/>
          </w:tcPr>
          <w:p>
            <w:pPr>
              <w:spacing w:after="0"/>
              <w:rPr>
                <w:sz w:val="21"/>
                <w:szCs w:val="21"/>
                <w:color w:val="auto"/>
              </w:rPr>
            </w:pPr>
          </w:p>
        </w:tc>
        <w:tc>
          <w:tcPr>
            <w:tcW w:w="3620" w:type="dxa"/>
            <w:vAlign w:val="bottom"/>
            <w:gridSpan w:val="31"/>
          </w:tcPr>
          <w:p>
            <w:pPr>
              <w:ind w:left="20"/>
              <w:spacing w:after="0"/>
              <w:rPr>
                <w:sz w:val="20"/>
                <w:szCs w:val="20"/>
                <w:color w:val="auto"/>
              </w:rPr>
            </w:pPr>
            <w:r>
              <w:rPr>
                <w:rFonts w:ascii="Times New Roman" w:cs="Times New Roman" w:eastAsia="Times New Roman" w:hAnsi="Times New Roman"/>
                <w:sz w:val="20"/>
                <w:szCs w:val="20"/>
                <w:color w:val="0563C1"/>
              </w:rPr>
              <w:t>Subsidiaries; Equity Interests; Loan Parties</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3"/>
              </w:rPr>
              <w:t>136</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560" w:type="dxa"/>
            <w:vAlign w:val="bottom"/>
            <w:gridSpan w:val="2"/>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340" w:type="dxa"/>
            <w:vAlign w:val="bottom"/>
            <w:gridSpan w:val="3"/>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360" w:type="dxa"/>
            <w:vAlign w:val="bottom"/>
            <w:tcBorders>
              <w:left w:val="single" w:sz="8" w:color="0563C1"/>
            </w:tcBorders>
            <w:gridSpan w:val="2"/>
            <w:shd w:val="clear" w:color="auto" w:fill="0563C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14</w:t>
            </w:r>
          </w:p>
        </w:tc>
        <w:tc>
          <w:tcPr>
            <w:tcW w:w="240" w:type="dxa"/>
            <w:vAlign w:val="bottom"/>
          </w:tcPr>
          <w:p>
            <w:pPr>
              <w:spacing w:after="0"/>
              <w:rPr>
                <w:sz w:val="20"/>
                <w:szCs w:val="20"/>
                <w:color w:val="auto"/>
              </w:rPr>
            </w:pPr>
          </w:p>
        </w:tc>
        <w:tc>
          <w:tcPr>
            <w:tcW w:w="4780" w:type="dxa"/>
            <w:vAlign w:val="bottom"/>
            <w:gridSpan w:val="37"/>
          </w:tcPr>
          <w:p>
            <w:pPr>
              <w:ind w:left="20"/>
              <w:spacing w:after="0"/>
              <w:rPr>
                <w:sz w:val="20"/>
                <w:szCs w:val="20"/>
                <w:color w:val="auto"/>
              </w:rPr>
            </w:pPr>
            <w:r>
              <w:rPr>
                <w:rFonts w:ascii="Times New Roman" w:cs="Times New Roman" w:eastAsia="Times New Roman" w:hAnsi="Times New Roman"/>
                <w:sz w:val="20"/>
                <w:szCs w:val="20"/>
                <w:color w:val="0563C1"/>
              </w:rPr>
              <w:t xml:space="preserve">Margin Regulations; Investment Company Act  </w:t>
            </w:r>
            <w:r>
              <w:rPr>
                <w:rFonts w:ascii="Times New Roman" w:cs="Times New Roman" w:eastAsia="Times New Roman" w:hAnsi="Times New Roman"/>
                <w:sz w:val="20"/>
                <w:szCs w:val="20"/>
                <w:color w:val="000000"/>
              </w:rPr>
              <w:t>136</w:t>
            </w: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15</w:t>
            </w:r>
          </w:p>
        </w:tc>
        <w:tc>
          <w:tcPr>
            <w:tcW w:w="240" w:type="dxa"/>
            <w:vAlign w:val="bottom"/>
          </w:tcPr>
          <w:p>
            <w:pPr>
              <w:spacing w:after="0"/>
              <w:rPr>
                <w:sz w:val="21"/>
                <w:szCs w:val="21"/>
                <w:color w:val="auto"/>
              </w:rPr>
            </w:pPr>
          </w:p>
        </w:tc>
        <w:tc>
          <w:tcPr>
            <w:tcW w:w="88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0563C1"/>
                <w:w w:val="90"/>
              </w:rPr>
              <w:t>Disclosure.</w:t>
            </w:r>
          </w:p>
        </w:tc>
        <w:tc>
          <w:tcPr>
            <w:tcW w:w="66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137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16</w:t>
            </w:r>
          </w:p>
        </w:tc>
        <w:tc>
          <w:tcPr>
            <w:tcW w:w="240" w:type="dxa"/>
            <w:vAlign w:val="bottom"/>
          </w:tcPr>
          <w:p>
            <w:pPr>
              <w:spacing w:after="0"/>
              <w:rPr>
                <w:sz w:val="21"/>
                <w:szCs w:val="21"/>
                <w:color w:val="auto"/>
              </w:rPr>
            </w:pPr>
          </w:p>
        </w:tc>
        <w:tc>
          <w:tcPr>
            <w:tcW w:w="192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rPr>
              <w:t>Compliance with Laws</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17</w:t>
            </w:r>
          </w:p>
        </w:tc>
        <w:tc>
          <w:tcPr>
            <w:tcW w:w="240" w:type="dxa"/>
            <w:vAlign w:val="bottom"/>
          </w:tcPr>
          <w:p>
            <w:pPr>
              <w:spacing w:after="0"/>
              <w:rPr>
                <w:sz w:val="20"/>
                <w:szCs w:val="20"/>
                <w:color w:val="auto"/>
              </w:rPr>
            </w:pPr>
          </w:p>
        </w:tc>
        <w:tc>
          <w:tcPr>
            <w:tcW w:w="3000" w:type="dxa"/>
            <w:vAlign w:val="bottom"/>
            <w:gridSpan w:val="27"/>
          </w:tcPr>
          <w:p>
            <w:pPr>
              <w:ind w:left="20"/>
              <w:spacing w:after="0"/>
              <w:rPr>
                <w:sz w:val="20"/>
                <w:szCs w:val="20"/>
                <w:color w:val="auto"/>
              </w:rPr>
            </w:pPr>
            <w:r>
              <w:rPr>
                <w:rFonts w:ascii="Times New Roman" w:cs="Times New Roman" w:eastAsia="Times New Roman" w:hAnsi="Times New Roman"/>
                <w:sz w:val="20"/>
                <w:szCs w:val="20"/>
                <w:color w:val="0563C1"/>
              </w:rPr>
              <w:t>Intellectual Property; Licenses, Etc.</w:t>
            </w:r>
          </w:p>
        </w:tc>
        <w:tc>
          <w:tcPr>
            <w:tcW w:w="44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137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18</w:t>
            </w:r>
          </w:p>
        </w:tc>
        <w:tc>
          <w:tcPr>
            <w:tcW w:w="240" w:type="dxa"/>
            <w:vAlign w:val="bottom"/>
          </w:tcPr>
          <w:p>
            <w:pPr>
              <w:spacing w:after="0"/>
              <w:rPr>
                <w:sz w:val="21"/>
                <w:szCs w:val="21"/>
                <w:color w:val="auto"/>
              </w:rPr>
            </w:pPr>
          </w:p>
        </w:tc>
        <w:tc>
          <w:tcPr>
            <w:tcW w:w="88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0563C1"/>
              </w:rPr>
              <w:t>Solvency</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19</w:t>
            </w:r>
          </w:p>
        </w:tc>
        <w:tc>
          <w:tcPr>
            <w:tcW w:w="240" w:type="dxa"/>
            <w:vAlign w:val="bottom"/>
          </w:tcPr>
          <w:p>
            <w:pPr>
              <w:spacing w:after="0"/>
              <w:rPr>
                <w:sz w:val="20"/>
                <w:szCs w:val="20"/>
                <w:color w:val="auto"/>
              </w:rPr>
            </w:pPr>
          </w:p>
        </w:tc>
        <w:tc>
          <w:tcPr>
            <w:tcW w:w="1300" w:type="dxa"/>
            <w:vAlign w:val="bottom"/>
            <w:gridSpan w:val="10"/>
          </w:tcPr>
          <w:p>
            <w:pPr>
              <w:ind w:left="20"/>
              <w:spacing w:after="0"/>
              <w:rPr>
                <w:sz w:val="20"/>
                <w:szCs w:val="20"/>
                <w:color w:val="auto"/>
              </w:rPr>
            </w:pPr>
            <w:r>
              <w:rPr>
                <w:rFonts w:ascii="Times New Roman" w:cs="Times New Roman" w:eastAsia="Times New Roman" w:hAnsi="Times New Roman"/>
                <w:sz w:val="20"/>
                <w:szCs w:val="20"/>
                <w:color w:val="0563C1"/>
              </w:rPr>
              <w:t>Casualty, Etc.</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3"/>
              </w:rPr>
              <w:t>138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60" w:type="dxa"/>
            <w:vAlign w:val="bottom"/>
            <w:gridSpan w:val="3"/>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20</w:t>
            </w:r>
          </w:p>
        </w:tc>
        <w:tc>
          <w:tcPr>
            <w:tcW w:w="240" w:type="dxa"/>
            <w:vAlign w:val="bottom"/>
          </w:tcPr>
          <w:p>
            <w:pPr>
              <w:spacing w:after="0"/>
              <w:rPr>
                <w:sz w:val="21"/>
                <w:szCs w:val="21"/>
                <w:color w:val="auto"/>
              </w:rPr>
            </w:pPr>
          </w:p>
        </w:tc>
        <w:tc>
          <w:tcPr>
            <w:tcW w:w="1300" w:type="dxa"/>
            <w:vAlign w:val="bottom"/>
            <w:gridSpan w:val="10"/>
          </w:tcPr>
          <w:p>
            <w:pPr>
              <w:ind w:left="20"/>
              <w:spacing w:after="0"/>
              <w:rPr>
                <w:sz w:val="20"/>
                <w:szCs w:val="20"/>
                <w:color w:val="auto"/>
              </w:rPr>
            </w:pPr>
            <w:r>
              <w:rPr>
                <w:rFonts w:ascii="Times New Roman" w:cs="Times New Roman" w:eastAsia="Times New Roman" w:hAnsi="Times New Roman"/>
                <w:sz w:val="20"/>
                <w:szCs w:val="20"/>
                <w:color w:val="0563C1"/>
              </w:rPr>
              <w:t>Labor Matters</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21</w:t>
            </w:r>
          </w:p>
        </w:tc>
        <w:tc>
          <w:tcPr>
            <w:tcW w:w="240" w:type="dxa"/>
            <w:vAlign w:val="bottom"/>
          </w:tcPr>
          <w:p>
            <w:pPr>
              <w:spacing w:after="0"/>
              <w:rPr>
                <w:sz w:val="20"/>
                <w:szCs w:val="20"/>
                <w:color w:val="auto"/>
              </w:rPr>
            </w:pPr>
          </w:p>
        </w:tc>
        <w:tc>
          <w:tcPr>
            <w:tcW w:w="6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0563C1"/>
              </w:rPr>
              <w:t>OFAC</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22</w:t>
            </w:r>
          </w:p>
        </w:tc>
        <w:tc>
          <w:tcPr>
            <w:tcW w:w="240" w:type="dxa"/>
            <w:vAlign w:val="bottom"/>
          </w:tcPr>
          <w:p>
            <w:pPr>
              <w:spacing w:after="0"/>
              <w:rPr>
                <w:sz w:val="21"/>
                <w:szCs w:val="21"/>
                <w:color w:val="auto"/>
              </w:rPr>
            </w:pPr>
          </w:p>
        </w:tc>
        <w:tc>
          <w:tcPr>
            <w:tcW w:w="192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rPr>
              <w:t>Anti-Corruption Laws</w:t>
            </w:r>
          </w:p>
        </w:tc>
        <w:tc>
          <w:tcPr>
            <w:tcW w:w="480" w:type="dxa"/>
            <w:vAlign w:val="bottom"/>
            <w:gridSpan w:val="4"/>
          </w:tcPr>
          <w:p>
            <w:pPr>
              <w:jc w:val="right"/>
              <w:ind w:right="21"/>
              <w:spacing w:after="0"/>
              <w:rPr>
                <w:sz w:val="20"/>
                <w:szCs w:val="20"/>
                <w:color w:val="auto"/>
              </w:rPr>
            </w:pPr>
            <w:r>
              <w:rPr>
                <w:rFonts w:ascii="Times New Roman" w:cs="Times New Roman" w:eastAsia="Times New Roman" w:hAnsi="Times New Roman"/>
                <w:sz w:val="20"/>
                <w:szCs w:val="20"/>
                <w:color w:val="auto"/>
              </w:rPr>
              <w:t>138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260" w:type="dxa"/>
            <w:vAlign w:val="bottom"/>
            <w:gridSpan w:val="3"/>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tcBorders>
              <w:left w:val="single" w:sz="8" w:color="0563C1"/>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23</w:t>
            </w:r>
          </w:p>
        </w:tc>
        <w:tc>
          <w:tcPr>
            <w:tcW w:w="240" w:type="dxa"/>
            <w:vAlign w:val="bottom"/>
          </w:tcPr>
          <w:p>
            <w:pPr>
              <w:spacing w:after="0"/>
              <w:rPr>
                <w:sz w:val="21"/>
                <w:szCs w:val="21"/>
                <w:color w:val="auto"/>
              </w:rPr>
            </w:pPr>
          </w:p>
        </w:tc>
        <w:tc>
          <w:tcPr>
            <w:tcW w:w="3200" w:type="dxa"/>
            <w:vAlign w:val="bottom"/>
            <w:gridSpan w:val="29"/>
          </w:tcPr>
          <w:p>
            <w:pPr>
              <w:ind w:left="20"/>
              <w:spacing w:after="0"/>
              <w:rPr>
                <w:sz w:val="20"/>
                <w:szCs w:val="20"/>
                <w:color w:val="auto"/>
              </w:rPr>
            </w:pPr>
            <w:r>
              <w:rPr>
                <w:rFonts w:ascii="Times New Roman" w:cs="Times New Roman" w:eastAsia="Times New Roman" w:hAnsi="Times New Roman"/>
                <w:sz w:val="20"/>
                <w:szCs w:val="20"/>
                <w:color w:val="0563C1"/>
              </w:rPr>
              <w:t>Representations as to Foreign Obligors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260" w:type="dxa"/>
            <w:vAlign w:val="bottom"/>
            <w:gridSpan w:val="3"/>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24</w:t>
            </w:r>
          </w:p>
        </w:tc>
        <w:tc>
          <w:tcPr>
            <w:tcW w:w="240" w:type="dxa"/>
            <w:vAlign w:val="bottom"/>
          </w:tcPr>
          <w:p>
            <w:pPr>
              <w:spacing w:after="0"/>
              <w:rPr>
                <w:sz w:val="20"/>
                <w:szCs w:val="20"/>
                <w:color w:val="auto"/>
              </w:rPr>
            </w:pPr>
          </w:p>
        </w:tc>
        <w:tc>
          <w:tcPr>
            <w:tcW w:w="174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w w:val="95"/>
              </w:rPr>
              <w:t>Collateral Documents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260" w:type="dxa"/>
            <w:vAlign w:val="bottom"/>
            <w:gridSpan w:val="3"/>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25</w:t>
            </w:r>
          </w:p>
        </w:tc>
        <w:tc>
          <w:tcPr>
            <w:tcW w:w="240" w:type="dxa"/>
            <w:vAlign w:val="bottom"/>
          </w:tcPr>
          <w:p>
            <w:pPr>
              <w:spacing w:after="0"/>
              <w:rPr>
                <w:sz w:val="21"/>
                <w:szCs w:val="21"/>
                <w:color w:val="auto"/>
              </w:rPr>
            </w:pPr>
          </w:p>
        </w:tc>
        <w:tc>
          <w:tcPr>
            <w:tcW w:w="2600" w:type="dxa"/>
            <w:vAlign w:val="bottom"/>
            <w:gridSpan w:val="23"/>
          </w:tcPr>
          <w:p>
            <w:pPr>
              <w:ind w:left="20"/>
              <w:spacing w:after="0"/>
              <w:rPr>
                <w:sz w:val="20"/>
                <w:szCs w:val="20"/>
                <w:color w:val="auto"/>
              </w:rPr>
            </w:pPr>
            <w:r>
              <w:rPr>
                <w:rFonts w:ascii="Times New Roman" w:cs="Times New Roman" w:eastAsia="Times New Roman" w:hAnsi="Times New Roman"/>
                <w:sz w:val="20"/>
                <w:szCs w:val="20"/>
                <w:color w:val="0563C1"/>
              </w:rPr>
              <w:t>Affected Financial Institutions</w:t>
            </w:r>
          </w:p>
        </w:tc>
        <w:tc>
          <w:tcPr>
            <w:tcW w:w="4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w w:val="99"/>
              </w:rPr>
              <w:t>139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260" w:type="dxa"/>
            <w:vAlign w:val="bottom"/>
            <w:gridSpan w:val="3"/>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5.</w:t>
            </w:r>
            <w:r>
              <w:rPr>
                <w:rFonts w:ascii="Times New Roman" w:cs="Times New Roman" w:eastAsia="Times New Roman" w:hAnsi="Times New Roman"/>
                <w:sz w:val="20"/>
                <w:szCs w:val="20"/>
                <w:u w:val="single" w:color="auto"/>
                <w:color w:val="0563C1"/>
                <w:w w:val="85"/>
              </w:rPr>
              <w:t>26</w:t>
            </w:r>
          </w:p>
        </w:tc>
        <w:tc>
          <w:tcPr>
            <w:tcW w:w="240" w:type="dxa"/>
            <w:vAlign w:val="bottom"/>
          </w:tcPr>
          <w:p>
            <w:pPr>
              <w:spacing w:after="0"/>
              <w:rPr>
                <w:sz w:val="20"/>
                <w:szCs w:val="20"/>
                <w:color w:val="auto"/>
              </w:rPr>
            </w:pPr>
          </w:p>
        </w:tc>
        <w:tc>
          <w:tcPr>
            <w:tcW w:w="174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w w:val="96"/>
              </w:rPr>
              <w:t>Outbound Investment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139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gridSpan w:val="2"/>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260" w:type="dxa"/>
            <w:vAlign w:val="bottom"/>
            <w:gridSpan w:val="3"/>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3"/>
        </w:trPr>
        <w:tc>
          <w:tcPr>
            <w:tcW w:w="3800" w:type="dxa"/>
            <w:vAlign w:val="bottom"/>
            <w:gridSpan w:val="30"/>
          </w:tcPr>
          <w:p>
            <w:pPr>
              <w:jc w:val="right"/>
              <w:ind w:right="100"/>
              <w:spacing w:after="0" w:line="223" w:lineRule="exact"/>
              <w:rPr>
                <w:sz w:val="20"/>
                <w:szCs w:val="20"/>
                <w:color w:val="auto"/>
              </w:rPr>
            </w:pPr>
            <w:r>
              <w:rPr>
                <w:rFonts w:ascii="Times New Roman" w:cs="Times New Roman" w:eastAsia="Times New Roman" w:hAnsi="Times New Roman"/>
                <w:sz w:val="20"/>
                <w:szCs w:val="20"/>
                <w:color w:val="0563C1"/>
                <w:w w:val="97"/>
              </w:rPr>
              <w:t>ARTICLE VI AFFIRMATIVE COVENANTS</w:t>
            </w:r>
          </w:p>
        </w:tc>
        <w:tc>
          <w:tcPr>
            <w:tcW w:w="4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139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50"/>
        </w:trPr>
        <w:tc>
          <w:tcPr>
            <w:tcW w:w="2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01</w:t>
            </w:r>
          </w:p>
        </w:tc>
        <w:tc>
          <w:tcPr>
            <w:tcW w:w="240" w:type="dxa"/>
            <w:vAlign w:val="bottom"/>
            <w:tcBorders>
              <w:top w:val="single" w:sz="8" w:color="0563C1"/>
            </w:tcBorders>
          </w:tcPr>
          <w:p>
            <w:pPr>
              <w:spacing w:after="0"/>
              <w:rPr>
                <w:sz w:val="21"/>
                <w:szCs w:val="21"/>
                <w:color w:val="auto"/>
              </w:rPr>
            </w:pPr>
          </w:p>
        </w:tc>
        <w:tc>
          <w:tcPr>
            <w:tcW w:w="1740" w:type="dxa"/>
            <w:vAlign w:val="bottom"/>
            <w:tcBorders>
              <w:top w:val="single" w:sz="8" w:color="0563C1"/>
            </w:tcBorders>
            <w:gridSpan w:val="14"/>
          </w:tcPr>
          <w:p>
            <w:pPr>
              <w:ind w:left="20"/>
              <w:spacing w:after="0"/>
              <w:rPr>
                <w:sz w:val="20"/>
                <w:szCs w:val="20"/>
                <w:color w:val="auto"/>
              </w:rPr>
            </w:pPr>
            <w:r>
              <w:rPr>
                <w:rFonts w:ascii="Times New Roman" w:cs="Times New Roman" w:eastAsia="Times New Roman" w:hAnsi="Times New Roman"/>
                <w:sz w:val="20"/>
                <w:szCs w:val="20"/>
                <w:color w:val="0563C1"/>
              </w:rPr>
              <w:t>Financial Statements</w:t>
            </w:r>
          </w:p>
        </w:tc>
        <w:tc>
          <w:tcPr>
            <w:tcW w:w="440" w:type="dxa"/>
            <w:vAlign w:val="bottom"/>
            <w:tcBorders>
              <w:top w:val="single" w:sz="8" w:color="0563C1"/>
            </w:tcBorders>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140</w:t>
            </w:r>
          </w:p>
        </w:tc>
        <w:tc>
          <w:tcPr>
            <w:tcW w:w="80" w:type="dxa"/>
            <w:vAlign w:val="bottom"/>
            <w:tcBorders>
              <w:top w:val="single" w:sz="8" w:color="0563C1"/>
            </w:tcBorders>
          </w:tcPr>
          <w:p>
            <w:pPr>
              <w:spacing w:after="0"/>
              <w:rPr>
                <w:sz w:val="21"/>
                <w:szCs w:val="21"/>
                <w:color w:val="auto"/>
              </w:rPr>
            </w:pPr>
          </w:p>
        </w:tc>
        <w:tc>
          <w:tcPr>
            <w:tcW w:w="14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260" w:type="dxa"/>
            <w:vAlign w:val="bottom"/>
            <w:gridSpan w:val="3"/>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02</w:t>
            </w:r>
          </w:p>
        </w:tc>
        <w:tc>
          <w:tcPr>
            <w:tcW w:w="240" w:type="dxa"/>
            <w:vAlign w:val="bottom"/>
          </w:tcPr>
          <w:p>
            <w:pPr>
              <w:spacing w:after="0"/>
              <w:rPr>
                <w:sz w:val="20"/>
                <w:szCs w:val="20"/>
                <w:color w:val="auto"/>
              </w:rPr>
            </w:pPr>
          </w:p>
        </w:tc>
        <w:tc>
          <w:tcPr>
            <w:tcW w:w="2600" w:type="dxa"/>
            <w:vAlign w:val="bottom"/>
            <w:gridSpan w:val="23"/>
          </w:tcPr>
          <w:p>
            <w:pPr>
              <w:ind w:left="20"/>
              <w:spacing w:after="0"/>
              <w:rPr>
                <w:sz w:val="20"/>
                <w:szCs w:val="20"/>
                <w:color w:val="auto"/>
              </w:rPr>
            </w:pPr>
            <w:r>
              <w:rPr>
                <w:rFonts w:ascii="Times New Roman" w:cs="Times New Roman" w:eastAsia="Times New Roman" w:hAnsi="Times New Roman"/>
                <w:sz w:val="20"/>
                <w:szCs w:val="20"/>
                <w:color w:val="0563C1"/>
              </w:rPr>
              <w:t>Certificates; Other Information</w:t>
            </w: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03</w:t>
            </w:r>
          </w:p>
        </w:tc>
        <w:tc>
          <w:tcPr>
            <w:tcW w:w="240" w:type="dxa"/>
            <w:vAlign w:val="bottom"/>
          </w:tcPr>
          <w:p>
            <w:pPr>
              <w:spacing w:after="0"/>
              <w:rPr>
                <w:sz w:val="21"/>
                <w:szCs w:val="21"/>
                <w:color w:val="auto"/>
              </w:rPr>
            </w:pPr>
          </w:p>
        </w:tc>
        <w:tc>
          <w:tcPr>
            <w:tcW w:w="6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0563C1"/>
                <w:w w:val="98"/>
              </w:rPr>
              <w:t>Notices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563C1"/>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04</w:t>
            </w:r>
          </w:p>
        </w:tc>
        <w:tc>
          <w:tcPr>
            <w:tcW w:w="240" w:type="dxa"/>
            <w:vAlign w:val="bottom"/>
          </w:tcPr>
          <w:p>
            <w:pPr>
              <w:spacing w:after="0"/>
              <w:rPr>
                <w:sz w:val="20"/>
                <w:szCs w:val="20"/>
                <w:color w:val="auto"/>
              </w:rPr>
            </w:pPr>
          </w:p>
        </w:tc>
        <w:tc>
          <w:tcPr>
            <w:tcW w:w="192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w w:val="98"/>
              </w:rPr>
              <w:t>Payment of Obligations</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360" w:type="dxa"/>
            <w:vAlign w:val="bottom"/>
            <w:tcBorders>
              <w:left w:val="single" w:sz="8" w:color="0563C1"/>
            </w:tcBorders>
            <w:gridSpan w:val="4"/>
            <w:shd w:val="clear" w:color="auto" w:fill="0563C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05</w:t>
            </w:r>
          </w:p>
        </w:tc>
        <w:tc>
          <w:tcPr>
            <w:tcW w:w="240" w:type="dxa"/>
            <w:vAlign w:val="bottom"/>
          </w:tcPr>
          <w:p>
            <w:pPr>
              <w:spacing w:after="0"/>
              <w:rPr>
                <w:sz w:val="21"/>
                <w:szCs w:val="21"/>
                <w:color w:val="auto"/>
              </w:rPr>
            </w:pPr>
          </w:p>
        </w:tc>
        <w:tc>
          <w:tcPr>
            <w:tcW w:w="2600" w:type="dxa"/>
            <w:vAlign w:val="bottom"/>
            <w:gridSpan w:val="23"/>
          </w:tcPr>
          <w:p>
            <w:pPr>
              <w:ind w:left="20"/>
              <w:spacing w:after="0"/>
              <w:rPr>
                <w:sz w:val="20"/>
                <w:szCs w:val="20"/>
                <w:color w:val="auto"/>
              </w:rPr>
            </w:pPr>
            <w:r>
              <w:rPr>
                <w:rFonts w:ascii="Times New Roman" w:cs="Times New Roman" w:eastAsia="Times New Roman" w:hAnsi="Times New Roman"/>
                <w:sz w:val="20"/>
                <w:szCs w:val="20"/>
                <w:color w:val="0563C1"/>
              </w:rPr>
              <w:t>Preservation of Existence, Etc.</w:t>
            </w: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560" w:type="dxa"/>
            <w:vAlign w:val="bottom"/>
            <w:gridSpan w:val="2"/>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gridSpan w:val="6"/>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5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06</w:t>
            </w:r>
          </w:p>
        </w:tc>
        <w:tc>
          <w:tcPr>
            <w:tcW w:w="240" w:type="dxa"/>
            <w:vAlign w:val="bottom"/>
          </w:tcPr>
          <w:p>
            <w:pPr>
              <w:spacing w:after="0"/>
              <w:rPr>
                <w:sz w:val="21"/>
                <w:szCs w:val="21"/>
                <w:color w:val="auto"/>
              </w:rPr>
            </w:pPr>
          </w:p>
        </w:tc>
        <w:tc>
          <w:tcPr>
            <w:tcW w:w="2260" w:type="dxa"/>
            <w:vAlign w:val="bottom"/>
            <w:gridSpan w:val="20"/>
          </w:tcPr>
          <w:p>
            <w:pPr>
              <w:ind w:left="20"/>
              <w:spacing w:after="0"/>
              <w:rPr>
                <w:sz w:val="20"/>
                <w:szCs w:val="20"/>
                <w:color w:val="auto"/>
              </w:rPr>
            </w:pPr>
            <w:r>
              <w:rPr>
                <w:rFonts w:ascii="Times New Roman" w:cs="Times New Roman" w:eastAsia="Times New Roman" w:hAnsi="Times New Roman"/>
                <w:sz w:val="20"/>
                <w:szCs w:val="20"/>
                <w:color w:val="0563C1"/>
              </w:rPr>
              <w:t>Maintenance of Properties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560" w:type="dxa"/>
            <w:vAlign w:val="bottom"/>
            <w:gridSpan w:val="2"/>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Borders>
              <w:left w:val="single" w:sz="8" w:color="0563C1"/>
            </w:tcBorders>
            <w:gridSpan w:val="6"/>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07</w:t>
            </w:r>
          </w:p>
        </w:tc>
        <w:tc>
          <w:tcPr>
            <w:tcW w:w="240" w:type="dxa"/>
            <w:vAlign w:val="bottom"/>
          </w:tcPr>
          <w:p>
            <w:pPr>
              <w:spacing w:after="0"/>
              <w:rPr>
                <w:sz w:val="20"/>
                <w:szCs w:val="20"/>
                <w:color w:val="auto"/>
              </w:rPr>
            </w:pPr>
          </w:p>
        </w:tc>
        <w:tc>
          <w:tcPr>
            <w:tcW w:w="2260" w:type="dxa"/>
            <w:vAlign w:val="bottom"/>
            <w:gridSpan w:val="20"/>
          </w:tcPr>
          <w:p>
            <w:pPr>
              <w:ind w:left="20"/>
              <w:spacing w:after="0"/>
              <w:rPr>
                <w:sz w:val="20"/>
                <w:szCs w:val="20"/>
                <w:color w:val="auto"/>
              </w:rPr>
            </w:pPr>
            <w:r>
              <w:rPr>
                <w:rFonts w:ascii="Times New Roman" w:cs="Times New Roman" w:eastAsia="Times New Roman" w:hAnsi="Times New Roman"/>
                <w:sz w:val="20"/>
                <w:szCs w:val="20"/>
                <w:color w:val="0563C1"/>
              </w:rPr>
              <w:t>Maintenance of Insurance</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93"/>
              </w:rPr>
              <w:t>144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380" w:type="dxa"/>
            <w:vAlign w:val="bottom"/>
            <w:tcBorders>
              <w:left w:val="single" w:sz="8" w:color="0563C1"/>
            </w:tcBorders>
            <w:gridSpan w:val="5"/>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08</w:t>
            </w:r>
          </w:p>
        </w:tc>
        <w:tc>
          <w:tcPr>
            <w:tcW w:w="240" w:type="dxa"/>
            <w:vAlign w:val="bottom"/>
          </w:tcPr>
          <w:p>
            <w:pPr>
              <w:spacing w:after="0"/>
              <w:rPr>
                <w:sz w:val="21"/>
                <w:szCs w:val="21"/>
                <w:color w:val="auto"/>
              </w:rPr>
            </w:pPr>
          </w:p>
        </w:tc>
        <w:tc>
          <w:tcPr>
            <w:tcW w:w="192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rPr>
              <w:t>Compliance with Laws</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09</w:t>
            </w:r>
          </w:p>
        </w:tc>
        <w:tc>
          <w:tcPr>
            <w:tcW w:w="240" w:type="dxa"/>
            <w:vAlign w:val="bottom"/>
          </w:tcPr>
          <w:p>
            <w:pPr>
              <w:spacing w:after="0"/>
              <w:rPr>
                <w:sz w:val="20"/>
                <w:szCs w:val="20"/>
                <w:color w:val="auto"/>
              </w:rPr>
            </w:pPr>
          </w:p>
        </w:tc>
        <w:tc>
          <w:tcPr>
            <w:tcW w:w="174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rPr>
              <w:t>Books and Records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3"/>
              </w:rPr>
              <w:t>144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10</w:t>
            </w:r>
          </w:p>
        </w:tc>
        <w:tc>
          <w:tcPr>
            <w:tcW w:w="240" w:type="dxa"/>
            <w:vAlign w:val="bottom"/>
          </w:tcPr>
          <w:p>
            <w:pPr>
              <w:spacing w:after="0"/>
              <w:rPr>
                <w:sz w:val="21"/>
                <w:szCs w:val="21"/>
                <w:color w:val="auto"/>
              </w:rPr>
            </w:pPr>
          </w:p>
        </w:tc>
        <w:tc>
          <w:tcPr>
            <w:tcW w:w="192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rPr>
              <w:t xml:space="preserve">Inspection Rights  </w:t>
            </w:r>
            <w:r>
              <w:rPr>
                <w:rFonts w:ascii="Times New Roman" w:cs="Times New Roman" w:eastAsia="Times New Roman" w:hAnsi="Times New Roman"/>
                <w:sz w:val="20"/>
                <w:szCs w:val="20"/>
                <w:color w:val="000000"/>
              </w:rPr>
              <w:t>144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gridSpan w:val="2"/>
          </w:tcPr>
          <w:p>
            <w:pPr>
              <w:spacing w:after="0" w:line="20" w:lineRule="exact"/>
              <w:rPr>
                <w:sz w:val="1"/>
                <w:szCs w:val="1"/>
                <w:color w:val="auto"/>
              </w:rPr>
            </w:pPr>
          </w:p>
        </w:tc>
        <w:tc>
          <w:tcPr>
            <w:tcW w:w="860" w:type="dxa"/>
            <w:vAlign w:val="bottom"/>
            <w:gridSpan w:val="6"/>
            <w:shd w:val="clear" w:color="auto" w:fill="0563C1"/>
          </w:tcPr>
          <w:p>
            <w:pPr>
              <w:spacing w:after="0" w:line="20" w:lineRule="exact"/>
              <w:rPr>
                <w:sz w:val="1"/>
                <w:szCs w:val="1"/>
                <w:color w:val="auto"/>
              </w:rPr>
            </w:pPr>
          </w:p>
        </w:tc>
        <w:tc>
          <w:tcPr>
            <w:tcW w:w="42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11</w:t>
            </w:r>
          </w:p>
        </w:tc>
        <w:tc>
          <w:tcPr>
            <w:tcW w:w="240" w:type="dxa"/>
            <w:vAlign w:val="bottom"/>
          </w:tcPr>
          <w:p>
            <w:pPr>
              <w:spacing w:after="0"/>
              <w:rPr>
                <w:sz w:val="21"/>
                <w:szCs w:val="21"/>
                <w:color w:val="auto"/>
              </w:rPr>
            </w:pPr>
          </w:p>
        </w:tc>
        <w:tc>
          <w:tcPr>
            <w:tcW w:w="1300" w:type="dxa"/>
            <w:vAlign w:val="bottom"/>
            <w:tcBorders>
              <w:bottom w:val="single" w:sz="8" w:color="0563C1"/>
            </w:tcBorders>
            <w:gridSpan w:val="10"/>
          </w:tcPr>
          <w:p>
            <w:pPr>
              <w:spacing w:after="0"/>
              <w:rPr>
                <w:sz w:val="20"/>
                <w:szCs w:val="20"/>
                <w:color w:val="auto"/>
              </w:rPr>
            </w:pPr>
            <w:r>
              <w:rPr>
                <w:rFonts w:ascii="Times New Roman" w:cs="Times New Roman" w:eastAsia="Times New Roman" w:hAnsi="Times New Roman"/>
                <w:sz w:val="20"/>
                <w:szCs w:val="20"/>
                <w:color w:val="0563C1"/>
                <w:w w:val="98"/>
              </w:rPr>
              <w:t>Use of Proceeds</w:t>
            </w:r>
          </w:p>
        </w:tc>
        <w:tc>
          <w:tcPr>
            <w:tcW w:w="5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12</w:t>
            </w:r>
          </w:p>
        </w:tc>
        <w:tc>
          <w:tcPr>
            <w:tcW w:w="240" w:type="dxa"/>
            <w:vAlign w:val="bottom"/>
          </w:tcPr>
          <w:p>
            <w:pPr>
              <w:spacing w:after="0"/>
              <w:rPr>
                <w:sz w:val="20"/>
                <w:szCs w:val="20"/>
                <w:color w:val="auto"/>
              </w:rPr>
            </w:pPr>
          </w:p>
        </w:tc>
        <w:tc>
          <w:tcPr>
            <w:tcW w:w="4780" w:type="dxa"/>
            <w:vAlign w:val="bottom"/>
            <w:gridSpan w:val="37"/>
          </w:tcPr>
          <w:p>
            <w:pPr>
              <w:ind w:left="20"/>
              <w:spacing w:after="0"/>
              <w:rPr>
                <w:sz w:val="20"/>
                <w:szCs w:val="20"/>
                <w:color w:val="auto"/>
              </w:rPr>
            </w:pPr>
            <w:r>
              <w:rPr>
                <w:rFonts w:ascii="Times New Roman" w:cs="Times New Roman" w:eastAsia="Times New Roman" w:hAnsi="Times New Roman"/>
                <w:sz w:val="20"/>
                <w:szCs w:val="20"/>
                <w:color w:val="0563C1"/>
              </w:rPr>
              <w:t xml:space="preserve">Covenant to Guarantee Obligations and Give Security  </w:t>
            </w:r>
            <w:r>
              <w:rPr>
                <w:rFonts w:ascii="Times New Roman" w:cs="Times New Roman" w:eastAsia="Times New Roman" w:hAnsi="Times New Roman"/>
                <w:sz w:val="20"/>
                <w:szCs w:val="20"/>
                <w:color w:val="000000"/>
              </w:rPr>
              <w:t>144</w:t>
            </w: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13</w:t>
            </w:r>
          </w:p>
        </w:tc>
        <w:tc>
          <w:tcPr>
            <w:tcW w:w="240" w:type="dxa"/>
            <w:vAlign w:val="bottom"/>
          </w:tcPr>
          <w:p>
            <w:pPr>
              <w:spacing w:after="0"/>
              <w:rPr>
                <w:sz w:val="21"/>
                <w:szCs w:val="21"/>
                <w:color w:val="auto"/>
              </w:rPr>
            </w:pPr>
          </w:p>
        </w:tc>
        <w:tc>
          <w:tcPr>
            <w:tcW w:w="2600" w:type="dxa"/>
            <w:vAlign w:val="bottom"/>
            <w:gridSpan w:val="23"/>
          </w:tcPr>
          <w:p>
            <w:pPr>
              <w:ind w:left="20"/>
              <w:spacing w:after="0"/>
              <w:rPr>
                <w:sz w:val="20"/>
                <w:szCs w:val="20"/>
                <w:color w:val="auto"/>
              </w:rPr>
            </w:pPr>
            <w:r>
              <w:rPr>
                <w:rFonts w:ascii="Times New Roman" w:cs="Times New Roman" w:eastAsia="Times New Roman" w:hAnsi="Times New Roman"/>
                <w:sz w:val="20"/>
                <w:szCs w:val="20"/>
                <w:color w:val="0563C1"/>
              </w:rPr>
              <w:t>Approvals and Authorizations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3"/>
              </w:rPr>
              <w:t>146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14</w:t>
            </w:r>
          </w:p>
        </w:tc>
        <w:tc>
          <w:tcPr>
            <w:tcW w:w="240" w:type="dxa"/>
            <w:vAlign w:val="bottom"/>
          </w:tcPr>
          <w:p>
            <w:pPr>
              <w:spacing w:after="0"/>
              <w:rPr>
                <w:sz w:val="20"/>
                <w:szCs w:val="20"/>
                <w:color w:val="auto"/>
              </w:rPr>
            </w:pPr>
          </w:p>
        </w:tc>
        <w:tc>
          <w:tcPr>
            <w:tcW w:w="3200" w:type="dxa"/>
            <w:vAlign w:val="bottom"/>
            <w:gridSpan w:val="29"/>
          </w:tcPr>
          <w:p>
            <w:pPr>
              <w:ind w:left="20"/>
              <w:spacing w:after="0"/>
              <w:rPr>
                <w:sz w:val="20"/>
                <w:szCs w:val="20"/>
                <w:color w:val="auto"/>
              </w:rPr>
            </w:pPr>
            <w:r>
              <w:rPr>
                <w:rFonts w:ascii="Times New Roman" w:cs="Times New Roman" w:eastAsia="Times New Roman" w:hAnsi="Times New Roman"/>
                <w:sz w:val="20"/>
                <w:szCs w:val="20"/>
                <w:color w:val="0563C1"/>
              </w:rPr>
              <w:t>Compliance with Environmental Laws</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15</w:t>
            </w:r>
          </w:p>
        </w:tc>
        <w:tc>
          <w:tcPr>
            <w:tcW w:w="240" w:type="dxa"/>
            <w:vAlign w:val="bottom"/>
          </w:tcPr>
          <w:p>
            <w:pPr>
              <w:spacing w:after="0"/>
              <w:rPr>
                <w:sz w:val="21"/>
                <w:szCs w:val="21"/>
                <w:color w:val="auto"/>
              </w:rPr>
            </w:pPr>
          </w:p>
        </w:tc>
        <w:tc>
          <w:tcPr>
            <w:tcW w:w="174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rPr>
              <w:t>Further Assurances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3"/>
              </w:rPr>
              <w:t>146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shd w:val="clear" w:color="auto" w:fill="0563C1"/>
          </w:tcPr>
          <w:p>
            <w:pPr>
              <w:spacing w:after="0" w:line="20" w:lineRule="exact"/>
              <w:rPr>
                <w:sz w:val="1"/>
                <w:szCs w:val="1"/>
                <w:color w:val="auto"/>
              </w:rPr>
            </w:pPr>
          </w:p>
        </w:tc>
        <w:tc>
          <w:tcPr>
            <w:tcW w:w="520" w:type="dxa"/>
            <w:vAlign w:val="bottom"/>
            <w:tcBorders>
              <w:left w:val="single" w:sz="8" w:color="0563C1"/>
            </w:tcBorders>
            <w:gridSpan w:val="4"/>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16</w:t>
            </w:r>
          </w:p>
        </w:tc>
        <w:tc>
          <w:tcPr>
            <w:tcW w:w="240" w:type="dxa"/>
            <w:vAlign w:val="bottom"/>
          </w:tcPr>
          <w:p>
            <w:pPr>
              <w:spacing w:after="0"/>
              <w:rPr>
                <w:sz w:val="21"/>
                <w:szCs w:val="21"/>
                <w:color w:val="auto"/>
              </w:rPr>
            </w:pPr>
          </w:p>
        </w:tc>
        <w:tc>
          <w:tcPr>
            <w:tcW w:w="88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0563C1"/>
                <w:w w:val="93"/>
              </w:rPr>
              <w:t>[Reserved]</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shd w:val="clear" w:color="auto" w:fill="0563C1"/>
          </w:tcPr>
          <w:p>
            <w:pPr>
              <w:spacing w:after="0" w:line="20" w:lineRule="exact"/>
              <w:rPr>
                <w:sz w:val="1"/>
                <w:szCs w:val="1"/>
                <w:color w:val="auto"/>
              </w:rPr>
            </w:pPr>
          </w:p>
        </w:tc>
        <w:tc>
          <w:tcPr>
            <w:tcW w:w="130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17</w:t>
            </w:r>
          </w:p>
        </w:tc>
        <w:tc>
          <w:tcPr>
            <w:tcW w:w="240" w:type="dxa"/>
            <w:vAlign w:val="bottom"/>
          </w:tcPr>
          <w:p>
            <w:pPr>
              <w:spacing w:after="0"/>
              <w:rPr>
                <w:sz w:val="20"/>
                <w:szCs w:val="20"/>
                <w:color w:val="auto"/>
              </w:rPr>
            </w:pPr>
          </w:p>
        </w:tc>
        <w:tc>
          <w:tcPr>
            <w:tcW w:w="2260" w:type="dxa"/>
            <w:vAlign w:val="bottom"/>
            <w:gridSpan w:val="20"/>
          </w:tcPr>
          <w:p>
            <w:pPr>
              <w:ind w:left="20"/>
              <w:spacing w:after="0"/>
              <w:rPr>
                <w:sz w:val="20"/>
                <w:szCs w:val="20"/>
                <w:color w:val="auto"/>
              </w:rPr>
            </w:pPr>
            <w:r>
              <w:rPr>
                <w:rFonts w:ascii="Times New Roman" w:cs="Times New Roman" w:eastAsia="Times New Roman" w:hAnsi="Times New Roman"/>
                <w:sz w:val="20"/>
                <w:szCs w:val="20"/>
                <w:color w:val="0563C1"/>
              </w:rPr>
              <w:t>Designation as Senior Debt</w:t>
            </w:r>
          </w:p>
        </w:tc>
        <w:tc>
          <w:tcPr>
            <w:tcW w:w="56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146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0139"/>
          </w:cols>
          <w:pgMar w:left="320" w:top="1395" w:right="1440"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6.</w:t>
            </w:r>
            <w:r>
              <w:rPr>
                <w:rFonts w:ascii="Times New Roman" w:cs="Times New Roman" w:eastAsia="Times New Roman" w:hAnsi="Times New Roman"/>
                <w:sz w:val="20"/>
                <w:szCs w:val="20"/>
                <w:u w:val="single" w:color="auto"/>
                <w:color w:val="0563C1"/>
                <w:w w:val="85"/>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w w:val="94"/>
              </w:rPr>
              <w:t>Anti-Corruption Laws</w:t>
            </w:r>
          </w:p>
        </w:tc>
        <w:tc>
          <w:tcPr>
            <w:tcW w:w="64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146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40" w:type="dxa"/>
            <w:vAlign w:val="bottom"/>
            <w:tcBorders>
              <w:left w:val="single" w:sz="8" w:color="0563C1"/>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gridSpan w:val="26"/>
          </w:tcPr>
          <w:p>
            <w:pPr>
              <w:spacing w:after="0" w:line="223" w:lineRule="exact"/>
              <w:rPr>
                <w:sz w:val="20"/>
                <w:szCs w:val="20"/>
                <w:color w:val="auto"/>
              </w:rPr>
            </w:pPr>
            <w:r>
              <w:rPr>
                <w:rFonts w:ascii="Times New Roman" w:cs="Times New Roman" w:eastAsia="Times New Roman" w:hAnsi="Times New Roman"/>
                <w:sz w:val="20"/>
                <w:szCs w:val="20"/>
                <w:color w:val="0563C1"/>
              </w:rPr>
              <w:t>ARTICLE VII NEGATIVE COVENANTS</w:t>
            </w:r>
          </w:p>
        </w:tc>
        <w:tc>
          <w:tcPr>
            <w:tcW w:w="580" w:type="dxa"/>
            <w:vAlign w:val="bottom"/>
            <w:gridSpan w:val="4"/>
          </w:tcPr>
          <w:p>
            <w:pPr>
              <w:jc w:val="right"/>
              <w:ind w:right="101"/>
              <w:spacing w:after="0" w:line="223" w:lineRule="exact"/>
              <w:rPr>
                <w:sz w:val="20"/>
                <w:szCs w:val="20"/>
                <w:color w:val="auto"/>
              </w:rPr>
            </w:pPr>
            <w:r>
              <w:rPr>
                <w:rFonts w:ascii="Times New Roman" w:cs="Times New Roman" w:eastAsia="Times New Roman" w:hAnsi="Times New Roman"/>
                <w:sz w:val="20"/>
                <w:szCs w:val="20"/>
                <w:color w:val="auto"/>
              </w:rPr>
              <w:t>147</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 w:type="dxa"/>
            <w:vAlign w:val="bottom"/>
            <w:tcBorders>
              <w:top w:val="single" w:sz="8" w:color="0563C1"/>
            </w:tcBorders>
          </w:tcPr>
          <w:p>
            <w:pPr>
              <w:spacing w:after="0"/>
              <w:rPr>
                <w:sz w:val="20"/>
                <w:szCs w:val="20"/>
                <w:color w:val="auto"/>
              </w:rPr>
            </w:pPr>
          </w:p>
        </w:tc>
        <w:tc>
          <w:tcPr>
            <w:tcW w:w="3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01</w:t>
            </w:r>
          </w:p>
        </w:tc>
        <w:tc>
          <w:tcPr>
            <w:tcW w:w="120" w:type="dxa"/>
            <w:vAlign w:val="bottom"/>
            <w:tcBorders>
              <w:top w:val="single" w:sz="8" w:color="0563C1"/>
            </w:tcBorders>
          </w:tcPr>
          <w:p>
            <w:pPr>
              <w:spacing w:after="0"/>
              <w:rPr>
                <w:sz w:val="20"/>
                <w:szCs w:val="20"/>
                <w:color w:val="auto"/>
              </w:rPr>
            </w:pPr>
          </w:p>
        </w:tc>
        <w:tc>
          <w:tcPr>
            <w:tcW w:w="120" w:type="dxa"/>
            <w:vAlign w:val="bottom"/>
            <w:tcBorders>
              <w:top w:val="single" w:sz="8" w:color="0563C1"/>
            </w:tcBorders>
          </w:tcPr>
          <w:p>
            <w:pPr>
              <w:spacing w:after="0"/>
              <w:rPr>
                <w:sz w:val="20"/>
                <w:szCs w:val="20"/>
                <w:color w:val="auto"/>
              </w:rPr>
            </w:pPr>
          </w:p>
        </w:tc>
        <w:tc>
          <w:tcPr>
            <w:tcW w:w="1060" w:type="dxa"/>
            <w:vAlign w:val="bottom"/>
            <w:tcBorders>
              <w:top w:val="single" w:sz="8" w:color="0563C1"/>
            </w:tcBorders>
            <w:gridSpan w:val="8"/>
          </w:tcPr>
          <w:p>
            <w:pPr>
              <w:ind w:left="20"/>
              <w:spacing w:after="0"/>
              <w:rPr>
                <w:sz w:val="20"/>
                <w:szCs w:val="20"/>
                <w:color w:val="auto"/>
              </w:rPr>
            </w:pPr>
            <w:r>
              <w:rPr>
                <w:rFonts w:ascii="Times New Roman" w:cs="Times New Roman" w:eastAsia="Times New Roman" w:hAnsi="Times New Roman"/>
                <w:sz w:val="20"/>
                <w:szCs w:val="20"/>
                <w:color w:val="0563C1"/>
              </w:rPr>
              <w:t xml:space="preserve">Liens  </w:t>
            </w:r>
            <w:r>
              <w:rPr>
                <w:rFonts w:ascii="Times New Roman" w:cs="Times New Roman" w:eastAsia="Times New Roman" w:hAnsi="Times New Roman"/>
                <w:sz w:val="20"/>
                <w:szCs w:val="20"/>
                <w:color w:val="000000"/>
              </w:rPr>
              <w:t>147</w:t>
            </w:r>
          </w:p>
        </w:tc>
        <w:tc>
          <w:tcPr>
            <w:tcW w:w="240" w:type="dxa"/>
            <w:vAlign w:val="bottom"/>
            <w:tcBorders>
              <w:top w:val="single" w:sz="8" w:color="0563C1"/>
            </w:tcBorders>
          </w:tcPr>
          <w:p>
            <w:pPr>
              <w:spacing w:after="0"/>
              <w:rPr>
                <w:sz w:val="20"/>
                <w:szCs w:val="20"/>
                <w:color w:val="auto"/>
              </w:rPr>
            </w:pPr>
          </w:p>
        </w:tc>
        <w:tc>
          <w:tcPr>
            <w:tcW w:w="100" w:type="dxa"/>
            <w:vAlign w:val="bottom"/>
            <w:tcBorders>
              <w:top w:val="single" w:sz="8" w:color="0563C1"/>
            </w:tcBorders>
          </w:tcPr>
          <w:p>
            <w:pPr>
              <w:spacing w:after="0"/>
              <w:rPr>
                <w:sz w:val="20"/>
                <w:szCs w:val="20"/>
                <w:color w:val="auto"/>
              </w:rPr>
            </w:pPr>
          </w:p>
        </w:tc>
        <w:tc>
          <w:tcPr>
            <w:tcW w:w="10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180" w:type="dxa"/>
            <w:vAlign w:val="bottom"/>
            <w:tcBorders>
              <w:top w:val="single" w:sz="8" w:color="0563C1"/>
            </w:tcBorders>
          </w:tcPr>
          <w:p>
            <w:pPr>
              <w:spacing w:after="0"/>
              <w:rPr>
                <w:sz w:val="20"/>
                <w:szCs w:val="20"/>
                <w:color w:val="auto"/>
              </w:rPr>
            </w:pPr>
          </w:p>
        </w:tc>
        <w:tc>
          <w:tcPr>
            <w:tcW w:w="10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200" w:type="dxa"/>
            <w:vAlign w:val="bottom"/>
            <w:tcBorders>
              <w:top w:val="single" w:sz="8" w:color="0563C1"/>
            </w:tcBorders>
          </w:tcPr>
          <w:p>
            <w:pPr>
              <w:spacing w:after="0"/>
              <w:rPr>
                <w:sz w:val="20"/>
                <w:szCs w:val="20"/>
                <w:color w:val="auto"/>
              </w:rPr>
            </w:pPr>
          </w:p>
        </w:tc>
        <w:tc>
          <w:tcPr>
            <w:tcW w:w="180" w:type="dxa"/>
            <w:vAlign w:val="bottom"/>
            <w:tcBorders>
              <w:top w:val="single" w:sz="8" w:color="0563C1"/>
            </w:tcBorders>
          </w:tcPr>
          <w:p>
            <w:pPr>
              <w:spacing w:after="0"/>
              <w:rPr>
                <w:sz w:val="20"/>
                <w:szCs w:val="20"/>
                <w:color w:val="auto"/>
              </w:rPr>
            </w:pPr>
          </w:p>
        </w:tc>
        <w:tc>
          <w:tcPr>
            <w:tcW w:w="100" w:type="dxa"/>
            <w:vAlign w:val="bottom"/>
            <w:tcBorders>
              <w:top w:val="single" w:sz="8" w:color="0563C1"/>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0563C1"/>
                <w:w w:val="97"/>
              </w:rPr>
              <w:t>Indebtedness</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0563C1"/>
              </w:rPr>
              <w:t>Investments</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w w:val="94"/>
              </w:rPr>
              <w:t>Fundamental Changes</w:t>
            </w:r>
          </w:p>
        </w:tc>
        <w:tc>
          <w:tcPr>
            <w:tcW w:w="64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152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0563C1"/>
              </w:rPr>
              <w:t>Dispositions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rPr>
              <w:t>Restricted Payments</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19"/>
          </w:tcPr>
          <w:p>
            <w:pPr>
              <w:ind w:left="20"/>
              <w:spacing w:after="0"/>
              <w:rPr>
                <w:sz w:val="20"/>
                <w:szCs w:val="20"/>
                <w:color w:val="auto"/>
              </w:rPr>
            </w:pPr>
            <w:r>
              <w:rPr>
                <w:rFonts w:ascii="Times New Roman" w:cs="Times New Roman" w:eastAsia="Times New Roman" w:hAnsi="Times New Roman"/>
                <w:sz w:val="20"/>
                <w:szCs w:val="20"/>
                <w:color w:val="0563C1"/>
                <w:w w:val="97"/>
              </w:rPr>
              <w:t>Change in Nature of Business</w:t>
            </w:r>
          </w:p>
        </w:tc>
        <w:tc>
          <w:tcPr>
            <w:tcW w:w="620" w:type="dxa"/>
            <w:vAlign w:val="bottom"/>
            <w:gridSpan w:val="5"/>
          </w:tcPr>
          <w:p>
            <w:pPr>
              <w:jc w:val="right"/>
              <w:ind w:right="120"/>
              <w:spacing w:after="0"/>
              <w:rPr>
                <w:sz w:val="20"/>
                <w:szCs w:val="20"/>
                <w:color w:val="auto"/>
              </w:rPr>
            </w:pPr>
            <w:r>
              <w:rPr>
                <w:rFonts w:ascii="Times New Roman" w:cs="Times New Roman" w:eastAsia="Times New Roman" w:hAnsi="Times New Roman"/>
                <w:sz w:val="20"/>
                <w:szCs w:val="20"/>
                <w:color w:val="auto"/>
              </w:rPr>
              <w:t>156</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19"/>
          </w:tcPr>
          <w:p>
            <w:pPr>
              <w:ind w:left="20"/>
              <w:spacing w:after="0"/>
              <w:rPr>
                <w:sz w:val="20"/>
                <w:szCs w:val="20"/>
                <w:color w:val="auto"/>
              </w:rPr>
            </w:pPr>
            <w:r>
              <w:rPr>
                <w:rFonts w:ascii="Times New Roman" w:cs="Times New Roman" w:eastAsia="Times New Roman" w:hAnsi="Times New Roman"/>
                <w:sz w:val="20"/>
                <w:szCs w:val="20"/>
                <w:color w:val="0563C1"/>
              </w:rPr>
              <w:t>Transactions with Affiliates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156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80" w:type="dxa"/>
            <w:vAlign w:val="bottom"/>
            <w:tcBorders>
              <w:left w:val="single" w:sz="8" w:color="0563C1"/>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rPr>
              <w:t>Burdensome Agreements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11"/>
          </w:tcPr>
          <w:p>
            <w:pPr>
              <w:ind w:left="20"/>
              <w:spacing w:after="0"/>
              <w:rPr>
                <w:sz w:val="20"/>
                <w:szCs w:val="20"/>
                <w:color w:val="auto"/>
              </w:rPr>
            </w:pPr>
            <w:r>
              <w:rPr>
                <w:rFonts w:ascii="Times New Roman" w:cs="Times New Roman" w:eastAsia="Times New Roman" w:hAnsi="Times New Roman"/>
                <w:sz w:val="20"/>
                <w:szCs w:val="20"/>
                <w:color w:val="0563C1"/>
              </w:rPr>
              <w:t>Use of Proceeds</w:t>
            </w:r>
          </w:p>
        </w:tc>
        <w:tc>
          <w:tcPr>
            <w:tcW w:w="420" w:type="dxa"/>
            <w:vAlign w:val="bottom"/>
            <w:gridSpan w:val="4"/>
          </w:tcPr>
          <w:p>
            <w:pPr>
              <w:jc w:val="right"/>
              <w:ind w:right="21"/>
              <w:spacing w:after="0"/>
              <w:rPr>
                <w:sz w:val="20"/>
                <w:szCs w:val="20"/>
                <w:color w:val="auto"/>
              </w:rPr>
            </w:pPr>
            <w:r>
              <w:rPr>
                <w:rFonts w:ascii="Times New Roman" w:cs="Times New Roman" w:eastAsia="Times New Roman" w:hAnsi="Times New Roman"/>
                <w:sz w:val="20"/>
                <w:szCs w:val="20"/>
                <w:color w:val="auto"/>
                <w:w w:val="93"/>
              </w:rPr>
              <w:t>157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14"/>
          </w:tcPr>
          <w:p>
            <w:pPr>
              <w:spacing w:after="0"/>
              <w:rPr>
                <w:sz w:val="20"/>
                <w:szCs w:val="20"/>
                <w:color w:val="auto"/>
              </w:rPr>
            </w:pPr>
            <w:r>
              <w:rPr>
                <w:rFonts w:ascii="Times New Roman" w:cs="Times New Roman" w:eastAsia="Times New Roman" w:hAnsi="Times New Roman"/>
                <w:sz w:val="20"/>
                <w:szCs w:val="20"/>
                <w:color w:val="0563C1"/>
              </w:rPr>
              <w:t>Financial Covenants</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20" w:type="dxa"/>
            <w:vAlign w:val="bottom"/>
            <w:gridSpan w:val="5"/>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gridSpan w:val="28"/>
          </w:tcPr>
          <w:p>
            <w:pPr>
              <w:ind w:left="20"/>
              <w:spacing w:after="0"/>
              <w:rPr>
                <w:sz w:val="20"/>
                <w:szCs w:val="20"/>
                <w:color w:val="auto"/>
              </w:rPr>
            </w:pPr>
            <w:r>
              <w:rPr>
                <w:rFonts w:ascii="Times New Roman" w:cs="Times New Roman" w:eastAsia="Times New Roman" w:hAnsi="Times New Roman"/>
                <w:sz w:val="20"/>
                <w:szCs w:val="20"/>
                <w:color w:val="0563C1"/>
              </w:rPr>
              <w:t xml:space="preserve">Amendments of Organization Documents  </w:t>
            </w:r>
            <w:r>
              <w:rPr>
                <w:rFonts w:ascii="Times New Roman" w:cs="Times New Roman" w:eastAsia="Times New Roman" w:hAnsi="Times New Roman"/>
                <w:sz w:val="20"/>
                <w:szCs w:val="20"/>
                <w:color w:val="000000"/>
              </w:rPr>
              <w:t>157</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20" w:type="dxa"/>
            <w:vAlign w:val="bottom"/>
            <w:gridSpan w:val="5"/>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rPr>
              <w:t>Accounting Changes</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20" w:type="dxa"/>
            <w:vAlign w:val="bottom"/>
            <w:gridSpan w:val="5"/>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0563C1"/>
                <w:w w:val="97"/>
              </w:rPr>
              <w:t>Prepayments, Etc. of Indebtedness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gridSpan w:val="3"/>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0563C1"/>
              </w:rPr>
              <w:t>[Reserved]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158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19"/>
          </w:tcPr>
          <w:p>
            <w:pPr>
              <w:ind w:left="20"/>
              <w:spacing w:after="0"/>
              <w:rPr>
                <w:sz w:val="20"/>
                <w:szCs w:val="20"/>
                <w:color w:val="auto"/>
              </w:rPr>
            </w:pPr>
            <w:r>
              <w:rPr>
                <w:rFonts w:ascii="Times New Roman" w:cs="Times New Roman" w:eastAsia="Times New Roman" w:hAnsi="Times New Roman"/>
                <w:sz w:val="20"/>
                <w:szCs w:val="20"/>
                <w:color w:val="0563C1"/>
              </w:rPr>
              <w:t>Designation of Senior Debt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158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620" w:type="dxa"/>
            <w:vAlign w:val="bottom"/>
            <w:gridSpan w:val="6"/>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3"/>
            <w:shd w:val="clear" w:color="auto" w:fill="0563C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0563C1"/>
              </w:rPr>
              <w:t>Sale and Leaseback Transactions</w:t>
            </w:r>
          </w:p>
        </w:tc>
        <w:tc>
          <w:tcPr>
            <w:tcW w:w="580" w:type="dxa"/>
            <w:vAlign w:val="bottom"/>
            <w:gridSpan w:val="4"/>
          </w:tcPr>
          <w:p>
            <w:pPr>
              <w:jc w:val="right"/>
              <w:ind w:right="101"/>
              <w:spacing w:after="0"/>
              <w:rPr>
                <w:sz w:val="20"/>
                <w:szCs w:val="20"/>
                <w:color w:val="auto"/>
              </w:rPr>
            </w:pPr>
            <w:r>
              <w:rPr>
                <w:rFonts w:ascii="Times New Roman" w:cs="Times New Roman" w:eastAsia="Times New Roman" w:hAnsi="Times New Roman"/>
                <w:sz w:val="20"/>
                <w:szCs w:val="20"/>
                <w:color w:val="auto"/>
              </w:rPr>
              <w:t>158</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620" w:type="dxa"/>
            <w:vAlign w:val="bottom"/>
            <w:gridSpan w:val="6"/>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11"/>
          </w:tcPr>
          <w:p>
            <w:pPr>
              <w:ind w:left="20"/>
              <w:spacing w:after="0"/>
              <w:rPr>
                <w:sz w:val="20"/>
                <w:szCs w:val="20"/>
                <w:color w:val="auto"/>
              </w:rPr>
            </w:pPr>
            <w:r>
              <w:rPr>
                <w:rFonts w:ascii="Times New Roman" w:cs="Times New Roman" w:eastAsia="Times New Roman" w:hAnsi="Times New Roman"/>
                <w:sz w:val="20"/>
                <w:szCs w:val="20"/>
                <w:color w:val="0563C1"/>
              </w:rPr>
              <w:t xml:space="preserve">Sanctions  </w:t>
            </w:r>
            <w:r>
              <w:rPr>
                <w:rFonts w:ascii="Times New Roman" w:cs="Times New Roman" w:eastAsia="Times New Roman" w:hAnsi="Times New Roman"/>
                <w:sz w:val="20"/>
                <w:szCs w:val="20"/>
                <w:color w:val="000000"/>
              </w:rPr>
              <w:t>158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60" w:type="dxa"/>
            <w:vAlign w:val="bottom"/>
            <w:gridSpan w:val="2"/>
            <w:shd w:val="clear" w:color="auto" w:fill="0563C1"/>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w w:val="94"/>
              </w:rPr>
              <w:t>Anti-Corruption Laws</w:t>
            </w:r>
          </w:p>
        </w:tc>
        <w:tc>
          <w:tcPr>
            <w:tcW w:w="64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158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80" w:type="dxa"/>
            <w:vAlign w:val="bottom"/>
            <w:gridSpan w:val="8"/>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7.</w:t>
            </w:r>
            <w:r>
              <w:rPr>
                <w:rFonts w:ascii="Times New Roman" w:cs="Times New Roman" w:eastAsia="Times New Roman" w:hAnsi="Times New Roman"/>
                <w:sz w:val="20"/>
                <w:szCs w:val="20"/>
                <w:u w:val="single" w:color="auto"/>
                <w:color w:val="0563C1"/>
                <w:w w:val="85"/>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w w:val="96"/>
              </w:rPr>
              <w:t>Outbound Investment</w:t>
            </w:r>
          </w:p>
        </w:tc>
        <w:tc>
          <w:tcPr>
            <w:tcW w:w="64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158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gridSpan w:val="3"/>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80" w:type="dxa"/>
            <w:vAlign w:val="bottom"/>
            <w:gridSpan w:val="8"/>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gridSpan w:val="32"/>
          </w:tcPr>
          <w:p>
            <w:pPr>
              <w:spacing w:after="0" w:line="223" w:lineRule="exact"/>
              <w:rPr>
                <w:sz w:val="20"/>
                <w:szCs w:val="20"/>
                <w:color w:val="auto"/>
              </w:rPr>
            </w:pPr>
            <w:r>
              <w:rPr>
                <w:rFonts w:ascii="Times New Roman" w:cs="Times New Roman" w:eastAsia="Times New Roman" w:hAnsi="Times New Roman"/>
                <w:sz w:val="20"/>
                <w:szCs w:val="20"/>
                <w:color w:val="0563C1"/>
                <w:w w:val="99"/>
              </w:rPr>
              <w:t>ARTICLE VIII EVENTS OF DEFAULT AND REMEDIES</w:t>
            </w:r>
          </w:p>
        </w:tc>
        <w:tc>
          <w:tcPr>
            <w:tcW w:w="660" w:type="dxa"/>
            <w:vAlign w:val="bottom"/>
            <w:gridSpan w:val="2"/>
          </w:tcPr>
          <w:p>
            <w:pPr>
              <w:jc w:val="right"/>
              <w:ind w:right="260"/>
              <w:spacing w:after="0" w:line="223" w:lineRule="exact"/>
              <w:rPr>
                <w:sz w:val="20"/>
                <w:szCs w:val="20"/>
                <w:color w:val="auto"/>
              </w:rPr>
            </w:pPr>
            <w:r>
              <w:rPr>
                <w:rFonts w:ascii="Times New Roman" w:cs="Times New Roman" w:eastAsia="Times New Roman" w:hAnsi="Times New Roman"/>
                <w:sz w:val="20"/>
                <w:szCs w:val="20"/>
                <w:color w:val="auto"/>
              </w:rPr>
              <w:t>158</w:t>
            </w:r>
          </w:p>
        </w:tc>
        <w:tc>
          <w:tcPr>
            <w:tcW w:w="4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01</w:t>
            </w:r>
          </w:p>
        </w:tc>
        <w:tc>
          <w:tcPr>
            <w:tcW w:w="12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1500" w:type="dxa"/>
            <w:vAlign w:val="bottom"/>
            <w:tcBorders>
              <w:top w:val="single" w:sz="8" w:color="0563C1"/>
            </w:tcBorders>
            <w:gridSpan w:val="11"/>
          </w:tcPr>
          <w:p>
            <w:pPr>
              <w:ind w:left="20"/>
              <w:spacing w:after="0"/>
              <w:rPr>
                <w:sz w:val="20"/>
                <w:szCs w:val="20"/>
                <w:color w:val="auto"/>
              </w:rPr>
            </w:pPr>
            <w:r>
              <w:rPr>
                <w:rFonts w:ascii="Times New Roman" w:cs="Times New Roman" w:eastAsia="Times New Roman" w:hAnsi="Times New Roman"/>
                <w:sz w:val="20"/>
                <w:szCs w:val="20"/>
                <w:color w:val="0563C1"/>
              </w:rPr>
              <w:t>Events of Default</w:t>
            </w:r>
          </w:p>
        </w:tc>
        <w:tc>
          <w:tcPr>
            <w:tcW w:w="420" w:type="dxa"/>
            <w:vAlign w:val="bottom"/>
            <w:tcBorders>
              <w:top w:val="single" w:sz="8" w:color="0563C1"/>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10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20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300" w:type="dxa"/>
            <w:vAlign w:val="bottom"/>
            <w:tcBorders>
              <w:top w:val="single" w:sz="8" w:color="0563C1"/>
            </w:tcBorders>
          </w:tcPr>
          <w:p>
            <w:pPr>
              <w:spacing w:after="0"/>
              <w:rPr>
                <w:sz w:val="21"/>
                <w:szCs w:val="21"/>
                <w:color w:val="auto"/>
              </w:rPr>
            </w:pPr>
          </w:p>
        </w:tc>
        <w:tc>
          <w:tcPr>
            <w:tcW w:w="640" w:type="dxa"/>
            <w:vAlign w:val="bottom"/>
            <w:tcBorders>
              <w:top w:val="single" w:sz="8" w:color="0563C1"/>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80" w:type="dxa"/>
            <w:vAlign w:val="bottom"/>
            <w:gridSpan w:val="8"/>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0563C1"/>
              </w:rPr>
              <w:t>Remedies upon Event of Default</w:t>
            </w:r>
          </w:p>
        </w:tc>
        <w:tc>
          <w:tcPr>
            <w:tcW w:w="580" w:type="dxa"/>
            <w:vAlign w:val="bottom"/>
            <w:gridSpan w:val="4"/>
          </w:tcPr>
          <w:p>
            <w:pPr>
              <w:jc w:val="right"/>
              <w:ind w:right="121"/>
              <w:spacing w:after="0"/>
              <w:rPr>
                <w:sz w:val="20"/>
                <w:szCs w:val="20"/>
                <w:color w:val="auto"/>
              </w:rPr>
            </w:pPr>
            <w:r>
              <w:rPr>
                <w:rFonts w:ascii="Times New Roman" w:cs="Times New Roman" w:eastAsia="Times New Roman" w:hAnsi="Times New Roman"/>
                <w:sz w:val="20"/>
                <w:szCs w:val="20"/>
                <w:color w:val="auto"/>
              </w:rPr>
              <w:t>161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380" w:type="dxa"/>
            <w:vAlign w:val="bottom"/>
            <w:gridSpan w:val="9"/>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8.</w:t>
            </w:r>
            <w:r>
              <w:rPr>
                <w:rFonts w:ascii="Times New Roman" w:cs="Times New Roman" w:eastAsia="Times New Roman" w:hAnsi="Times New Roman"/>
                <w:sz w:val="20"/>
                <w:szCs w:val="20"/>
                <w:u w:val="single" w:color="auto"/>
                <w:color w:val="0563C1"/>
                <w:w w:val="85"/>
              </w:rPr>
              <w:t>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w w:val="98"/>
              </w:rPr>
              <w:t>Application of Funds</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20"/>
                <w:szCs w:val="20"/>
                <w:color w:val="auto"/>
                <w:w w:val="99"/>
              </w:rPr>
              <w:t>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gridSpan w:val="3"/>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380" w:type="dxa"/>
            <w:vAlign w:val="bottom"/>
            <w:gridSpan w:val="9"/>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9"/>
          </w:tcPr>
          <w:p>
            <w:pPr>
              <w:spacing w:after="0" w:line="209" w:lineRule="exact"/>
              <w:rPr>
                <w:sz w:val="20"/>
                <w:szCs w:val="20"/>
                <w:color w:val="auto"/>
              </w:rPr>
            </w:pPr>
            <w:r>
              <w:rPr>
                <w:rFonts w:ascii="Times New Roman" w:cs="Times New Roman" w:eastAsia="Times New Roman" w:hAnsi="Times New Roman"/>
                <w:sz w:val="20"/>
                <w:szCs w:val="20"/>
                <w:color w:val="0563C1"/>
              </w:rPr>
              <w:t>ARTICLE IX ADMINISTRATIVE AGENTS</w:t>
            </w: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01</w:t>
            </w:r>
          </w:p>
        </w:tc>
        <w:tc>
          <w:tcPr>
            <w:tcW w:w="120" w:type="dxa"/>
            <w:vAlign w:val="bottom"/>
            <w:tcBorders>
              <w:top w:val="single" w:sz="8" w:color="0563C1"/>
            </w:tcBorders>
          </w:tcPr>
          <w:p>
            <w:pPr>
              <w:spacing w:after="0"/>
              <w:rPr>
                <w:sz w:val="21"/>
                <w:szCs w:val="21"/>
                <w:color w:val="auto"/>
              </w:rPr>
            </w:pPr>
          </w:p>
        </w:tc>
        <w:tc>
          <w:tcPr>
            <w:tcW w:w="120" w:type="dxa"/>
            <w:vAlign w:val="bottom"/>
            <w:tcBorders>
              <w:top w:val="single" w:sz="8" w:color="0563C1"/>
            </w:tcBorders>
          </w:tcPr>
          <w:p>
            <w:pPr>
              <w:spacing w:after="0"/>
              <w:rPr>
                <w:sz w:val="21"/>
                <w:szCs w:val="21"/>
                <w:color w:val="auto"/>
              </w:rPr>
            </w:pPr>
          </w:p>
        </w:tc>
        <w:tc>
          <w:tcPr>
            <w:tcW w:w="2380" w:type="dxa"/>
            <w:vAlign w:val="bottom"/>
            <w:tcBorders>
              <w:top w:val="single" w:sz="8" w:color="0563C1"/>
            </w:tcBorders>
            <w:gridSpan w:val="19"/>
          </w:tcPr>
          <w:p>
            <w:pPr>
              <w:ind w:left="20"/>
              <w:spacing w:after="0"/>
              <w:rPr>
                <w:sz w:val="20"/>
                <w:szCs w:val="20"/>
                <w:color w:val="auto"/>
              </w:rPr>
            </w:pPr>
            <w:r>
              <w:rPr>
                <w:rFonts w:ascii="Times New Roman" w:cs="Times New Roman" w:eastAsia="Times New Roman" w:hAnsi="Times New Roman"/>
                <w:sz w:val="20"/>
                <w:szCs w:val="20"/>
                <w:color w:val="0563C1"/>
              </w:rPr>
              <w:t>Appointment and Authority</w:t>
            </w:r>
          </w:p>
        </w:tc>
        <w:tc>
          <w:tcPr>
            <w:tcW w:w="280" w:type="dxa"/>
            <w:vAlign w:val="bottom"/>
            <w:tcBorders>
              <w:top w:val="single" w:sz="8" w:color="0563C1"/>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163</w:t>
            </w:r>
          </w:p>
        </w:tc>
        <w:tc>
          <w:tcPr>
            <w:tcW w:w="8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380" w:type="dxa"/>
            <w:vAlign w:val="bottom"/>
            <w:gridSpan w:val="9"/>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11"/>
          </w:tcPr>
          <w:p>
            <w:pPr>
              <w:ind w:left="20"/>
              <w:spacing w:after="0"/>
              <w:rPr>
                <w:sz w:val="20"/>
                <w:szCs w:val="20"/>
                <w:color w:val="auto"/>
              </w:rPr>
            </w:pPr>
            <w:r>
              <w:rPr>
                <w:rFonts w:ascii="Times New Roman" w:cs="Times New Roman" w:eastAsia="Times New Roman" w:hAnsi="Times New Roman"/>
                <w:sz w:val="20"/>
                <w:szCs w:val="20"/>
                <w:color w:val="0563C1"/>
                <w:w w:val="97"/>
              </w:rPr>
              <w:t>Rights as a Lender</w:t>
            </w:r>
          </w:p>
        </w:tc>
        <w:tc>
          <w:tcPr>
            <w:tcW w:w="52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163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380" w:type="dxa"/>
            <w:vAlign w:val="bottom"/>
            <w:gridSpan w:val="9"/>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rPr>
              <w:t>Exculpatory Provisions.</w:t>
            </w:r>
          </w:p>
        </w:tc>
        <w:tc>
          <w:tcPr>
            <w:tcW w:w="46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w w:val="99"/>
              </w:rPr>
              <w:t>163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60" w:type="dxa"/>
            <w:vAlign w:val="bottom"/>
            <w:gridSpan w:val="10"/>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0563C1"/>
                <w:w w:val="98"/>
              </w:rPr>
              <w:t>Reliance by Administrative Agent</w:t>
            </w:r>
          </w:p>
        </w:tc>
        <w:tc>
          <w:tcPr>
            <w:tcW w:w="580" w:type="dxa"/>
            <w:vAlign w:val="bottom"/>
            <w:gridSpan w:val="4"/>
          </w:tcPr>
          <w:p>
            <w:pPr>
              <w:jc w:val="right"/>
              <w:ind w:right="1"/>
              <w:spacing w:after="0"/>
              <w:rPr>
                <w:sz w:val="20"/>
                <w:szCs w:val="20"/>
                <w:color w:val="auto"/>
              </w:rPr>
            </w:pPr>
            <w:r>
              <w:rPr>
                <w:rFonts w:ascii="Times New Roman" w:cs="Times New Roman" w:eastAsia="Times New Roman" w:hAnsi="Times New Roman"/>
                <w:sz w:val="20"/>
                <w:szCs w:val="20"/>
                <w:color w:val="auto"/>
              </w:rPr>
              <w:t>165</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60" w:type="dxa"/>
            <w:vAlign w:val="bottom"/>
            <w:gridSpan w:val="10"/>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rPr>
              <w:t>Delegation of Duties</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60" w:type="dxa"/>
            <w:vAlign w:val="bottom"/>
            <w:gridSpan w:val="10"/>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20" w:type="dxa"/>
            <w:vAlign w:val="bottom"/>
            <w:gridSpan w:val="25"/>
          </w:tcPr>
          <w:p>
            <w:pPr>
              <w:ind w:left="20"/>
              <w:spacing w:after="0"/>
              <w:rPr>
                <w:sz w:val="20"/>
                <w:szCs w:val="20"/>
                <w:color w:val="auto"/>
              </w:rPr>
            </w:pPr>
            <w:r>
              <w:rPr>
                <w:rFonts w:ascii="Times New Roman" w:cs="Times New Roman" w:eastAsia="Times New Roman" w:hAnsi="Times New Roman"/>
                <w:sz w:val="20"/>
                <w:szCs w:val="20"/>
                <w:color w:val="0563C1"/>
                <w:w w:val="98"/>
              </w:rPr>
              <w:t>Resignation of Administrative Agent.</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165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60" w:type="dxa"/>
            <w:vAlign w:val="bottom"/>
            <w:gridSpan w:val="10"/>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640" w:type="dxa"/>
            <w:vAlign w:val="bottom"/>
            <w:gridSpan w:val="5"/>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340" w:type="dxa"/>
            <w:vAlign w:val="bottom"/>
            <w:tcBorders>
              <w:left w:val="single" w:sz="8" w:color="0563C1"/>
            </w:tcBorders>
            <w:gridSpan w:val="3"/>
            <w:shd w:val="clear" w:color="auto" w:fill="0563C1"/>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940" w:type="dxa"/>
            <w:vAlign w:val="bottom"/>
            <w:gridSpan w:val="33"/>
          </w:tcPr>
          <w:p>
            <w:pPr>
              <w:ind w:left="20"/>
              <w:spacing w:after="0"/>
              <w:rPr>
                <w:sz w:val="20"/>
                <w:szCs w:val="20"/>
                <w:color w:val="auto"/>
              </w:rPr>
            </w:pPr>
            <w:r>
              <w:rPr>
                <w:rFonts w:ascii="Times New Roman" w:cs="Times New Roman" w:eastAsia="Times New Roman" w:hAnsi="Times New Roman"/>
                <w:sz w:val="20"/>
                <w:szCs w:val="20"/>
                <w:color w:val="0563C1"/>
              </w:rPr>
              <w:t xml:space="preserve">Non-Reliance on Administrative Agents and Other Lenders  </w:t>
            </w:r>
            <w:r>
              <w:rPr>
                <w:rFonts w:ascii="Times New Roman" w:cs="Times New Roman" w:eastAsia="Times New Roman" w:hAnsi="Times New Roman"/>
                <w:sz w:val="20"/>
                <w:szCs w:val="20"/>
                <w:color w:val="000000"/>
              </w:rPr>
              <w:t>167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60" w:type="dxa"/>
            <w:vAlign w:val="bottom"/>
            <w:gridSpan w:val="10"/>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460" w:type="dxa"/>
            <w:vAlign w:val="bottom"/>
            <w:gridSpan w:val="4"/>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14"/>
          </w:tcPr>
          <w:p>
            <w:pPr>
              <w:ind w:left="20"/>
              <w:spacing w:after="0"/>
              <w:rPr>
                <w:sz w:val="20"/>
                <w:szCs w:val="20"/>
                <w:color w:val="auto"/>
              </w:rPr>
            </w:pPr>
            <w:r>
              <w:rPr>
                <w:rFonts w:ascii="Times New Roman" w:cs="Times New Roman" w:eastAsia="Times New Roman" w:hAnsi="Times New Roman"/>
                <w:sz w:val="20"/>
                <w:szCs w:val="20"/>
                <w:color w:val="0563C1"/>
                <w:w w:val="96"/>
              </w:rPr>
              <w:t>No Other Duties, Etc.</w:t>
            </w:r>
          </w:p>
        </w:tc>
        <w:tc>
          <w:tcPr>
            <w:tcW w:w="64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167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60" w:type="dxa"/>
            <w:vAlign w:val="bottom"/>
            <w:gridSpan w:val="10"/>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940" w:type="dxa"/>
            <w:vAlign w:val="bottom"/>
            <w:gridSpan w:val="33"/>
          </w:tcPr>
          <w:p>
            <w:pPr>
              <w:ind w:left="20"/>
              <w:spacing w:after="0"/>
              <w:rPr>
                <w:sz w:val="20"/>
                <w:szCs w:val="20"/>
                <w:color w:val="auto"/>
              </w:rPr>
            </w:pPr>
            <w:r>
              <w:rPr>
                <w:rFonts w:ascii="Times New Roman" w:cs="Times New Roman" w:eastAsia="Times New Roman" w:hAnsi="Times New Roman"/>
                <w:sz w:val="20"/>
                <w:szCs w:val="20"/>
                <w:color w:val="0563C1"/>
              </w:rPr>
              <w:t xml:space="preserve">Administrative Agents May File Proofs of Claim; Credit Bidding  </w:t>
            </w:r>
            <w:r>
              <w:rPr>
                <w:rFonts w:ascii="Times New Roman" w:cs="Times New Roman" w:eastAsia="Times New Roman" w:hAnsi="Times New Roman"/>
                <w:sz w:val="20"/>
                <w:szCs w:val="20"/>
                <w:color w:val="000000"/>
              </w:rPr>
              <w:t>167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60" w:type="dxa"/>
            <w:vAlign w:val="bottom"/>
            <w:gridSpan w:val="10"/>
            <w:shd w:val="clear" w:color="auto" w:fill="0563C1"/>
          </w:tcPr>
          <w:p>
            <w:pPr>
              <w:spacing w:after="0" w:line="20" w:lineRule="exact"/>
              <w:rPr>
                <w:sz w:val="1"/>
                <w:szCs w:val="1"/>
                <w:color w:val="auto"/>
              </w:rPr>
            </w:pPr>
          </w:p>
        </w:tc>
        <w:tc>
          <w:tcPr>
            <w:tcW w:w="340" w:type="dxa"/>
            <w:vAlign w:val="bottom"/>
            <w:tcBorders>
              <w:left w:val="single" w:sz="8" w:color="0563C1"/>
            </w:tcBorders>
            <w:gridSpan w:val="3"/>
            <w:shd w:val="clear" w:color="auto" w:fill="0563C1"/>
          </w:tcPr>
          <w:p>
            <w:pPr>
              <w:spacing w:after="0" w:line="20" w:lineRule="exact"/>
              <w:rPr>
                <w:sz w:val="1"/>
                <w:szCs w:val="1"/>
                <w:color w:val="auto"/>
              </w:rPr>
            </w:pPr>
          </w:p>
        </w:tc>
        <w:tc>
          <w:tcPr>
            <w:tcW w:w="640" w:type="dxa"/>
            <w:vAlign w:val="bottom"/>
            <w:gridSpan w:val="5"/>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580" w:type="dxa"/>
            <w:vAlign w:val="bottom"/>
            <w:gridSpan w:val="4"/>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0563C1"/>
              </w:rPr>
              <w:t>Collateral and Guaranty Matters</w:t>
            </w:r>
          </w:p>
        </w:tc>
        <w:tc>
          <w:tcPr>
            <w:tcW w:w="580" w:type="dxa"/>
            <w:vAlign w:val="bottom"/>
            <w:gridSpan w:val="4"/>
          </w:tcPr>
          <w:p>
            <w:pPr>
              <w:jc w:val="right"/>
              <w:ind w:right="161"/>
              <w:spacing w:after="0"/>
              <w:rPr>
                <w:sz w:val="20"/>
                <w:szCs w:val="20"/>
                <w:color w:val="auto"/>
              </w:rPr>
            </w:pPr>
            <w:r>
              <w:rPr>
                <w:rFonts w:ascii="Times New Roman" w:cs="Times New Roman" w:eastAsia="Times New Roman" w:hAnsi="Times New Roman"/>
                <w:sz w:val="20"/>
                <w:szCs w:val="20"/>
                <w:color w:val="auto"/>
                <w:w w:val="99"/>
              </w:rPr>
              <w:t>169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60" w:type="dxa"/>
            <w:vAlign w:val="bottom"/>
            <w:gridSpan w:val="10"/>
            <w:shd w:val="clear" w:color="auto" w:fill="0563C1"/>
          </w:tcPr>
          <w:p>
            <w:pPr>
              <w:spacing w:after="0" w:line="20" w:lineRule="exact"/>
              <w:rPr>
                <w:sz w:val="1"/>
                <w:szCs w:val="1"/>
                <w:color w:val="auto"/>
              </w:rPr>
            </w:pPr>
          </w:p>
        </w:tc>
        <w:tc>
          <w:tcPr>
            <w:tcW w:w="340" w:type="dxa"/>
            <w:vAlign w:val="bottom"/>
            <w:tcBorders>
              <w:left w:val="single" w:sz="8" w:color="0563C1"/>
            </w:tcBorders>
            <w:gridSpan w:val="3"/>
            <w:shd w:val="clear" w:color="auto" w:fill="0563C1"/>
          </w:tcPr>
          <w:p>
            <w:pPr>
              <w:spacing w:after="0" w:line="20" w:lineRule="exact"/>
              <w:rPr>
                <w:sz w:val="1"/>
                <w:szCs w:val="1"/>
                <w:color w:val="auto"/>
              </w:rPr>
            </w:pPr>
          </w:p>
        </w:tc>
        <w:tc>
          <w:tcPr>
            <w:tcW w:w="640" w:type="dxa"/>
            <w:vAlign w:val="bottom"/>
            <w:gridSpan w:val="5"/>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940" w:type="dxa"/>
            <w:vAlign w:val="bottom"/>
            <w:gridSpan w:val="33"/>
          </w:tcPr>
          <w:p>
            <w:pPr>
              <w:spacing w:after="0"/>
              <w:rPr>
                <w:sz w:val="20"/>
                <w:szCs w:val="20"/>
                <w:color w:val="auto"/>
              </w:rPr>
            </w:pPr>
            <w:r>
              <w:rPr>
                <w:rFonts w:ascii="Times New Roman" w:cs="Times New Roman" w:eastAsia="Times New Roman" w:hAnsi="Times New Roman"/>
                <w:sz w:val="20"/>
                <w:szCs w:val="20"/>
                <w:color w:val="0563C1"/>
                <w:w w:val="99"/>
              </w:rPr>
              <w:t xml:space="preserve">Secured Cash Management Agreements, Secured Hedge Agreements and Bilateral Foreign Loan Facilities  </w:t>
            </w:r>
            <w:r>
              <w:rPr>
                <w:rFonts w:ascii="Times New Roman" w:cs="Times New Roman" w:eastAsia="Times New Roman" w:hAnsi="Times New Roman"/>
                <w:sz w:val="20"/>
                <w:szCs w:val="20"/>
                <w:color w:val="000000"/>
                <w:w w:val="99"/>
              </w:rPr>
              <w:t>170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1460" w:type="dxa"/>
            <w:vAlign w:val="bottom"/>
            <w:gridSpan w:val="10"/>
            <w:shd w:val="clear" w:color="auto" w:fill="0563C1"/>
          </w:tcPr>
          <w:p>
            <w:pPr>
              <w:spacing w:after="0" w:line="20" w:lineRule="exact"/>
              <w:rPr>
                <w:sz w:val="1"/>
                <w:szCs w:val="1"/>
                <w:color w:val="auto"/>
              </w:rPr>
            </w:pPr>
          </w:p>
        </w:tc>
        <w:tc>
          <w:tcPr>
            <w:tcW w:w="340" w:type="dxa"/>
            <w:vAlign w:val="bottom"/>
            <w:tcBorders>
              <w:left w:val="single" w:sz="8" w:color="0563C1"/>
            </w:tcBorders>
            <w:gridSpan w:val="3"/>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460" w:type="dxa"/>
            <w:vAlign w:val="bottom"/>
            <w:gridSpan w:val="3"/>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3260" w:type="dxa"/>
            <w:vAlign w:val="bottom"/>
            <w:shd w:val="clear" w:color="auto" w:fill="0563C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0563C1"/>
              </w:rPr>
              <w:t>Certain ERISA Matters.</w:t>
            </w:r>
          </w:p>
        </w:tc>
        <w:tc>
          <w:tcPr>
            <w:tcW w:w="460" w:type="dxa"/>
            <w:vAlign w:val="bottom"/>
            <w:gridSpan w:val="3"/>
          </w:tcPr>
          <w:p>
            <w:pPr>
              <w:jc w:val="right"/>
              <w:ind w:right="41"/>
              <w:spacing w:after="0"/>
              <w:rPr>
                <w:sz w:val="20"/>
                <w:szCs w:val="20"/>
                <w:color w:val="auto"/>
              </w:rPr>
            </w:pPr>
            <w:r>
              <w:rPr>
                <w:rFonts w:ascii="Times New Roman" w:cs="Times New Roman" w:eastAsia="Times New Roman" w:hAnsi="Times New Roman"/>
                <w:sz w:val="20"/>
                <w:szCs w:val="20"/>
                <w:color w:val="auto"/>
                <w:w w:val="99"/>
              </w:rPr>
              <w:t>170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60" w:type="dxa"/>
            <w:vAlign w:val="bottom"/>
            <w:gridSpan w:val="10"/>
            <w:shd w:val="clear" w:color="auto" w:fill="0563C1"/>
          </w:tcPr>
          <w:p>
            <w:pPr>
              <w:spacing w:after="0" w:line="20" w:lineRule="exact"/>
              <w:rPr>
                <w:sz w:val="1"/>
                <w:szCs w:val="1"/>
                <w:color w:val="auto"/>
              </w:rPr>
            </w:pPr>
          </w:p>
        </w:tc>
        <w:tc>
          <w:tcPr>
            <w:tcW w:w="340" w:type="dxa"/>
            <w:vAlign w:val="bottom"/>
            <w:tcBorders>
              <w:left w:val="single" w:sz="8" w:color="0563C1"/>
            </w:tcBorders>
            <w:gridSpan w:val="3"/>
            <w:shd w:val="clear" w:color="auto" w:fill="0563C1"/>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0563C1"/>
                <w:w w:val="85"/>
              </w:rPr>
              <w:t>9.</w:t>
            </w:r>
            <w:r>
              <w:rPr>
                <w:rFonts w:ascii="Times New Roman" w:cs="Times New Roman" w:eastAsia="Times New Roman" w:hAnsi="Times New Roman"/>
                <w:sz w:val="20"/>
                <w:szCs w:val="20"/>
                <w:u w:val="single" w:color="auto"/>
                <w:color w:val="0563C1"/>
                <w:w w:val="85"/>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22"/>
          </w:tcPr>
          <w:p>
            <w:pPr>
              <w:ind w:left="20"/>
              <w:spacing w:after="0"/>
              <w:rPr>
                <w:sz w:val="20"/>
                <w:szCs w:val="20"/>
                <w:color w:val="auto"/>
              </w:rPr>
            </w:pPr>
            <w:r>
              <w:rPr>
                <w:rFonts w:ascii="Times New Roman" w:cs="Times New Roman" w:eastAsia="Times New Roman" w:hAnsi="Times New Roman"/>
                <w:sz w:val="20"/>
                <w:szCs w:val="20"/>
                <w:color w:val="0563C1"/>
              </w:rPr>
              <w:t>Recovery of Erroneous Payments</w:t>
            </w:r>
          </w:p>
        </w:tc>
        <w:tc>
          <w:tcPr>
            <w:tcW w:w="580" w:type="dxa"/>
            <w:vAlign w:val="bottom"/>
            <w:gridSpan w:val="4"/>
          </w:tcPr>
          <w:p>
            <w:pPr>
              <w:jc w:val="right"/>
              <w:ind w:right="61"/>
              <w:spacing w:after="0"/>
              <w:rPr>
                <w:sz w:val="20"/>
                <w:szCs w:val="20"/>
                <w:color w:val="auto"/>
              </w:rPr>
            </w:pPr>
            <w:r>
              <w:rPr>
                <w:rFonts w:ascii="Times New Roman" w:cs="Times New Roman" w:eastAsia="Times New Roman" w:hAnsi="Times New Roman"/>
                <w:sz w:val="20"/>
                <w:szCs w:val="20"/>
                <w:color w:val="auto"/>
              </w:rPr>
              <w:t>171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gridSpan w:val="21"/>
          </w:tcPr>
          <w:p>
            <w:pPr>
              <w:spacing w:after="0" w:line="223" w:lineRule="exact"/>
              <w:rPr>
                <w:sz w:val="20"/>
                <w:szCs w:val="20"/>
                <w:color w:val="auto"/>
              </w:rPr>
            </w:pPr>
            <w:r>
              <w:rPr>
                <w:rFonts w:ascii="Times New Roman" w:cs="Times New Roman" w:eastAsia="Times New Roman" w:hAnsi="Times New Roman"/>
                <w:sz w:val="20"/>
                <w:szCs w:val="20"/>
                <w:color w:val="0563C1"/>
              </w:rPr>
              <w:t>ARTICLE X MISCELLANEOUS</w:t>
            </w:r>
          </w:p>
        </w:tc>
        <w:tc>
          <w:tcPr>
            <w:tcW w:w="460" w:type="dxa"/>
            <w:vAlign w:val="bottom"/>
            <w:gridSpan w:val="3"/>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99"/>
              </w:rPr>
              <w:t>172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60" w:type="dxa"/>
            <w:vAlign w:val="bottom"/>
            <w:gridSpan w:val="10"/>
            <w:shd w:val="clear" w:color="auto" w:fill="0563C1"/>
          </w:tcPr>
          <w:p>
            <w:pPr>
              <w:spacing w:after="0" w:line="20" w:lineRule="exact"/>
              <w:rPr>
                <w:sz w:val="1"/>
                <w:szCs w:val="1"/>
                <w:color w:val="auto"/>
              </w:rPr>
            </w:pPr>
          </w:p>
        </w:tc>
        <w:tc>
          <w:tcPr>
            <w:tcW w:w="160" w:type="dxa"/>
            <w:vAlign w:val="bottom"/>
            <w:tcBorders>
              <w:left w:val="single" w:sz="8" w:color="0563C1"/>
            </w:tcBorders>
            <w:gridSpan w:val="2"/>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 w:type="dxa"/>
            <w:vAlign w:val="bottom"/>
          </w:tcPr>
          <w:p>
            <w:pPr>
              <w:spacing w:after="0"/>
              <w:rPr>
                <w:sz w:val="20"/>
                <w:szCs w:val="20"/>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20"/>
                <w:szCs w:val="20"/>
                <w:color w:val="0563C1"/>
                <w:w w:val="97"/>
              </w:rPr>
              <w:t>10.</w:t>
            </w:r>
            <w:r>
              <w:rPr>
                <w:rFonts w:ascii="Times New Roman" w:cs="Times New Roman" w:eastAsia="Times New Roman" w:hAnsi="Times New Roman"/>
                <w:sz w:val="20"/>
                <w:szCs w:val="20"/>
                <w:u w:val="single" w:color="auto"/>
                <w:color w:val="0563C1"/>
                <w:w w:val="97"/>
              </w:rPr>
              <w:t>01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12"/>
          </w:tcPr>
          <w:p>
            <w:pPr>
              <w:spacing w:after="0"/>
              <w:rPr>
                <w:sz w:val="20"/>
                <w:szCs w:val="20"/>
                <w:color w:val="auto"/>
              </w:rPr>
            </w:pPr>
            <w:r>
              <w:rPr>
                <w:rFonts w:ascii="Times New Roman" w:cs="Times New Roman" w:eastAsia="Times New Roman" w:hAnsi="Times New Roman"/>
                <w:sz w:val="20"/>
                <w:szCs w:val="20"/>
                <w:color w:val="0563C1"/>
              </w:rPr>
              <w:t>Amendments, Etc.</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20"/>
                <w:szCs w:val="20"/>
                <w:color w:val="0563C1"/>
                <w:w w:val="97"/>
              </w:rPr>
              <w:t>10.</w:t>
            </w:r>
            <w:r>
              <w:rPr>
                <w:rFonts w:ascii="Times New Roman" w:cs="Times New Roman" w:eastAsia="Times New Roman" w:hAnsi="Times New Roman"/>
                <w:sz w:val="20"/>
                <w:szCs w:val="20"/>
                <w:u w:val="single" w:color="auto"/>
                <w:color w:val="0563C1"/>
                <w:w w:val="97"/>
              </w:rPr>
              <w:t>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20" w:type="dxa"/>
            <w:vAlign w:val="bottom"/>
            <w:gridSpan w:val="31"/>
          </w:tcPr>
          <w:p>
            <w:pPr>
              <w:spacing w:after="0"/>
              <w:rPr>
                <w:sz w:val="20"/>
                <w:szCs w:val="20"/>
                <w:color w:val="auto"/>
              </w:rPr>
            </w:pPr>
            <w:r>
              <w:rPr>
                <w:rFonts w:ascii="Times New Roman" w:cs="Times New Roman" w:eastAsia="Times New Roman" w:hAnsi="Times New Roman"/>
                <w:sz w:val="20"/>
                <w:szCs w:val="20"/>
                <w:color w:val="0563C1"/>
              </w:rPr>
              <w:t xml:space="preserve">Notices; Effectiveness; Electronic Communications  </w:t>
            </w:r>
            <w:r>
              <w:rPr>
                <w:rFonts w:ascii="Times New Roman" w:cs="Times New Roman" w:eastAsia="Times New Roman" w:hAnsi="Times New Roman"/>
                <w:sz w:val="20"/>
                <w:szCs w:val="20"/>
                <w:color w:val="000000"/>
              </w:rPr>
              <w:t>175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460" w:type="dxa"/>
            <w:vAlign w:val="bottom"/>
            <w:tcBorders>
              <w:bottom w:val="single" w:sz="8" w:color="0563C1"/>
            </w:tcBorders>
            <w:gridSpan w:val="2"/>
          </w:tcPr>
          <w:p>
            <w:pPr>
              <w:spacing w:after="0"/>
              <w:rPr>
                <w:sz w:val="20"/>
                <w:szCs w:val="20"/>
                <w:color w:val="auto"/>
              </w:rPr>
            </w:pPr>
            <w:r>
              <w:rPr>
                <w:rFonts w:ascii="Times New Roman" w:cs="Times New Roman" w:eastAsia="Times New Roman" w:hAnsi="Times New Roman"/>
                <w:sz w:val="20"/>
                <w:szCs w:val="20"/>
                <w:color w:val="0563C1"/>
                <w:w w:val="97"/>
              </w:rPr>
              <w:t>10.</w:t>
            </w:r>
            <w:r>
              <w:rPr>
                <w:rFonts w:ascii="Times New Roman" w:cs="Times New Roman" w:eastAsia="Times New Roman" w:hAnsi="Times New Roman"/>
                <w:sz w:val="20"/>
                <w:szCs w:val="20"/>
                <w:u w:val="single" w:color="auto"/>
                <w:color w:val="0563C1"/>
                <w:w w:val="97"/>
              </w:rPr>
              <w:t>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40" w:type="dxa"/>
            <w:vAlign w:val="bottom"/>
            <w:tcBorders>
              <w:bottom w:val="single" w:sz="8" w:color="0563C1"/>
            </w:tcBorders>
            <w:gridSpan w:val="25"/>
          </w:tcPr>
          <w:p>
            <w:pPr>
              <w:spacing w:after="0"/>
              <w:rPr>
                <w:sz w:val="20"/>
                <w:szCs w:val="20"/>
                <w:color w:val="auto"/>
              </w:rPr>
            </w:pPr>
            <w:r>
              <w:rPr>
                <w:rFonts w:ascii="Times New Roman" w:cs="Times New Roman" w:eastAsia="Times New Roman" w:hAnsi="Times New Roman"/>
                <w:sz w:val="20"/>
                <w:szCs w:val="20"/>
                <w:color w:val="0563C1"/>
                <w:w w:val="97"/>
              </w:rPr>
              <w:t>No Waiver; Cumulative Remedies; Enforcement</w:t>
            </w:r>
          </w:p>
        </w:tc>
        <w:tc>
          <w:tcPr>
            <w:tcW w:w="100" w:type="dxa"/>
            <w:vAlign w:val="bottom"/>
          </w:tcPr>
          <w:p>
            <w:pPr>
              <w:spacing w:after="0"/>
              <w:rPr>
                <w:sz w:val="21"/>
                <w:szCs w:val="21"/>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177</w:t>
            </w: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0139"/>
          </w:cols>
          <w:pgMar w:left="320" w:top="1422" w:right="1440"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04</w:t>
            </w:r>
          </w:p>
        </w:tc>
        <w:tc>
          <w:tcPr>
            <w:tcW w:w="260" w:type="dxa"/>
            <w:vAlign w:val="bottom"/>
          </w:tcPr>
          <w:p>
            <w:pPr>
              <w:spacing w:after="0"/>
              <w:rPr>
                <w:sz w:val="19"/>
                <w:szCs w:val="19"/>
                <w:color w:val="auto"/>
              </w:rPr>
            </w:pPr>
          </w:p>
        </w:tc>
        <w:tc>
          <w:tcPr>
            <w:tcW w:w="4120" w:type="dxa"/>
            <w:vAlign w:val="bottom"/>
            <w:gridSpan w:val="20"/>
          </w:tcPr>
          <w:p>
            <w:pPr>
              <w:spacing w:after="0"/>
              <w:rPr>
                <w:sz w:val="20"/>
                <w:szCs w:val="20"/>
                <w:color w:val="auto"/>
              </w:rPr>
            </w:pPr>
            <w:r>
              <w:rPr>
                <w:rFonts w:ascii="Times New Roman" w:cs="Times New Roman" w:eastAsia="Times New Roman" w:hAnsi="Times New Roman"/>
                <w:sz w:val="20"/>
                <w:szCs w:val="20"/>
                <w:color w:val="0563C1"/>
              </w:rPr>
              <w:t xml:space="preserve">Expenses; Indemnity; Damage Waiver  </w:t>
            </w:r>
            <w:r>
              <w:rPr>
                <w:rFonts w:ascii="Times New Roman" w:cs="Times New Roman" w:eastAsia="Times New Roman" w:hAnsi="Times New Roman"/>
                <w:sz w:val="20"/>
                <w:szCs w:val="20"/>
                <w:color w:val="000000"/>
              </w:rPr>
              <w:t>178</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50"/>
        </w:trPr>
        <w:tc>
          <w:tcPr>
            <w:tcW w:w="440" w:type="dxa"/>
            <w:vAlign w:val="bottom"/>
            <w:tcBorders>
              <w:top w:val="single" w:sz="8" w:color="0563C1"/>
              <w:bottom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05</w:t>
            </w:r>
          </w:p>
        </w:tc>
        <w:tc>
          <w:tcPr>
            <w:tcW w:w="260" w:type="dxa"/>
            <w:vAlign w:val="bottom"/>
          </w:tcPr>
          <w:p>
            <w:pPr>
              <w:spacing w:after="0"/>
              <w:rPr>
                <w:sz w:val="21"/>
                <w:szCs w:val="21"/>
                <w:color w:val="auto"/>
              </w:rPr>
            </w:pPr>
          </w:p>
        </w:tc>
        <w:tc>
          <w:tcPr>
            <w:tcW w:w="1580" w:type="dxa"/>
            <w:vAlign w:val="bottom"/>
            <w:tcBorders>
              <w:top w:val="single" w:sz="8" w:color="0563C1"/>
              <w:bottom w:val="single" w:sz="8" w:color="0563C1"/>
            </w:tcBorders>
            <w:gridSpan w:val="5"/>
          </w:tcPr>
          <w:p>
            <w:pPr>
              <w:spacing w:after="0"/>
              <w:rPr>
                <w:sz w:val="20"/>
                <w:szCs w:val="20"/>
                <w:color w:val="auto"/>
              </w:rPr>
            </w:pPr>
            <w:r>
              <w:rPr>
                <w:rFonts w:ascii="Times New Roman" w:cs="Times New Roman" w:eastAsia="Times New Roman" w:hAnsi="Times New Roman"/>
                <w:sz w:val="20"/>
                <w:szCs w:val="20"/>
                <w:color w:val="0563C1"/>
                <w:w w:val="97"/>
              </w:rPr>
              <w:t>Payments Set Aside</w:t>
            </w:r>
          </w:p>
        </w:tc>
        <w:tc>
          <w:tcPr>
            <w:tcW w:w="120" w:type="dxa"/>
            <w:vAlign w:val="bottom"/>
            <w:tcBorders>
              <w:top w:val="single" w:sz="8" w:color="0563C1"/>
            </w:tcBorders>
          </w:tcPr>
          <w:p>
            <w:pPr>
              <w:spacing w:after="0"/>
              <w:rPr>
                <w:sz w:val="21"/>
                <w:szCs w:val="21"/>
                <w:color w:val="auto"/>
              </w:rPr>
            </w:pPr>
          </w:p>
        </w:tc>
        <w:tc>
          <w:tcPr>
            <w:tcW w:w="380" w:type="dxa"/>
            <w:vAlign w:val="bottom"/>
            <w:tcBorders>
              <w:top w:val="single" w:sz="8" w:color="0563C1"/>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160" w:type="dxa"/>
            <w:vAlign w:val="bottom"/>
            <w:tcBorders>
              <w:top w:val="single" w:sz="8" w:color="0563C1"/>
            </w:tcBorders>
          </w:tcPr>
          <w:p>
            <w:pPr>
              <w:spacing w:after="0"/>
              <w:rPr>
                <w:sz w:val="21"/>
                <w:szCs w:val="21"/>
                <w:color w:val="auto"/>
              </w:rPr>
            </w:pPr>
          </w:p>
        </w:tc>
        <w:tc>
          <w:tcPr>
            <w:tcW w:w="440" w:type="dxa"/>
            <w:vAlign w:val="bottom"/>
            <w:tcBorders>
              <w:top w:val="single" w:sz="8" w:color="0563C1"/>
            </w:tcBorders>
          </w:tcPr>
          <w:p>
            <w:pPr>
              <w:spacing w:after="0"/>
              <w:rPr>
                <w:sz w:val="21"/>
                <w:szCs w:val="21"/>
                <w:color w:val="auto"/>
              </w:rPr>
            </w:pPr>
          </w:p>
        </w:tc>
        <w:tc>
          <w:tcPr>
            <w:tcW w:w="360" w:type="dxa"/>
            <w:vAlign w:val="bottom"/>
            <w:tcBorders>
              <w:top w:val="single" w:sz="8" w:color="0563C1"/>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6"/>
        </w:trPr>
        <w:tc>
          <w:tcPr>
            <w:tcW w:w="44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06</w:t>
            </w:r>
          </w:p>
        </w:tc>
        <w:tc>
          <w:tcPr>
            <w:tcW w:w="260" w:type="dxa"/>
            <w:vAlign w:val="bottom"/>
          </w:tcPr>
          <w:p>
            <w:pPr>
              <w:spacing w:after="0"/>
              <w:rPr>
                <w:sz w:val="20"/>
                <w:szCs w:val="20"/>
                <w:color w:val="auto"/>
              </w:rPr>
            </w:pPr>
          </w:p>
        </w:tc>
        <w:tc>
          <w:tcPr>
            <w:tcW w:w="188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20"/>
                <w:szCs w:val="20"/>
                <w:color w:val="0563C1"/>
                <w:w w:val="97"/>
              </w:rPr>
              <w:t>Successors and Assigns</w:t>
            </w:r>
          </w:p>
        </w:tc>
        <w:tc>
          <w:tcPr>
            <w:tcW w:w="200" w:type="dxa"/>
            <w:vAlign w:val="bottom"/>
            <w:gridSpan w:val="3"/>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181</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07</w:t>
            </w:r>
          </w:p>
        </w:tc>
        <w:tc>
          <w:tcPr>
            <w:tcW w:w="260" w:type="dxa"/>
            <w:vAlign w:val="bottom"/>
          </w:tcPr>
          <w:p>
            <w:pPr>
              <w:spacing w:after="0"/>
              <w:rPr>
                <w:sz w:val="21"/>
                <w:szCs w:val="21"/>
                <w:color w:val="auto"/>
              </w:rPr>
            </w:pPr>
          </w:p>
        </w:tc>
        <w:tc>
          <w:tcPr>
            <w:tcW w:w="4120" w:type="dxa"/>
            <w:vAlign w:val="bottom"/>
            <w:gridSpan w:val="20"/>
          </w:tcPr>
          <w:p>
            <w:pPr>
              <w:spacing w:after="0"/>
              <w:rPr>
                <w:sz w:val="20"/>
                <w:szCs w:val="20"/>
                <w:color w:val="auto"/>
              </w:rPr>
            </w:pPr>
            <w:r>
              <w:rPr>
                <w:rFonts w:ascii="Times New Roman" w:cs="Times New Roman" w:eastAsia="Times New Roman" w:hAnsi="Times New Roman"/>
                <w:sz w:val="20"/>
                <w:szCs w:val="20"/>
                <w:color w:val="0563C1"/>
              </w:rPr>
              <w:t>Treatment of Certain Information; Confidentiality</w:t>
            </w:r>
          </w:p>
        </w:tc>
        <w:tc>
          <w:tcPr>
            <w:tcW w:w="1800" w:type="dxa"/>
            <w:vAlign w:val="bottom"/>
            <w:gridSpan w:val="2"/>
          </w:tcPr>
          <w:p>
            <w:pPr>
              <w:jc w:val="right"/>
              <w:ind w:right="1480"/>
              <w:spacing w:after="0"/>
              <w:rPr>
                <w:sz w:val="20"/>
                <w:szCs w:val="20"/>
                <w:color w:val="auto"/>
              </w:rPr>
            </w:pPr>
            <w:r>
              <w:rPr>
                <w:rFonts w:ascii="Times New Roman" w:cs="Times New Roman" w:eastAsia="Times New Roman" w:hAnsi="Times New Roman"/>
                <w:sz w:val="20"/>
                <w:szCs w:val="20"/>
                <w:color w:val="auto"/>
                <w:w w:val="99"/>
              </w:rPr>
              <w:t>187</w:t>
            </w:r>
          </w:p>
        </w:tc>
        <w:tc>
          <w:tcPr>
            <w:tcW w:w="500" w:type="dxa"/>
            <w:vAlign w:val="bottom"/>
          </w:tcPr>
          <w:p>
            <w:pPr>
              <w:spacing w:after="0"/>
              <w:rPr>
                <w:sz w:val="21"/>
                <w:szCs w:val="21"/>
                <w:color w:val="auto"/>
              </w:rPr>
            </w:pPr>
          </w:p>
        </w:tc>
      </w:tr>
      <w:tr>
        <w:trPr>
          <w:trHeight w:val="237"/>
        </w:trPr>
        <w:tc>
          <w:tcPr>
            <w:tcW w:w="4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08</w:t>
            </w:r>
          </w:p>
        </w:tc>
        <w:tc>
          <w:tcPr>
            <w:tcW w:w="260" w:type="dxa"/>
            <w:vAlign w:val="bottom"/>
          </w:tcPr>
          <w:p>
            <w:pPr>
              <w:spacing w:after="0"/>
              <w:rPr>
                <w:sz w:val="20"/>
                <w:szCs w:val="20"/>
                <w:color w:val="auto"/>
              </w:rPr>
            </w:pPr>
          </w:p>
        </w:tc>
        <w:tc>
          <w:tcPr>
            <w:tcW w:w="1700" w:type="dxa"/>
            <w:vAlign w:val="bottom"/>
            <w:tcBorders>
              <w:top w:val="single" w:sz="8" w:color="0563C1"/>
            </w:tcBorders>
            <w:gridSpan w:val="6"/>
          </w:tcPr>
          <w:p>
            <w:pPr>
              <w:spacing w:after="0"/>
              <w:rPr>
                <w:sz w:val="20"/>
                <w:szCs w:val="20"/>
                <w:color w:val="auto"/>
              </w:rPr>
            </w:pPr>
            <w:r>
              <w:rPr>
                <w:rFonts w:ascii="Times New Roman" w:cs="Times New Roman" w:eastAsia="Times New Roman" w:hAnsi="Times New Roman"/>
                <w:sz w:val="20"/>
                <w:szCs w:val="20"/>
                <w:color w:val="0563C1"/>
              </w:rPr>
              <w:t xml:space="preserve">Right of Setoff  </w:t>
            </w:r>
            <w:r>
              <w:rPr>
                <w:rFonts w:ascii="Times New Roman" w:cs="Times New Roman" w:eastAsia="Times New Roman" w:hAnsi="Times New Roman"/>
                <w:sz w:val="20"/>
                <w:szCs w:val="20"/>
                <w:color w:val="000000"/>
              </w:rPr>
              <w:t>188</w:t>
            </w:r>
          </w:p>
        </w:tc>
        <w:tc>
          <w:tcPr>
            <w:tcW w:w="180" w:type="dxa"/>
            <w:vAlign w:val="bottom"/>
            <w:tcBorders>
              <w:top w:val="single" w:sz="8" w:color="0563C1"/>
            </w:tcBorders>
          </w:tcPr>
          <w:p>
            <w:pPr>
              <w:spacing w:after="0"/>
              <w:rPr>
                <w:sz w:val="20"/>
                <w:szCs w:val="20"/>
                <w:color w:val="auto"/>
              </w:rPr>
            </w:pPr>
          </w:p>
        </w:tc>
        <w:tc>
          <w:tcPr>
            <w:tcW w:w="40" w:type="dxa"/>
            <w:vAlign w:val="bottom"/>
            <w:tcBorders>
              <w:top w:val="single" w:sz="8" w:color="0563C1"/>
            </w:tcBorders>
          </w:tcPr>
          <w:p>
            <w:pPr>
              <w:spacing w:after="0"/>
              <w:rPr>
                <w:sz w:val="20"/>
                <w:szCs w:val="20"/>
                <w:color w:val="auto"/>
              </w:rPr>
            </w:pPr>
          </w:p>
        </w:tc>
        <w:tc>
          <w:tcPr>
            <w:tcW w:w="100" w:type="dxa"/>
            <w:vAlign w:val="bottom"/>
            <w:tcBorders>
              <w:top w:val="single" w:sz="8" w:color="0563C1"/>
            </w:tcBorders>
          </w:tcPr>
          <w:p>
            <w:pPr>
              <w:spacing w:after="0"/>
              <w:rPr>
                <w:sz w:val="20"/>
                <w:szCs w:val="20"/>
                <w:color w:val="auto"/>
              </w:rPr>
            </w:pPr>
          </w:p>
        </w:tc>
        <w:tc>
          <w:tcPr>
            <w:tcW w:w="60" w:type="dxa"/>
            <w:vAlign w:val="bottom"/>
            <w:tcBorders>
              <w:top w:val="single" w:sz="8" w:color="0563C1"/>
            </w:tcBorders>
          </w:tcPr>
          <w:p>
            <w:pPr>
              <w:spacing w:after="0"/>
              <w:rPr>
                <w:sz w:val="20"/>
                <w:szCs w:val="20"/>
                <w:color w:val="auto"/>
              </w:rPr>
            </w:pPr>
          </w:p>
        </w:tc>
        <w:tc>
          <w:tcPr>
            <w:tcW w:w="160" w:type="dxa"/>
            <w:vAlign w:val="bottom"/>
            <w:tcBorders>
              <w:top w:val="single" w:sz="8" w:color="0563C1"/>
            </w:tcBorders>
          </w:tcPr>
          <w:p>
            <w:pPr>
              <w:spacing w:after="0"/>
              <w:rPr>
                <w:sz w:val="20"/>
                <w:szCs w:val="20"/>
                <w:color w:val="auto"/>
              </w:rPr>
            </w:pPr>
          </w:p>
        </w:tc>
        <w:tc>
          <w:tcPr>
            <w:tcW w:w="440" w:type="dxa"/>
            <w:vAlign w:val="bottom"/>
            <w:tcBorders>
              <w:top w:val="single" w:sz="8" w:color="0563C1"/>
            </w:tcBorders>
          </w:tcPr>
          <w:p>
            <w:pPr>
              <w:spacing w:after="0"/>
              <w:rPr>
                <w:sz w:val="20"/>
                <w:szCs w:val="20"/>
                <w:color w:val="auto"/>
              </w:rPr>
            </w:pPr>
          </w:p>
        </w:tc>
        <w:tc>
          <w:tcPr>
            <w:tcW w:w="360" w:type="dxa"/>
            <w:vAlign w:val="bottom"/>
            <w:tcBorders>
              <w:top w:val="single" w:sz="8" w:color="0563C1"/>
            </w:tcBorders>
          </w:tcPr>
          <w:p>
            <w:pPr>
              <w:spacing w:after="0"/>
              <w:rPr>
                <w:sz w:val="20"/>
                <w:szCs w:val="20"/>
                <w:color w:val="auto"/>
              </w:rPr>
            </w:pPr>
          </w:p>
        </w:tc>
        <w:tc>
          <w:tcPr>
            <w:tcW w:w="180" w:type="dxa"/>
            <w:vAlign w:val="bottom"/>
            <w:tcBorders>
              <w:top w:val="single" w:sz="8" w:color="0563C1"/>
            </w:tcBorders>
          </w:tcPr>
          <w:p>
            <w:pPr>
              <w:spacing w:after="0"/>
              <w:rPr>
                <w:sz w:val="20"/>
                <w:szCs w:val="20"/>
                <w:color w:val="auto"/>
              </w:rPr>
            </w:pPr>
          </w:p>
        </w:tc>
        <w:tc>
          <w:tcPr>
            <w:tcW w:w="20" w:type="dxa"/>
            <w:vAlign w:val="bottom"/>
            <w:tcBorders>
              <w:top w:val="single" w:sz="8" w:color="0563C1"/>
            </w:tcBorders>
          </w:tcPr>
          <w:p>
            <w:pPr>
              <w:spacing w:after="0"/>
              <w:rPr>
                <w:sz w:val="20"/>
                <w:szCs w:val="20"/>
                <w:color w:val="auto"/>
              </w:rPr>
            </w:pPr>
          </w:p>
        </w:tc>
        <w:tc>
          <w:tcPr>
            <w:tcW w:w="2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520" w:type="dxa"/>
            <w:vAlign w:val="bottom"/>
            <w:tcBorders>
              <w:top w:val="single" w:sz="8" w:color="0563C1"/>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4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09</w:t>
            </w:r>
          </w:p>
        </w:tc>
        <w:tc>
          <w:tcPr>
            <w:tcW w:w="260" w:type="dxa"/>
            <w:vAlign w:val="bottom"/>
          </w:tcPr>
          <w:p>
            <w:pPr>
              <w:spacing w:after="0"/>
              <w:rPr>
                <w:sz w:val="21"/>
                <w:szCs w:val="21"/>
                <w:color w:val="auto"/>
              </w:rPr>
            </w:pPr>
          </w:p>
        </w:tc>
        <w:tc>
          <w:tcPr>
            <w:tcW w:w="2080" w:type="dxa"/>
            <w:vAlign w:val="bottom"/>
            <w:gridSpan w:val="10"/>
          </w:tcPr>
          <w:p>
            <w:pPr>
              <w:spacing w:after="0"/>
              <w:rPr>
                <w:sz w:val="20"/>
                <w:szCs w:val="20"/>
                <w:color w:val="auto"/>
              </w:rPr>
            </w:pPr>
            <w:r>
              <w:rPr>
                <w:rFonts w:ascii="Times New Roman" w:cs="Times New Roman" w:eastAsia="Times New Roman" w:hAnsi="Times New Roman"/>
                <w:sz w:val="20"/>
                <w:szCs w:val="20"/>
                <w:color w:val="0563C1"/>
              </w:rPr>
              <w:t>Interest Rate Limitation</w:t>
            </w:r>
          </w:p>
        </w:tc>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189</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4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20" w:type="dxa"/>
            <w:vAlign w:val="bottom"/>
            <w:gridSpan w:val="3"/>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10</w:t>
            </w:r>
          </w:p>
        </w:tc>
        <w:tc>
          <w:tcPr>
            <w:tcW w:w="260" w:type="dxa"/>
            <w:vAlign w:val="bottom"/>
          </w:tcPr>
          <w:p>
            <w:pPr>
              <w:spacing w:after="0"/>
              <w:rPr>
                <w:sz w:val="21"/>
                <w:szCs w:val="21"/>
                <w:color w:val="auto"/>
              </w:rPr>
            </w:pPr>
          </w:p>
        </w:tc>
        <w:tc>
          <w:tcPr>
            <w:tcW w:w="2080" w:type="dxa"/>
            <w:vAlign w:val="bottom"/>
            <w:gridSpan w:val="10"/>
          </w:tcPr>
          <w:p>
            <w:pPr>
              <w:spacing w:after="0"/>
              <w:rPr>
                <w:sz w:val="20"/>
                <w:szCs w:val="20"/>
                <w:color w:val="auto"/>
              </w:rPr>
            </w:pPr>
            <w:r>
              <w:rPr>
                <w:rFonts w:ascii="Times New Roman" w:cs="Times New Roman" w:eastAsia="Times New Roman" w:hAnsi="Times New Roman"/>
                <w:sz w:val="20"/>
                <w:szCs w:val="20"/>
                <w:color w:val="0563C1"/>
                <w:w w:val="99"/>
              </w:rPr>
              <w:t>Integration; Effectiveness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189</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4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6"/>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11</w:t>
            </w:r>
          </w:p>
        </w:tc>
        <w:tc>
          <w:tcPr>
            <w:tcW w:w="260" w:type="dxa"/>
            <w:vAlign w:val="bottom"/>
          </w:tcPr>
          <w:p>
            <w:pPr>
              <w:spacing w:after="0"/>
              <w:rPr>
                <w:sz w:val="20"/>
                <w:szCs w:val="20"/>
                <w:color w:val="auto"/>
              </w:rPr>
            </w:pPr>
          </w:p>
        </w:tc>
        <w:tc>
          <w:tcPr>
            <w:tcW w:w="4120" w:type="dxa"/>
            <w:vAlign w:val="bottom"/>
            <w:gridSpan w:val="20"/>
          </w:tcPr>
          <w:p>
            <w:pPr>
              <w:spacing w:after="0"/>
              <w:rPr>
                <w:sz w:val="20"/>
                <w:szCs w:val="20"/>
                <w:color w:val="auto"/>
              </w:rPr>
            </w:pPr>
            <w:r>
              <w:rPr>
                <w:rFonts w:ascii="Times New Roman" w:cs="Times New Roman" w:eastAsia="Times New Roman" w:hAnsi="Times New Roman"/>
                <w:sz w:val="20"/>
                <w:szCs w:val="20"/>
                <w:color w:val="0563C1"/>
              </w:rPr>
              <w:t xml:space="preserve">Survival of Representations and Warranties  </w:t>
            </w:r>
            <w:r>
              <w:rPr>
                <w:rFonts w:ascii="Times New Roman" w:cs="Times New Roman" w:eastAsia="Times New Roman" w:hAnsi="Times New Roman"/>
                <w:sz w:val="20"/>
                <w:szCs w:val="20"/>
                <w:color w:val="000000"/>
              </w:rPr>
              <w:t>189</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440" w:type="dxa"/>
            <w:vAlign w:val="bottom"/>
            <w:shd w:val="clear" w:color="auto" w:fill="0563C1"/>
          </w:tcPr>
          <w:p>
            <w:pPr>
              <w:spacing w:after="0" w:line="20" w:lineRule="exact"/>
              <w:rPr>
                <w:sz w:val="1"/>
                <w:szCs w:val="1"/>
                <w:color w:val="auto"/>
              </w:rPr>
            </w:pPr>
          </w:p>
        </w:tc>
        <w:tc>
          <w:tcPr>
            <w:tcW w:w="260" w:type="dxa"/>
            <w:vAlign w:val="bottom"/>
            <w:tcBorders>
              <w:right w:val="single" w:sz="8" w:color="0563C1"/>
            </w:tcBorders>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gridSpan w:val="2"/>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12</w:t>
            </w:r>
          </w:p>
        </w:tc>
        <w:tc>
          <w:tcPr>
            <w:tcW w:w="260" w:type="dxa"/>
            <w:vAlign w:val="bottom"/>
          </w:tcPr>
          <w:p>
            <w:pPr>
              <w:spacing w:after="0"/>
              <w:rPr>
                <w:sz w:val="21"/>
                <w:szCs w:val="21"/>
                <w:color w:val="auto"/>
              </w:rPr>
            </w:pPr>
          </w:p>
        </w:tc>
        <w:tc>
          <w:tcPr>
            <w:tcW w:w="1700" w:type="dxa"/>
            <w:vAlign w:val="bottom"/>
            <w:gridSpan w:val="6"/>
          </w:tcPr>
          <w:p>
            <w:pPr>
              <w:spacing w:after="0"/>
              <w:rPr>
                <w:sz w:val="20"/>
                <w:szCs w:val="20"/>
                <w:color w:val="auto"/>
              </w:rPr>
            </w:pPr>
            <w:r>
              <w:rPr>
                <w:rFonts w:ascii="Times New Roman" w:cs="Times New Roman" w:eastAsia="Times New Roman" w:hAnsi="Times New Roman"/>
                <w:sz w:val="20"/>
                <w:szCs w:val="20"/>
                <w:color w:val="0563C1"/>
              </w:rPr>
              <w:t xml:space="preserve">Severability  </w:t>
            </w:r>
            <w:r>
              <w:rPr>
                <w:rFonts w:ascii="Times New Roman" w:cs="Times New Roman" w:eastAsia="Times New Roman" w:hAnsi="Times New Roman"/>
                <w:sz w:val="20"/>
                <w:szCs w:val="20"/>
                <w:color w:val="000000"/>
              </w:rPr>
              <w:t>190</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4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13</w:t>
            </w:r>
          </w:p>
        </w:tc>
        <w:tc>
          <w:tcPr>
            <w:tcW w:w="260" w:type="dxa"/>
            <w:vAlign w:val="bottom"/>
          </w:tcPr>
          <w:p>
            <w:pPr>
              <w:spacing w:after="0"/>
              <w:rPr>
                <w:sz w:val="20"/>
                <w:szCs w:val="20"/>
                <w:color w:val="auto"/>
              </w:rPr>
            </w:pPr>
          </w:p>
        </w:tc>
        <w:tc>
          <w:tcPr>
            <w:tcW w:w="2080" w:type="dxa"/>
            <w:vAlign w:val="bottom"/>
            <w:gridSpan w:val="10"/>
          </w:tcPr>
          <w:p>
            <w:pPr>
              <w:spacing w:after="0"/>
              <w:rPr>
                <w:sz w:val="20"/>
                <w:szCs w:val="20"/>
                <w:color w:val="auto"/>
              </w:rPr>
            </w:pPr>
            <w:r>
              <w:rPr>
                <w:rFonts w:ascii="Times New Roman" w:cs="Times New Roman" w:eastAsia="Times New Roman" w:hAnsi="Times New Roman"/>
                <w:sz w:val="20"/>
                <w:szCs w:val="20"/>
                <w:color w:val="0563C1"/>
              </w:rPr>
              <w:t>Replacement of Lenders</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190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
        </w:trPr>
        <w:tc>
          <w:tcPr>
            <w:tcW w:w="4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54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60" w:type="dxa"/>
            <w:vAlign w:val="bottom"/>
            <w:gridSpan w:val="4"/>
            <w:shd w:val="clear" w:color="auto" w:fill="0563C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14</w:t>
            </w:r>
          </w:p>
        </w:tc>
        <w:tc>
          <w:tcPr>
            <w:tcW w:w="260" w:type="dxa"/>
            <w:vAlign w:val="bottom"/>
          </w:tcPr>
          <w:p>
            <w:pPr>
              <w:spacing w:after="0"/>
              <w:rPr>
                <w:sz w:val="21"/>
                <w:szCs w:val="21"/>
                <w:color w:val="auto"/>
              </w:rPr>
            </w:pPr>
          </w:p>
        </w:tc>
        <w:tc>
          <w:tcPr>
            <w:tcW w:w="3340" w:type="dxa"/>
            <w:vAlign w:val="bottom"/>
            <w:gridSpan w:val="17"/>
          </w:tcPr>
          <w:p>
            <w:pPr>
              <w:spacing w:after="0"/>
              <w:rPr>
                <w:sz w:val="20"/>
                <w:szCs w:val="20"/>
                <w:color w:val="auto"/>
              </w:rPr>
            </w:pPr>
            <w:r>
              <w:rPr>
                <w:rFonts w:ascii="Times New Roman" w:cs="Times New Roman" w:eastAsia="Times New Roman" w:hAnsi="Times New Roman"/>
                <w:sz w:val="20"/>
                <w:szCs w:val="20"/>
                <w:color w:val="0563C1"/>
              </w:rPr>
              <w:t xml:space="preserve">Governing Law; Jurisdiction; Etc.  </w:t>
            </w:r>
            <w:r>
              <w:rPr>
                <w:rFonts w:ascii="Times New Roman" w:cs="Times New Roman" w:eastAsia="Times New Roman" w:hAnsi="Times New Roman"/>
                <w:sz w:val="20"/>
                <w:szCs w:val="20"/>
                <w:color w:val="000000"/>
              </w:rPr>
              <w:t>190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4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54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80" w:type="dxa"/>
            <w:vAlign w:val="bottom"/>
            <w:gridSpan w:val="7"/>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15</w:t>
            </w:r>
          </w:p>
        </w:tc>
        <w:tc>
          <w:tcPr>
            <w:tcW w:w="260" w:type="dxa"/>
            <w:vAlign w:val="bottom"/>
          </w:tcPr>
          <w:p>
            <w:pPr>
              <w:spacing w:after="0"/>
              <w:rPr>
                <w:sz w:val="21"/>
                <w:szCs w:val="21"/>
                <w:color w:val="auto"/>
              </w:rPr>
            </w:pPr>
          </w:p>
        </w:tc>
        <w:tc>
          <w:tcPr>
            <w:tcW w:w="3340" w:type="dxa"/>
            <w:vAlign w:val="bottom"/>
            <w:gridSpan w:val="17"/>
          </w:tcPr>
          <w:p>
            <w:pPr>
              <w:spacing w:after="0"/>
              <w:rPr>
                <w:sz w:val="20"/>
                <w:szCs w:val="20"/>
                <w:color w:val="auto"/>
              </w:rPr>
            </w:pPr>
            <w:r>
              <w:rPr>
                <w:rFonts w:ascii="Times New Roman" w:cs="Times New Roman" w:eastAsia="Times New Roman" w:hAnsi="Times New Roman"/>
                <w:sz w:val="20"/>
                <w:szCs w:val="20"/>
                <w:color w:val="0563C1"/>
              </w:rPr>
              <w:t xml:space="preserve">WAIVER OF JURY TRIAL  </w:t>
            </w:r>
            <w:r>
              <w:rPr>
                <w:rFonts w:ascii="Times New Roman" w:cs="Times New Roman" w:eastAsia="Times New Roman" w:hAnsi="Times New Roman"/>
                <w:sz w:val="20"/>
                <w:szCs w:val="20"/>
                <w:color w:val="000000"/>
              </w:rPr>
              <w:t>192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4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540" w:type="dxa"/>
            <w:vAlign w:val="bottom"/>
            <w:gridSpan w:val="3"/>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80" w:type="dxa"/>
            <w:vAlign w:val="bottom"/>
            <w:gridSpan w:val="7"/>
            <w:shd w:val="clear" w:color="auto" w:fill="0563C1"/>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44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16</w:t>
            </w:r>
          </w:p>
        </w:tc>
        <w:tc>
          <w:tcPr>
            <w:tcW w:w="260" w:type="dxa"/>
            <w:vAlign w:val="bottom"/>
          </w:tcPr>
          <w:p>
            <w:pPr>
              <w:spacing w:after="0"/>
              <w:rPr>
                <w:sz w:val="20"/>
                <w:szCs w:val="20"/>
                <w:color w:val="auto"/>
              </w:rPr>
            </w:pPr>
          </w:p>
        </w:tc>
        <w:tc>
          <w:tcPr>
            <w:tcW w:w="3240" w:type="dxa"/>
            <w:vAlign w:val="bottom"/>
            <w:tcBorders>
              <w:bottom w:val="single" w:sz="8" w:color="0563C1"/>
            </w:tcBorders>
            <w:gridSpan w:val="15"/>
          </w:tcPr>
          <w:p>
            <w:pPr>
              <w:spacing w:after="0"/>
              <w:rPr>
                <w:sz w:val="20"/>
                <w:szCs w:val="20"/>
                <w:color w:val="auto"/>
              </w:rPr>
            </w:pPr>
            <w:r>
              <w:rPr>
                <w:rFonts w:ascii="Times New Roman" w:cs="Times New Roman" w:eastAsia="Times New Roman" w:hAnsi="Times New Roman"/>
                <w:sz w:val="20"/>
                <w:szCs w:val="20"/>
                <w:color w:val="0563C1"/>
                <w:w w:val="98"/>
              </w:rPr>
              <w:t>No Advisory or Fiduciary Responsibility</w:t>
            </w:r>
          </w:p>
        </w:tc>
        <w:tc>
          <w:tcPr>
            <w:tcW w:w="100" w:type="dxa"/>
            <w:vAlign w:val="bottom"/>
            <w:gridSpan w:val="2"/>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17</w:t>
            </w:r>
          </w:p>
        </w:tc>
        <w:tc>
          <w:tcPr>
            <w:tcW w:w="260" w:type="dxa"/>
            <w:vAlign w:val="bottom"/>
          </w:tcPr>
          <w:p>
            <w:pPr>
              <w:spacing w:after="0"/>
              <w:rPr>
                <w:sz w:val="21"/>
                <w:szCs w:val="21"/>
                <w:color w:val="auto"/>
              </w:rPr>
            </w:pPr>
          </w:p>
        </w:tc>
        <w:tc>
          <w:tcPr>
            <w:tcW w:w="6420" w:type="dxa"/>
            <w:vAlign w:val="bottom"/>
            <w:gridSpan w:val="23"/>
          </w:tcPr>
          <w:p>
            <w:pPr>
              <w:spacing w:after="0"/>
              <w:rPr>
                <w:sz w:val="20"/>
                <w:szCs w:val="20"/>
                <w:color w:val="auto"/>
              </w:rPr>
            </w:pPr>
            <w:r>
              <w:rPr>
                <w:rFonts w:ascii="Times New Roman" w:cs="Times New Roman" w:eastAsia="Times New Roman" w:hAnsi="Times New Roman"/>
                <w:sz w:val="20"/>
                <w:szCs w:val="20"/>
                <w:color w:val="0563C1"/>
              </w:rPr>
              <w:t xml:space="preserve">Electronic Execution; Electronic Records; Counterparts  </w:t>
            </w:r>
            <w:r>
              <w:rPr>
                <w:rFonts w:ascii="Times New Roman" w:cs="Times New Roman" w:eastAsia="Times New Roman" w:hAnsi="Times New Roman"/>
                <w:sz w:val="20"/>
                <w:szCs w:val="20"/>
                <w:color w:val="000000"/>
              </w:rPr>
              <w:t>192</w:t>
            </w:r>
          </w:p>
        </w:tc>
      </w:tr>
      <w:tr>
        <w:trPr>
          <w:trHeight w:val="237"/>
        </w:trPr>
        <w:tc>
          <w:tcPr>
            <w:tcW w:w="4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18</w:t>
            </w:r>
          </w:p>
        </w:tc>
        <w:tc>
          <w:tcPr>
            <w:tcW w:w="260" w:type="dxa"/>
            <w:vAlign w:val="bottom"/>
          </w:tcPr>
          <w:p>
            <w:pPr>
              <w:spacing w:after="0"/>
              <w:rPr>
                <w:sz w:val="20"/>
                <w:szCs w:val="20"/>
                <w:color w:val="auto"/>
              </w:rPr>
            </w:pPr>
          </w:p>
        </w:tc>
        <w:tc>
          <w:tcPr>
            <w:tcW w:w="1700" w:type="dxa"/>
            <w:vAlign w:val="bottom"/>
            <w:tcBorders>
              <w:top w:val="single" w:sz="8" w:color="0563C1"/>
            </w:tcBorders>
            <w:gridSpan w:val="6"/>
          </w:tcPr>
          <w:p>
            <w:pPr>
              <w:spacing w:after="0"/>
              <w:rPr>
                <w:sz w:val="20"/>
                <w:szCs w:val="20"/>
                <w:color w:val="auto"/>
              </w:rPr>
            </w:pPr>
            <w:r>
              <w:rPr>
                <w:rFonts w:ascii="Times New Roman" w:cs="Times New Roman" w:eastAsia="Times New Roman" w:hAnsi="Times New Roman"/>
                <w:sz w:val="20"/>
                <w:szCs w:val="20"/>
                <w:color w:val="0563C1"/>
              </w:rPr>
              <w:t>USA PATRIOT Act</w:t>
            </w:r>
          </w:p>
        </w:tc>
        <w:tc>
          <w:tcPr>
            <w:tcW w:w="380" w:type="dxa"/>
            <w:vAlign w:val="bottom"/>
            <w:tcBorders>
              <w:top w:val="single" w:sz="8" w:color="0563C1"/>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193</w:t>
            </w:r>
          </w:p>
        </w:tc>
        <w:tc>
          <w:tcPr>
            <w:tcW w:w="160" w:type="dxa"/>
            <w:vAlign w:val="bottom"/>
            <w:tcBorders>
              <w:top w:val="single" w:sz="8" w:color="0563C1"/>
            </w:tcBorders>
          </w:tcPr>
          <w:p>
            <w:pPr>
              <w:spacing w:after="0"/>
              <w:rPr>
                <w:sz w:val="20"/>
                <w:szCs w:val="20"/>
                <w:color w:val="auto"/>
              </w:rPr>
            </w:pPr>
          </w:p>
        </w:tc>
        <w:tc>
          <w:tcPr>
            <w:tcW w:w="440" w:type="dxa"/>
            <w:vAlign w:val="bottom"/>
            <w:tcBorders>
              <w:top w:val="single" w:sz="8" w:color="0563C1"/>
            </w:tcBorders>
          </w:tcPr>
          <w:p>
            <w:pPr>
              <w:spacing w:after="0"/>
              <w:rPr>
                <w:sz w:val="20"/>
                <w:szCs w:val="20"/>
                <w:color w:val="auto"/>
              </w:rPr>
            </w:pPr>
          </w:p>
        </w:tc>
        <w:tc>
          <w:tcPr>
            <w:tcW w:w="360" w:type="dxa"/>
            <w:vAlign w:val="bottom"/>
            <w:tcBorders>
              <w:top w:val="single" w:sz="8" w:color="0563C1"/>
            </w:tcBorders>
          </w:tcPr>
          <w:p>
            <w:pPr>
              <w:spacing w:after="0"/>
              <w:rPr>
                <w:sz w:val="20"/>
                <w:szCs w:val="20"/>
                <w:color w:val="auto"/>
              </w:rPr>
            </w:pPr>
          </w:p>
        </w:tc>
        <w:tc>
          <w:tcPr>
            <w:tcW w:w="180" w:type="dxa"/>
            <w:vAlign w:val="bottom"/>
            <w:tcBorders>
              <w:top w:val="single" w:sz="8" w:color="0563C1"/>
            </w:tcBorders>
          </w:tcPr>
          <w:p>
            <w:pPr>
              <w:spacing w:after="0"/>
              <w:rPr>
                <w:sz w:val="20"/>
                <w:szCs w:val="20"/>
                <w:color w:val="auto"/>
              </w:rPr>
            </w:pPr>
          </w:p>
        </w:tc>
        <w:tc>
          <w:tcPr>
            <w:tcW w:w="20" w:type="dxa"/>
            <w:vAlign w:val="bottom"/>
            <w:tcBorders>
              <w:top w:val="single" w:sz="8" w:color="0563C1"/>
            </w:tcBorders>
          </w:tcPr>
          <w:p>
            <w:pPr>
              <w:spacing w:after="0"/>
              <w:rPr>
                <w:sz w:val="20"/>
                <w:szCs w:val="20"/>
                <w:color w:val="auto"/>
              </w:rPr>
            </w:pPr>
          </w:p>
        </w:tc>
        <w:tc>
          <w:tcPr>
            <w:tcW w:w="2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80" w:type="dxa"/>
            <w:vAlign w:val="bottom"/>
            <w:tcBorders>
              <w:top w:val="single" w:sz="8" w:color="0563C1"/>
            </w:tcBorders>
          </w:tcPr>
          <w:p>
            <w:pPr>
              <w:spacing w:after="0"/>
              <w:rPr>
                <w:sz w:val="20"/>
                <w:szCs w:val="20"/>
                <w:color w:val="auto"/>
              </w:rPr>
            </w:pPr>
          </w:p>
        </w:tc>
        <w:tc>
          <w:tcPr>
            <w:tcW w:w="520" w:type="dxa"/>
            <w:vAlign w:val="bottom"/>
            <w:tcBorders>
              <w:top w:val="single" w:sz="8" w:color="0563C1"/>
            </w:tcBorders>
          </w:tcPr>
          <w:p>
            <w:pPr>
              <w:spacing w:after="0"/>
              <w:rPr>
                <w:sz w:val="20"/>
                <w:szCs w:val="20"/>
                <w:color w:val="auto"/>
              </w:rPr>
            </w:pPr>
          </w:p>
        </w:tc>
        <w:tc>
          <w:tcPr>
            <w:tcW w:w="180" w:type="dxa"/>
            <w:vAlign w:val="bottom"/>
            <w:tcBorders>
              <w:top w:val="single" w:sz="8" w:color="0563C1"/>
            </w:tcBorders>
          </w:tcPr>
          <w:p>
            <w:pPr>
              <w:spacing w:after="0"/>
              <w:rPr>
                <w:sz w:val="20"/>
                <w:szCs w:val="20"/>
                <w:color w:val="auto"/>
              </w:rPr>
            </w:pPr>
          </w:p>
        </w:tc>
        <w:tc>
          <w:tcPr>
            <w:tcW w:w="280" w:type="dxa"/>
            <w:vAlign w:val="bottom"/>
            <w:tcBorders>
              <w:top w:val="single" w:sz="8" w:color="0563C1"/>
            </w:tcBorders>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4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19</w:t>
            </w:r>
          </w:p>
        </w:tc>
        <w:tc>
          <w:tcPr>
            <w:tcW w:w="260" w:type="dxa"/>
            <w:vAlign w:val="bottom"/>
          </w:tcPr>
          <w:p>
            <w:pPr>
              <w:spacing w:after="0"/>
              <w:rPr>
                <w:sz w:val="21"/>
                <w:szCs w:val="21"/>
                <w:color w:val="auto"/>
              </w:rPr>
            </w:pPr>
          </w:p>
        </w:tc>
        <w:tc>
          <w:tcPr>
            <w:tcW w:w="1560" w:type="dxa"/>
            <w:vAlign w:val="bottom"/>
            <w:tcBorders>
              <w:top w:val="single" w:sz="8" w:color="0563C1"/>
            </w:tcBorders>
            <w:gridSpan w:val="4"/>
          </w:tcPr>
          <w:p>
            <w:pPr>
              <w:spacing w:after="0"/>
              <w:rPr>
                <w:sz w:val="20"/>
                <w:szCs w:val="20"/>
                <w:color w:val="auto"/>
              </w:rPr>
            </w:pPr>
            <w:r>
              <w:rPr>
                <w:rFonts w:ascii="Times New Roman" w:cs="Times New Roman" w:eastAsia="Times New Roman" w:hAnsi="Times New Roman"/>
                <w:sz w:val="20"/>
                <w:szCs w:val="20"/>
                <w:color w:val="0563C1"/>
                <w:w w:val="97"/>
              </w:rPr>
              <w:t>Judgment Currency</w:t>
            </w:r>
          </w:p>
        </w:tc>
        <w:tc>
          <w:tcPr>
            <w:tcW w:w="140" w:type="dxa"/>
            <w:vAlign w:val="bottom"/>
            <w:gridSpan w:val="2"/>
          </w:tcPr>
          <w:p>
            <w:pPr>
              <w:spacing w:after="0"/>
              <w:rPr>
                <w:sz w:val="21"/>
                <w:szCs w:val="21"/>
                <w:color w:val="auto"/>
              </w:rPr>
            </w:pPr>
          </w:p>
        </w:tc>
        <w:tc>
          <w:tcPr>
            <w:tcW w:w="3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193</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0"/>
        </w:trPr>
        <w:tc>
          <w:tcPr>
            <w:tcW w:w="440" w:type="dxa"/>
            <w:vAlign w:val="bottom"/>
            <w:shd w:val="clear" w:color="auto" w:fill="0563C1"/>
          </w:tcPr>
          <w:p>
            <w:pPr>
              <w:spacing w:after="0" w:line="20" w:lineRule="exact"/>
              <w:rPr>
                <w:sz w:val="1"/>
                <w:szCs w:val="1"/>
                <w:color w:val="auto"/>
              </w:rPr>
            </w:pPr>
          </w:p>
        </w:tc>
        <w:tc>
          <w:tcPr>
            <w:tcW w:w="260" w:type="dxa"/>
            <w:vAlign w:val="bottom"/>
            <w:tcBorders>
              <w:left w:val="single" w:sz="8" w:color="0563C1"/>
            </w:tcBorders>
          </w:tcPr>
          <w:p>
            <w:pPr>
              <w:spacing w:after="0" w:line="20" w:lineRule="exact"/>
              <w:rPr>
                <w:sz w:val="1"/>
                <w:szCs w:val="1"/>
                <w:color w:val="auto"/>
              </w:rPr>
            </w:pPr>
          </w:p>
        </w:tc>
        <w:tc>
          <w:tcPr>
            <w:tcW w:w="1540" w:type="dxa"/>
            <w:vAlign w:val="bottom"/>
            <w:gridSpan w:val="3"/>
            <w:shd w:val="clear" w:color="auto" w:fill="0563C1"/>
          </w:tcPr>
          <w:p>
            <w:pPr>
              <w:spacing w:after="0" w:line="20" w:lineRule="exact"/>
              <w:rPr>
                <w:sz w:val="1"/>
                <w:szCs w:val="1"/>
                <w:color w:val="auto"/>
              </w:rPr>
            </w:pPr>
          </w:p>
        </w:tc>
        <w:tc>
          <w:tcPr>
            <w:tcW w:w="16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20</w:t>
            </w:r>
          </w:p>
        </w:tc>
        <w:tc>
          <w:tcPr>
            <w:tcW w:w="260" w:type="dxa"/>
            <w:vAlign w:val="bottom"/>
          </w:tcPr>
          <w:p>
            <w:pPr>
              <w:spacing w:after="0"/>
              <w:rPr>
                <w:sz w:val="21"/>
                <w:szCs w:val="21"/>
                <w:color w:val="auto"/>
              </w:rPr>
            </w:pPr>
          </w:p>
        </w:tc>
        <w:tc>
          <w:tcPr>
            <w:tcW w:w="6420" w:type="dxa"/>
            <w:vAlign w:val="bottom"/>
            <w:gridSpan w:val="23"/>
          </w:tcPr>
          <w:p>
            <w:pPr>
              <w:spacing w:after="0"/>
              <w:rPr>
                <w:sz w:val="20"/>
                <w:szCs w:val="20"/>
                <w:color w:val="auto"/>
              </w:rPr>
            </w:pPr>
            <w:r>
              <w:rPr>
                <w:rFonts w:ascii="Times New Roman" w:cs="Times New Roman" w:eastAsia="Times New Roman" w:hAnsi="Times New Roman"/>
                <w:sz w:val="20"/>
                <w:szCs w:val="20"/>
                <w:color w:val="0563C1"/>
              </w:rPr>
              <w:t xml:space="preserve">Acknowledgment and Consent to Bail-In of Affected Financial Institutions  </w:t>
            </w:r>
            <w:r>
              <w:rPr>
                <w:rFonts w:ascii="Times New Roman" w:cs="Times New Roman" w:eastAsia="Times New Roman" w:hAnsi="Times New Roman"/>
                <w:sz w:val="20"/>
                <w:szCs w:val="20"/>
                <w:color w:val="000000"/>
              </w:rPr>
              <w:t>194</w:t>
            </w:r>
          </w:p>
        </w:tc>
      </w:tr>
      <w:tr>
        <w:trPr>
          <w:trHeight w:val="237"/>
        </w:trPr>
        <w:tc>
          <w:tcPr>
            <w:tcW w:w="440" w:type="dxa"/>
            <w:vAlign w:val="bottom"/>
            <w:tcBorders>
              <w:top w:val="single" w:sz="8" w:color="0563C1"/>
              <w:bottom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21</w:t>
            </w:r>
          </w:p>
        </w:tc>
        <w:tc>
          <w:tcPr>
            <w:tcW w:w="260" w:type="dxa"/>
            <w:vAlign w:val="bottom"/>
          </w:tcPr>
          <w:p>
            <w:pPr>
              <w:spacing w:after="0"/>
              <w:rPr>
                <w:sz w:val="20"/>
                <w:szCs w:val="20"/>
                <w:color w:val="auto"/>
              </w:rPr>
            </w:pPr>
          </w:p>
        </w:tc>
        <w:tc>
          <w:tcPr>
            <w:tcW w:w="3260" w:type="dxa"/>
            <w:vAlign w:val="bottom"/>
            <w:tcBorders>
              <w:top w:val="single" w:sz="8" w:color="0563C1"/>
              <w:bottom w:val="single" w:sz="8" w:color="0563C1"/>
            </w:tcBorders>
            <w:gridSpan w:val="16"/>
          </w:tcPr>
          <w:p>
            <w:pPr>
              <w:spacing w:after="0"/>
              <w:rPr>
                <w:sz w:val="20"/>
                <w:szCs w:val="20"/>
                <w:color w:val="auto"/>
              </w:rPr>
            </w:pPr>
            <w:r>
              <w:rPr>
                <w:rFonts w:ascii="Times New Roman" w:cs="Times New Roman" w:eastAsia="Times New Roman" w:hAnsi="Times New Roman"/>
                <w:sz w:val="20"/>
                <w:szCs w:val="20"/>
                <w:color w:val="0563C1"/>
                <w:w w:val="98"/>
              </w:rPr>
              <w:t>Amendment and Extension Transactions.</w:t>
            </w:r>
          </w:p>
        </w:tc>
        <w:tc>
          <w:tcPr>
            <w:tcW w:w="80" w:type="dxa"/>
            <w:vAlign w:val="bottom"/>
            <w:tcBorders>
              <w:top w:val="single" w:sz="8" w:color="0563C1"/>
            </w:tcBorders>
          </w:tcPr>
          <w:p>
            <w:pPr>
              <w:spacing w:after="0"/>
              <w:rPr>
                <w:sz w:val="20"/>
                <w:szCs w:val="20"/>
                <w:color w:val="auto"/>
              </w:rPr>
            </w:pPr>
          </w:p>
        </w:tc>
        <w:tc>
          <w:tcPr>
            <w:tcW w:w="600" w:type="dxa"/>
            <w:vAlign w:val="bottom"/>
            <w:tcBorders>
              <w:top w:val="single" w:sz="8" w:color="0563C1"/>
            </w:tcBorders>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194</w:t>
            </w:r>
          </w:p>
        </w:tc>
        <w:tc>
          <w:tcPr>
            <w:tcW w:w="180" w:type="dxa"/>
            <w:vAlign w:val="bottom"/>
            <w:tcBorders>
              <w:top w:val="single" w:sz="8" w:color="0563C1"/>
            </w:tcBorders>
          </w:tcPr>
          <w:p>
            <w:pPr>
              <w:spacing w:after="0"/>
              <w:rPr>
                <w:sz w:val="20"/>
                <w:szCs w:val="20"/>
                <w:color w:val="auto"/>
              </w:rPr>
            </w:pPr>
          </w:p>
        </w:tc>
        <w:tc>
          <w:tcPr>
            <w:tcW w:w="280" w:type="dxa"/>
            <w:vAlign w:val="bottom"/>
            <w:tcBorders>
              <w:top w:val="single" w:sz="8" w:color="0563C1"/>
            </w:tcBorders>
          </w:tcPr>
          <w:p>
            <w:pPr>
              <w:spacing w:after="0"/>
              <w:rPr>
                <w:sz w:val="20"/>
                <w:szCs w:val="20"/>
                <w:color w:val="auto"/>
              </w:rPr>
            </w:pPr>
          </w:p>
        </w:tc>
        <w:tc>
          <w:tcPr>
            <w:tcW w:w="1520" w:type="dxa"/>
            <w:vAlign w:val="bottom"/>
            <w:tcBorders>
              <w:top w:val="single" w:sz="8" w:color="0563C1"/>
            </w:tcBorders>
          </w:tcPr>
          <w:p>
            <w:pPr>
              <w:spacing w:after="0"/>
              <w:rPr>
                <w:sz w:val="20"/>
                <w:szCs w:val="20"/>
                <w:color w:val="auto"/>
              </w:rPr>
            </w:pPr>
          </w:p>
        </w:tc>
        <w:tc>
          <w:tcPr>
            <w:tcW w:w="500" w:type="dxa"/>
            <w:vAlign w:val="bottom"/>
          </w:tcPr>
          <w:p>
            <w:pPr>
              <w:spacing w:after="0"/>
              <w:rPr>
                <w:sz w:val="20"/>
                <w:szCs w:val="20"/>
                <w:color w:val="auto"/>
              </w:rPr>
            </w:pPr>
          </w:p>
        </w:tc>
      </w:tr>
      <w:tr>
        <w:trPr>
          <w:trHeight w:val="250"/>
        </w:trPr>
        <w:tc>
          <w:tcPr>
            <w:tcW w:w="44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22</w:t>
            </w:r>
          </w:p>
        </w:tc>
        <w:tc>
          <w:tcPr>
            <w:tcW w:w="260" w:type="dxa"/>
            <w:vAlign w:val="bottom"/>
          </w:tcPr>
          <w:p>
            <w:pPr>
              <w:spacing w:after="0"/>
              <w:rPr>
                <w:sz w:val="21"/>
                <w:szCs w:val="21"/>
                <w:color w:val="auto"/>
              </w:rPr>
            </w:pPr>
          </w:p>
        </w:tc>
        <w:tc>
          <w:tcPr>
            <w:tcW w:w="3220" w:type="dxa"/>
            <w:vAlign w:val="bottom"/>
            <w:tcBorders>
              <w:bottom w:val="single" w:sz="8" w:color="0563C1"/>
            </w:tcBorders>
            <w:gridSpan w:val="14"/>
          </w:tcPr>
          <w:p>
            <w:pPr>
              <w:spacing w:after="0"/>
              <w:rPr>
                <w:sz w:val="20"/>
                <w:szCs w:val="20"/>
                <w:color w:val="auto"/>
              </w:rPr>
            </w:pPr>
            <w:r>
              <w:rPr>
                <w:rFonts w:ascii="Times New Roman" w:cs="Times New Roman" w:eastAsia="Times New Roman" w:hAnsi="Times New Roman"/>
                <w:sz w:val="20"/>
                <w:szCs w:val="20"/>
                <w:color w:val="0563C1"/>
                <w:w w:val="98"/>
              </w:rPr>
              <w:t>Release and Reinstatement of Collateral.</w:t>
            </w:r>
          </w:p>
        </w:tc>
        <w:tc>
          <w:tcPr>
            <w:tcW w:w="120" w:type="dxa"/>
            <w:vAlign w:val="bottom"/>
            <w:gridSpan w:val="3"/>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196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6"/>
        </w:trPr>
        <w:tc>
          <w:tcPr>
            <w:tcW w:w="44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20"/>
                <w:szCs w:val="20"/>
                <w:color w:val="0563C1"/>
                <w:w w:val="88"/>
              </w:rPr>
              <w:t>10.</w:t>
            </w:r>
            <w:r>
              <w:rPr>
                <w:rFonts w:ascii="Times New Roman" w:cs="Times New Roman" w:eastAsia="Times New Roman" w:hAnsi="Times New Roman"/>
                <w:sz w:val="20"/>
                <w:szCs w:val="20"/>
                <w:u w:val="single" w:color="auto"/>
                <w:color w:val="0563C1"/>
                <w:w w:val="88"/>
              </w:rPr>
              <w:t>23</w:t>
            </w:r>
          </w:p>
        </w:tc>
        <w:tc>
          <w:tcPr>
            <w:tcW w:w="260" w:type="dxa"/>
            <w:vAlign w:val="bottom"/>
          </w:tcPr>
          <w:p>
            <w:pPr>
              <w:spacing w:after="0"/>
              <w:rPr>
                <w:sz w:val="20"/>
                <w:szCs w:val="20"/>
                <w:color w:val="auto"/>
              </w:rPr>
            </w:pPr>
          </w:p>
        </w:tc>
        <w:tc>
          <w:tcPr>
            <w:tcW w:w="4120" w:type="dxa"/>
            <w:vAlign w:val="bottom"/>
            <w:tcBorders>
              <w:bottom w:val="single" w:sz="8" w:color="0563C1"/>
            </w:tcBorders>
            <w:gridSpan w:val="20"/>
          </w:tcPr>
          <w:p>
            <w:pPr>
              <w:spacing w:after="0"/>
              <w:rPr>
                <w:sz w:val="20"/>
                <w:szCs w:val="20"/>
                <w:color w:val="auto"/>
              </w:rPr>
            </w:pPr>
            <w:r>
              <w:rPr>
                <w:rFonts w:ascii="Times New Roman" w:cs="Times New Roman" w:eastAsia="Times New Roman" w:hAnsi="Times New Roman"/>
                <w:sz w:val="20"/>
                <w:szCs w:val="20"/>
                <w:color w:val="0563C1"/>
                <w:w w:val="98"/>
              </w:rPr>
              <w:t>Acknowledgement Regarding Any Supported QFCs</w:t>
            </w:r>
          </w:p>
        </w:tc>
        <w:tc>
          <w:tcPr>
            <w:tcW w:w="1800" w:type="dxa"/>
            <w:vAlign w:val="bottom"/>
            <w:gridSpan w:val="2"/>
          </w:tcPr>
          <w:p>
            <w:pPr>
              <w:jc w:val="right"/>
              <w:ind w:right="1300"/>
              <w:spacing w:after="0"/>
              <w:rPr>
                <w:sz w:val="20"/>
                <w:szCs w:val="20"/>
                <w:color w:val="auto"/>
              </w:rPr>
            </w:pPr>
            <w:r>
              <w:rPr>
                <w:rFonts w:ascii="Times New Roman" w:cs="Times New Roman" w:eastAsia="Times New Roman" w:hAnsi="Times New Roman"/>
                <w:sz w:val="20"/>
                <w:szCs w:val="20"/>
                <w:color w:val="auto"/>
              </w:rPr>
              <w:t>198</w:t>
            </w:r>
          </w:p>
        </w:tc>
        <w:tc>
          <w:tcPr>
            <w:tcW w:w="5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9919"/>
          </w:cols>
          <w:pgMar w:left="540" w:top="1422"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APPENDICES</w:t>
      </w:r>
    </w:p>
    <w:p>
      <w:pPr>
        <w:spacing w:after="0" w:line="28" w:lineRule="exact"/>
        <w:rPr>
          <w:sz w:val="20"/>
          <w:szCs w:val="20"/>
          <w:color w:val="auto"/>
        </w:rPr>
      </w:pPr>
    </w:p>
    <w:p>
      <w:pPr>
        <w:ind w:left="520" w:hanging="325"/>
        <w:spacing w:after="0"/>
        <w:tabs>
          <w:tab w:leader="none" w:pos="5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Dutch Auction Procedures</w:t>
      </w:r>
    </w:p>
    <w:p>
      <w:pPr>
        <w:spacing w:after="0" w:line="22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w:t>
      </w:r>
    </w:p>
    <w:p>
      <w:pPr>
        <w:spacing w:after="0" w:line="2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2.01</w:t>
      </w:r>
      <w:r>
        <w:rPr>
          <w:sz w:val="20"/>
          <w:szCs w:val="20"/>
          <w:color w:val="auto"/>
        </w:rPr>
        <w:tab/>
      </w:r>
      <w:r>
        <w:rPr>
          <w:rFonts w:ascii="Times New Roman" w:cs="Times New Roman" w:eastAsia="Times New Roman" w:hAnsi="Times New Roman"/>
          <w:sz w:val="19"/>
          <w:szCs w:val="19"/>
          <w:color w:val="auto"/>
        </w:rPr>
        <w:t>Commitments and Applicable Percentages</w:t>
      </w:r>
    </w:p>
    <w:p>
      <w:pPr>
        <w:spacing w:after="0" w:line="2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5.13</w:t>
      </w:r>
      <w:r>
        <w:rPr>
          <w:sz w:val="20"/>
          <w:szCs w:val="20"/>
          <w:color w:val="auto"/>
        </w:rPr>
        <w:tab/>
      </w:r>
      <w:r>
        <w:rPr>
          <w:rFonts w:ascii="Times New Roman" w:cs="Times New Roman" w:eastAsia="Times New Roman" w:hAnsi="Times New Roman"/>
          <w:sz w:val="19"/>
          <w:szCs w:val="19"/>
          <w:color w:val="auto"/>
        </w:rPr>
        <w:t>Subsidiaries and Other Equity Investments; Loan Parties</w:t>
      </w:r>
    </w:p>
    <w:p>
      <w:pPr>
        <w:spacing w:after="0" w:line="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5.20</w:t>
      </w:r>
      <w:r>
        <w:rPr>
          <w:sz w:val="20"/>
          <w:szCs w:val="20"/>
          <w:color w:val="auto"/>
        </w:rPr>
        <w:tab/>
      </w:r>
      <w:r>
        <w:rPr>
          <w:rFonts w:ascii="Times New Roman" w:cs="Times New Roman" w:eastAsia="Times New Roman" w:hAnsi="Times New Roman"/>
          <w:sz w:val="19"/>
          <w:szCs w:val="19"/>
          <w:color w:val="auto"/>
        </w:rPr>
        <w:t>Labor Matters</w:t>
      </w:r>
    </w:p>
    <w:p>
      <w:pPr>
        <w:spacing w:after="0" w:line="1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7.01</w:t>
      </w:r>
      <w:r>
        <w:rPr>
          <w:sz w:val="20"/>
          <w:szCs w:val="20"/>
          <w:color w:val="auto"/>
        </w:rPr>
        <w:tab/>
      </w:r>
      <w:r>
        <w:rPr>
          <w:rFonts w:ascii="Times New Roman" w:cs="Times New Roman" w:eastAsia="Times New Roman" w:hAnsi="Times New Roman"/>
          <w:sz w:val="19"/>
          <w:szCs w:val="19"/>
          <w:color w:val="auto"/>
        </w:rPr>
        <w:t>Existing Liens</w:t>
      </w:r>
    </w:p>
    <w:p>
      <w:pPr>
        <w:spacing w:after="0" w:line="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7.02</w:t>
      </w:r>
      <w:r>
        <w:rPr>
          <w:sz w:val="20"/>
          <w:szCs w:val="20"/>
          <w:color w:val="auto"/>
        </w:rPr>
        <w:tab/>
      </w:r>
      <w:r>
        <w:rPr>
          <w:rFonts w:ascii="Times New Roman" w:cs="Times New Roman" w:eastAsia="Times New Roman" w:hAnsi="Times New Roman"/>
          <w:sz w:val="19"/>
          <w:szCs w:val="19"/>
          <w:color w:val="auto"/>
        </w:rPr>
        <w:t>Existing Indebtedness</w:t>
      </w:r>
    </w:p>
    <w:p>
      <w:pPr>
        <w:spacing w:after="0" w:line="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7.03</w:t>
      </w:r>
      <w:r>
        <w:rPr>
          <w:sz w:val="20"/>
          <w:szCs w:val="20"/>
          <w:color w:val="auto"/>
        </w:rPr>
        <w:tab/>
      </w:r>
      <w:r>
        <w:rPr>
          <w:rFonts w:ascii="Times New Roman" w:cs="Times New Roman" w:eastAsia="Times New Roman" w:hAnsi="Times New Roman"/>
          <w:sz w:val="19"/>
          <w:szCs w:val="19"/>
          <w:color w:val="auto"/>
        </w:rPr>
        <w:t>Existing Investments</w:t>
      </w:r>
    </w:p>
    <w:p>
      <w:pPr>
        <w:spacing w:after="0" w:line="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7.09</w:t>
      </w:r>
      <w:r>
        <w:rPr>
          <w:sz w:val="20"/>
          <w:szCs w:val="20"/>
          <w:color w:val="auto"/>
        </w:rPr>
        <w:tab/>
      </w:r>
      <w:r>
        <w:rPr>
          <w:rFonts w:ascii="Times New Roman" w:cs="Times New Roman" w:eastAsia="Times New Roman" w:hAnsi="Times New Roman"/>
          <w:sz w:val="19"/>
          <w:szCs w:val="19"/>
          <w:color w:val="auto"/>
        </w:rPr>
        <w:t>Burdensome Agreements</w:t>
      </w:r>
    </w:p>
    <w:p>
      <w:pPr>
        <w:spacing w:after="0" w:line="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10.02</w:t>
      </w:r>
      <w:r>
        <w:rPr>
          <w:sz w:val="20"/>
          <w:szCs w:val="20"/>
          <w:color w:val="auto"/>
        </w:rPr>
        <w:tab/>
      </w:r>
      <w:r>
        <w:rPr>
          <w:rFonts w:ascii="Times New Roman" w:cs="Times New Roman" w:eastAsia="Times New Roman" w:hAnsi="Times New Roman"/>
          <w:sz w:val="19"/>
          <w:szCs w:val="19"/>
          <w:color w:val="auto"/>
        </w:rPr>
        <w:t>Administrative Agent’s Office, Certain Addresses for Notices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Form of</w:t>
      </w:r>
    </w:p>
    <w:p>
      <w:pPr>
        <w:spacing w:after="0" w:line="233" w:lineRule="exact"/>
        <w:rPr>
          <w:sz w:val="20"/>
          <w:szCs w:val="20"/>
          <w:color w:val="auto"/>
        </w:rPr>
      </w:pPr>
    </w:p>
    <w:p>
      <w:pPr>
        <w:jc w:val="both"/>
        <w:ind w:left="660" w:right="7199" w:hanging="4"/>
        <w:spacing w:after="0" w:line="254" w:lineRule="auto"/>
        <w:tabs>
          <w:tab w:leader="none" w:pos="99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Committed Loan Notice B Swing Line Loan Notice C-1 Euro Term Note</w:t>
      </w:r>
    </w:p>
    <w:p>
      <w:pPr>
        <w:ind w:left="660" w:right="7179"/>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C-2 Revolving Credit Note C-3 U.S. Term Note</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C-4   Term B Note</w:t>
      </w:r>
    </w:p>
    <w:p>
      <w:pPr>
        <w:spacing w:after="0" w:line="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Compliance Certificate</w:t>
      </w:r>
    </w:p>
    <w:p>
      <w:pPr>
        <w:spacing w:after="0" w:line="6" w:lineRule="exact"/>
        <w:rPr>
          <w:rFonts w:ascii="Times New Roman" w:cs="Times New Roman" w:eastAsia="Times New Roman" w:hAnsi="Times New Roman"/>
          <w:sz w:val="20"/>
          <w:szCs w:val="20"/>
          <w:color w:val="auto"/>
        </w:rPr>
      </w:pPr>
    </w:p>
    <w:p>
      <w:pPr>
        <w:ind w:left="660" w:right="6879"/>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 Assignment and Assumption F Guaranty</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  Solvency Certificate</w:t>
      </w:r>
    </w:p>
    <w:p>
      <w:pPr>
        <w:spacing w:after="0" w:line="13" w:lineRule="exact"/>
        <w:rPr>
          <w:rFonts w:ascii="Times New Roman" w:cs="Times New Roman" w:eastAsia="Times New Roman" w:hAnsi="Times New Roman"/>
          <w:sz w:val="20"/>
          <w:szCs w:val="20"/>
          <w:color w:val="auto"/>
        </w:rPr>
      </w:pPr>
    </w:p>
    <w:p>
      <w:pPr>
        <w:ind w:left="660" w:right="4479"/>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 Designated Borrower Request and Assumption Agreement I Designated Borrower Notice</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J-1-4  United States Tax Compliance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0139"/>
          </w:cols>
          <w:pgMar w:left="320" w:top="1413" w:right="1440"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-vi-</w:t>
      </w:r>
    </w:p>
    <w:p>
      <w:pPr>
        <w:sectPr>
          <w:pgSz w:w="11900" w:h="16838" w:orient="portrait"/>
          <w:cols w:equalWidth="0" w:num="1">
            <w:col w:w="9019"/>
          </w:cols>
          <w:pgMar w:left="1440" w:top="1440" w:right="144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2"/>
          <w:szCs w:val="22"/>
          <w:color w:val="auto"/>
        </w:rPr>
        <w:t>CREDIT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CREDIT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August 1, 2019, as amended by Amendment No. 1 to Credit Agreement, dated as of March 17, 2020, as further amended by Amendment No. 2 to Credit Agreement (LIBOR Transition), dated as of December 10, 2021, as further amended by Amendment No. 3 to Credit Agreement, dated as of June 17, 2022, as further amended by Amendment No. 4 to Credit Agreement dated as of April 10, 2026 and as further amended by Amendment No. 5 to Credit Agreement dated as of October 1, 2026, among QUAKER CHEMICAL CORPORATION, a Pennsylvania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certain Subsidiaries of the Company party hereto pursuant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Designated Borrower</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each lender from time to time party hereto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Bank of America Europe Designated Activity Company (including, without limitation, its branches, “</w:t>
      </w:r>
      <w:r>
        <w:rPr>
          <w:rFonts w:ascii="Times New Roman" w:cs="Times New Roman" w:eastAsia="Times New Roman" w:hAnsi="Times New Roman"/>
          <w:sz w:val="22"/>
          <w:szCs w:val="22"/>
          <w:u w:val="single" w:color="auto"/>
          <w:color w:val="auto"/>
        </w:rPr>
        <w:t>BofA Europe</w:t>
      </w:r>
      <w:r>
        <w:rPr>
          <w:rFonts w:ascii="Times New Roman" w:cs="Times New Roman" w:eastAsia="Times New Roman" w:hAnsi="Times New Roman"/>
          <w:sz w:val="22"/>
          <w:szCs w:val="22"/>
          <w:color w:val="auto"/>
        </w:rPr>
        <w:t>”), as Euro Swing Line Lender, BANK OF AMERICA, N.A., as General Administrative Agent, Pro Rata Facilities Administrative Agent, U.S. Dollar Swing Line Lender and L/C Issuer and JPMORGAN CHASE BANK, N.A., as Term Loan B Administrative Agent.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PRELIMINARY STATEMENTS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Company has requested that the Lenders provide term loan facilities and a revolving credit facility, and the Lenders have indicated their willingness to lend and the L/C Issuer has indicated its willingness to issue letters of credit, in each case, on the terms and subject to the conditions set forth herein.</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mutual covenants and agreements herein contained, the parties hereto covenant and agree as follows:</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w:t>
      </w:r>
    </w:p>
    <w:p>
      <w:pPr>
        <w:spacing w:after="0" w:line="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DEFINITIONS AND ACCOUNTING TERMS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19"/>
          <w:szCs w:val="19"/>
          <w:color w:val="auto"/>
        </w:rPr>
        <w:t>. As used in this Agreement, the following terms shall have the meanings set forth below:</w:t>
      </w:r>
    </w:p>
    <w:p>
      <w:pPr>
        <w:spacing w:after="0" w:line="2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Acquisition</w:t>
      </w:r>
      <w:r>
        <w:rPr>
          <w:rFonts w:ascii="Times New Roman" w:cs="Times New Roman" w:eastAsia="Times New Roman" w:hAnsi="Times New Roman"/>
          <w:sz w:val="21"/>
          <w:szCs w:val="21"/>
          <w:color w:val="auto"/>
        </w:rPr>
        <w:t>” means, with respect to any Person, any acquisition, whether by purchase, merger, amalgamation or otherwise, by such Person of (a) Equity Interests of any other Person if, after giving effect to the acquisition of such Equity Interests, such other Person would be a Subsidiary of such Person, (b) all or substantially all of the assets of any other Person or</w:t>
      </w:r>
    </w:p>
    <w:p>
      <w:pPr>
        <w:spacing w:after="0" w:line="1" w:lineRule="exact"/>
        <w:rPr>
          <w:sz w:val="20"/>
          <w:szCs w:val="20"/>
          <w:color w:val="auto"/>
        </w:rPr>
      </w:pPr>
    </w:p>
    <w:p>
      <w:pPr>
        <w:ind w:left="660" w:right="5200" w:hanging="652"/>
        <w:spacing w:after="0" w:line="436" w:lineRule="auto"/>
        <w:tabs>
          <w:tab w:leader="none" w:pos="30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assets constituting one or more business units of any other Person.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10.18</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“Administrative Agents” means, collectively, the Pro Rata Facilities Administrative Agent, Term Loan B Administrative Agent and General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22" w:right="339" w:bottom="1440" w:gutter="0" w:footer="0" w:header="0"/>
        </w:sectPr>
      </w:pPr>
    </w:p>
    <w:bookmarkStart w:id="75" w:name="page76"/>
    <w:bookmarkEnd w:id="75"/>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Office</w:t>
      </w:r>
      <w:r>
        <w:rPr>
          <w:rFonts w:ascii="Times New Roman" w:cs="Times New Roman" w:eastAsia="Times New Roman" w:hAnsi="Times New Roman"/>
          <w:sz w:val="22"/>
          <w:szCs w:val="22"/>
          <w:color w:val="auto"/>
        </w:rPr>
        <w:t xml:space="preserve">” means the Applicable Facility Agent’s address and, as appropriate, account as set forth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xml:space="preserve"> with respect to any currency, or such other address or account with respect to such currency as the Applicable Facility Agent may from time to time notify to the Company and the Lenders.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from time to time by the Applicable Facility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another Person that directly, or indirectly through one or more intermediaries, Controls or is Controlled by or is under common Control with the Person specified.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10.02(c)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Commitments</w:t>
      </w:r>
      <w:r>
        <w:rPr>
          <w:rFonts w:ascii="Times New Roman" w:cs="Times New Roman" w:eastAsia="Times New Roman" w:hAnsi="Times New Roman"/>
          <w:sz w:val="22"/>
          <w:szCs w:val="22"/>
          <w:color w:val="auto"/>
        </w:rPr>
        <w:t>” means the Commitments of all the Lenders.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Currency</w:t>
      </w:r>
      <w:r>
        <w:rPr>
          <w:rFonts w:ascii="Times New Roman" w:cs="Times New Roman" w:eastAsia="Times New Roman" w:hAnsi="Times New Roman"/>
          <w:sz w:val="22"/>
          <w:szCs w:val="22"/>
          <w:color w:val="auto"/>
        </w:rPr>
        <w:t>” means Dollars or any Alternative Currency, as applicable.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Credit Agreement.</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All-In-Rate</w:t>
      </w:r>
      <w:r>
        <w:rPr>
          <w:rFonts w:ascii="Times New Roman" w:cs="Times New Roman" w:eastAsia="Times New Roman" w:hAnsi="Times New Roman"/>
          <w:sz w:val="22"/>
          <w:szCs w:val="22"/>
          <w:color w:val="auto"/>
        </w:rPr>
        <w:t>” means, as to any Indebtedness, the effective yield applicable thereto calculated by the Term Loan B Administrative Agent in consultation with the Company in a manner consistent with generally accepted financial practices, taking into account (a) interest rates and interest rate margins (with such interest rate and interest rate margins to be determined by reference to Term SOFR), (b) interest rate floors (subject to the proviso set forth below), (c) any amendment to the relevant interest rate margins and interest rate floors prior to the applicable date of determination and (d) original issue discount and upfront or similar fees (based on an assumed four-year life to maturity) paid by the Company to the Term B Lenders in connection with the Term B Loans or any applicable Incremental Term Loan, but excluding (i) any arrangement, commitment, structuring, underwriting, and any similar fees paid to any arranger (or its affiliates) in connection with the commitment or syndication of such Indebtedness, ticking fees, unused line fees, consent fees paid to consenting lenders and/or amendment fees and (ii) any other fee that is not paid directly by the Company generally to all relevant lenders ratably in the primary syndication of such Indebtedness; provided that if such Indebtedness has an interest rate floor (the “</w:t>
      </w:r>
      <w:r>
        <w:rPr>
          <w:rFonts w:ascii="Times New Roman" w:cs="Times New Roman" w:eastAsia="Times New Roman" w:hAnsi="Times New Roman"/>
          <w:sz w:val="22"/>
          <w:szCs w:val="22"/>
          <w:u w:val="single" w:color="auto"/>
          <w:color w:val="auto"/>
        </w:rPr>
        <w:t>New Floor</w:t>
      </w:r>
      <w:r>
        <w:rPr>
          <w:rFonts w:ascii="Times New Roman" w:cs="Times New Roman" w:eastAsia="Times New Roman" w:hAnsi="Times New Roman"/>
          <w:sz w:val="22"/>
          <w:szCs w:val="22"/>
          <w:color w:val="auto"/>
        </w:rPr>
        <w:t>”) greater than both the floor applicable to the existing Term B Loans (the “</w:t>
      </w:r>
      <w:r>
        <w:rPr>
          <w:rFonts w:ascii="Times New Roman" w:cs="Times New Roman" w:eastAsia="Times New Roman" w:hAnsi="Times New Roman"/>
          <w:sz w:val="22"/>
          <w:szCs w:val="22"/>
          <w:u w:val="single" w:color="auto"/>
          <w:color w:val="auto"/>
        </w:rPr>
        <w:t>Existing Floor</w:t>
      </w:r>
      <w:r>
        <w:rPr>
          <w:rFonts w:ascii="Times New Roman" w:cs="Times New Roman" w:eastAsia="Times New Roman" w:hAnsi="Times New Roman"/>
          <w:sz w:val="22"/>
          <w:szCs w:val="22"/>
          <w:color w:val="auto"/>
        </w:rPr>
        <w:t>”) and Term SOFR for a 3-month Interest Period at such time, such excess amount (above the greater of the Existing Floor and such Term SOFR) (the “</w:t>
      </w:r>
      <w:r>
        <w:rPr>
          <w:rFonts w:ascii="Times New Roman" w:cs="Times New Roman" w:eastAsia="Times New Roman" w:hAnsi="Times New Roman"/>
          <w:sz w:val="22"/>
          <w:szCs w:val="22"/>
          <w:u w:val="single" w:color="auto"/>
          <w:color w:val="auto"/>
        </w:rPr>
        <w:t>Floor Excess</w:t>
      </w:r>
      <w:r>
        <w:rPr>
          <w:rFonts w:ascii="Times New Roman" w:cs="Times New Roman" w:eastAsia="Times New Roman" w:hAnsi="Times New Roman"/>
          <w:sz w:val="22"/>
          <w:szCs w:val="22"/>
          <w:color w:val="auto"/>
        </w:rPr>
        <w:t xml:space="preserve">”) shall be equated to the applicable interest rate margin for purposes of determining </w:t>
      </w:r>
      <w:r>
        <w:rPr>
          <w:rFonts w:ascii="Times New Roman" w:cs="Times New Roman" w:eastAsia="Times New Roman" w:hAnsi="Times New Roman"/>
          <w:sz w:val="22"/>
          <w:szCs w:val="22"/>
          <w:u w:val="single" w:color="auto"/>
          <w:color w:val="auto"/>
        </w:rPr>
        <w:t>All-In-Rate,</w:t>
      </w:r>
      <w:r>
        <w:rPr>
          <w:rFonts w:ascii="Times New Roman" w:cs="Times New Roman" w:eastAsia="Times New Roman" w:hAnsi="Times New Roman"/>
          <w:sz w:val="22"/>
          <w:szCs w:val="22"/>
          <w:color w:val="auto"/>
        </w:rPr>
        <w:t xml:space="preserve"> but only to the extent an increase in the Existing Floor by the Floor Excess would cause an increase in the interest rate then in effect. In such case, for purposes of Section 2.16(a), the Existing Floor (but not the interest rate margin) applicable to the existing Term B Loans shall be increased to the extent of the Floor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22" w:right="339" w:bottom="1440" w:gutter="0" w:footer="0" w:header="0"/>
        </w:sectPr>
      </w:pPr>
    </w:p>
    <w:bookmarkStart w:id="76" w:name="page77"/>
    <w:bookmarkEnd w:id="76"/>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w:t>
      </w:r>
      <w:r>
        <w:rPr>
          <w:rFonts w:ascii="Times New Roman" w:cs="Times New Roman" w:eastAsia="Times New Roman" w:hAnsi="Times New Roman"/>
          <w:sz w:val="22"/>
          <w:szCs w:val="22"/>
          <w:color w:val="auto"/>
        </w:rPr>
        <w:t xml:space="preserve">” means each of the following currencies: Euro, Sterling, Yen, Canadian Dollars and Australian Dollars, together with each other currency (other than Dollars) that is approved in accordance with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provided that for each Alternative Currency, such requested currency is an Eligible Currency.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 Daily Rate</w:t>
      </w:r>
      <w:r>
        <w:rPr>
          <w:rFonts w:ascii="Times New Roman" w:cs="Times New Roman" w:eastAsia="Times New Roman" w:hAnsi="Times New Roman"/>
          <w:sz w:val="22"/>
          <w:szCs w:val="22"/>
          <w:color w:val="auto"/>
        </w:rPr>
        <w:t>” means, for any day, with respect to any Credit Extension:</w:t>
      </w:r>
    </w:p>
    <w:p>
      <w:pPr>
        <w:spacing w:after="0" w:line="220" w:lineRule="exact"/>
        <w:rPr>
          <w:sz w:val="20"/>
          <w:szCs w:val="20"/>
          <w:color w:val="auto"/>
        </w:rPr>
      </w:pPr>
    </w:p>
    <w:p>
      <w:pPr>
        <w:ind w:left="1800" w:hanging="496"/>
        <w:spacing w:after="0"/>
        <w:tabs>
          <w:tab w:leader="none" w:pos="18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denominated in Sterling, the rate per annum equal to SONIA determined pursuant to the definition thereof;</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196" w:lineRule="exact"/>
        <w:rPr>
          <w:sz w:val="20"/>
          <w:szCs w:val="20"/>
          <w:color w:val="auto"/>
        </w:rPr>
      </w:pPr>
    </w:p>
    <w:p>
      <w:pPr>
        <w:jc w:val="both"/>
        <w:ind w:left="660" w:firstLine="644"/>
        <w:spacing w:after="0" w:line="253" w:lineRule="auto"/>
        <w:tabs>
          <w:tab w:leader="none" w:pos="179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denominated in any other Alternative Currency (to the extent such Loans denominated in such currency bear interest at a daily rate), the daily rate per annum as designated with respect to such Alternative Currency at the time such Alternative Currency is approved by the Pro Rata Facilities Administrative Agent and the relevant Lenders pursuant to </w:t>
      </w:r>
      <w:r>
        <w:rPr>
          <w:rFonts w:ascii="Times New Roman" w:cs="Times New Roman" w:eastAsia="Times New Roman" w:hAnsi="Times New Roman"/>
          <w:sz w:val="22"/>
          <w:szCs w:val="22"/>
          <w:u w:val="single" w:color="auto"/>
          <w:color w:val="auto"/>
        </w:rPr>
        <w:t>Section 1.06(a)</w:t>
      </w:r>
      <w:r>
        <w:rPr>
          <w:rFonts w:ascii="Times New Roman" w:cs="Times New Roman" w:eastAsia="Times New Roman" w:hAnsi="Times New Roman"/>
          <w:sz w:val="22"/>
          <w:szCs w:val="22"/>
          <w:color w:val="auto"/>
        </w:rPr>
        <w:t xml:space="preserve"> plus the adjustment (if any) determined by the Pro Rata Facilities Administrative Agent and the relevant Lenders pursuant to </w:t>
      </w:r>
      <w:r>
        <w:rPr>
          <w:rFonts w:ascii="Times New Roman" w:cs="Times New Roman" w:eastAsia="Times New Roman" w:hAnsi="Times New Roman"/>
          <w:sz w:val="22"/>
          <w:szCs w:val="22"/>
          <w:u w:val="single" w:color="auto"/>
          <w:color w:val="auto"/>
        </w:rPr>
        <w:t>Section 1.06(a);</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8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Daily Rate Loan</w:t>
      </w:r>
      <w:r>
        <w:rPr>
          <w:rFonts w:ascii="Times New Roman" w:cs="Times New Roman" w:eastAsia="Times New Roman" w:hAnsi="Times New Roman"/>
          <w:sz w:val="21"/>
          <w:szCs w:val="21"/>
          <w:color w:val="auto"/>
        </w:rPr>
        <w:t>” means a Loan that bears interest at a rate based on the definition of “Alternative Currency Daily Rate.” All Alternative Currency Daily Rate Loans must be denominated in an Alternative Currency.</w:t>
      </w:r>
    </w:p>
    <w:p>
      <w:pPr>
        <w:spacing w:after="0" w:line="13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 Equivalent</w:t>
      </w:r>
      <w:r>
        <w:rPr>
          <w:rFonts w:ascii="Times New Roman" w:cs="Times New Roman" w:eastAsia="Times New Roman" w:hAnsi="Times New Roman"/>
          <w:sz w:val="22"/>
          <w:szCs w:val="22"/>
          <w:color w:val="auto"/>
        </w:rPr>
        <w:t xml:space="preserve">” means, at any time, with respect to any amount denominated in Dollars, the equivalent amount thereof in the applicable Alternative Currency as determined by the Pro Rata Facilities Administrative Agent or the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no such rate is available, the “Alternative Currency Equivalent” shall be determined by the Pro Rata Facilities Administrative Agent or the L/C Issuer, as the case may be, using any reasonable method of determination it deems appropriate in its sole discretion (and such determination shall be conclusive absent manifest error).</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 Loan</w:t>
      </w:r>
      <w:r>
        <w:rPr>
          <w:rFonts w:ascii="Times New Roman" w:cs="Times New Roman" w:eastAsia="Times New Roman" w:hAnsi="Times New Roman"/>
          <w:sz w:val="22"/>
          <w:szCs w:val="22"/>
          <w:color w:val="auto"/>
        </w:rPr>
        <w:t>” means an Alternative Currency Daily Rate Loan or an Alternative Currency Term Rate Loan, as applicable.</w:t>
      </w:r>
    </w:p>
    <w:p>
      <w:pPr>
        <w:spacing w:after="0" w:line="158"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 Term Rate</w:t>
      </w:r>
      <w:r>
        <w:rPr>
          <w:rFonts w:ascii="Times New Roman" w:cs="Times New Roman" w:eastAsia="Times New Roman" w:hAnsi="Times New Roman"/>
          <w:sz w:val="22"/>
          <w:szCs w:val="22"/>
          <w:color w:val="auto"/>
        </w:rPr>
        <w:t>” means, for any Interest Period, with respect to any Credit Extension: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22" w:right="339" w:bottom="1440" w:gutter="0" w:footer="0" w:header="0"/>
        </w:sectPr>
      </w:pPr>
    </w:p>
    <w:bookmarkStart w:id="77" w:name="page78"/>
    <w:bookmarkEnd w:id="77"/>
    <w:p>
      <w:pPr>
        <w:jc w:val="both"/>
        <w:ind w:left="660" w:firstLine="644"/>
        <w:spacing w:after="0" w:line="220" w:lineRule="auto"/>
        <w:tabs>
          <w:tab w:leader="none" w:pos="1953"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denominated in Euros, the rate per annum equal to the Euro Interbank Offered Rate (“</w:t>
      </w:r>
      <w:r>
        <w:rPr>
          <w:rFonts w:ascii="Times New Roman" w:cs="Times New Roman" w:eastAsia="Times New Roman" w:hAnsi="Times New Roman"/>
          <w:sz w:val="22"/>
          <w:szCs w:val="22"/>
          <w:u w:val="single" w:color="auto"/>
          <w:color w:val="auto"/>
        </w:rPr>
        <w:t>EURIBOR</w:t>
      </w:r>
      <w:r>
        <w:rPr>
          <w:rFonts w:ascii="Times New Roman" w:cs="Times New Roman" w:eastAsia="Times New Roman" w:hAnsi="Times New Roman"/>
          <w:sz w:val="22"/>
          <w:szCs w:val="22"/>
          <w:color w:val="auto"/>
        </w:rPr>
        <w:t>”), as published on the applicable Reuters screen page (or such other commercially available source providing such quotations as may be designated by the Pro Rata Facilities Administrative Agent from time to time) on the day that is two TARGET Days preceding the first day of such Interest Period with a term equivalent to such Interest Period;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denominated in Canadian dollars, the rate per annum equal to the forward-looking term rate based on CORRA (“</w:t>
      </w:r>
      <w:r>
        <w:rPr>
          <w:rFonts w:ascii="Times New Roman" w:cs="Times New Roman" w:eastAsia="Times New Roman" w:hAnsi="Times New Roman"/>
          <w:sz w:val="22"/>
          <w:szCs w:val="22"/>
          <w:u w:val="single" w:color="auto"/>
          <w:color w:val="auto"/>
        </w:rPr>
        <w:t>Term CORRA Rate</w:t>
      </w:r>
      <w:r>
        <w:rPr>
          <w:rFonts w:ascii="Times New Roman" w:cs="Times New Roman" w:eastAsia="Times New Roman" w:hAnsi="Times New Roman"/>
          <w:sz w:val="22"/>
          <w:szCs w:val="22"/>
          <w:color w:val="auto"/>
        </w:rPr>
        <w:t>”), as published on the applicable Reuters screen page (or such other commercially available source providing such quotations as may be designated by the Pro Rata Facilities Administrative Agent from time to time) on the Rate Determination Date with a term equivalent to such Interest Period;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3"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denominated in Yen, the rate per annum equal to the Tokyo Interbank Offer Rate (“</w:t>
      </w:r>
      <w:r>
        <w:rPr>
          <w:rFonts w:ascii="Times New Roman" w:cs="Times New Roman" w:eastAsia="Times New Roman" w:hAnsi="Times New Roman"/>
          <w:sz w:val="22"/>
          <w:szCs w:val="22"/>
          <w:u w:val="single" w:color="auto"/>
          <w:color w:val="auto"/>
        </w:rPr>
        <w:t>TIBOR</w:t>
      </w:r>
      <w:r>
        <w:rPr>
          <w:rFonts w:ascii="Times New Roman" w:cs="Times New Roman" w:eastAsia="Times New Roman" w:hAnsi="Times New Roman"/>
          <w:sz w:val="22"/>
          <w:szCs w:val="22"/>
          <w:color w:val="auto"/>
        </w:rPr>
        <w:t>”), as published on the applicable Reuters screen page (or such other commercially available source providing such quotations as may be designated by the Pro Rata Facilities Administrative Agent from time to time) on the Rate Determination Date with a term equivalent to such Interest Period;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denominated in Australian Dollars, the rate per annum equal to the Bank Bill Swap Reference Bid Rate (“</w:t>
      </w:r>
      <w:r>
        <w:rPr>
          <w:rFonts w:ascii="Times New Roman" w:cs="Times New Roman" w:eastAsia="Times New Roman" w:hAnsi="Times New Roman"/>
          <w:sz w:val="22"/>
          <w:szCs w:val="22"/>
          <w:u w:val="single" w:color="auto"/>
          <w:color w:val="auto"/>
        </w:rPr>
        <w:t>BBSY</w:t>
      </w:r>
      <w:r>
        <w:rPr>
          <w:rFonts w:ascii="Times New Roman" w:cs="Times New Roman" w:eastAsia="Times New Roman" w:hAnsi="Times New Roman"/>
          <w:sz w:val="22"/>
          <w:szCs w:val="22"/>
          <w:color w:val="auto"/>
        </w:rPr>
        <w:t>”), as published on the applicable Reuters screen page (or such other commercially available source providing such quotations as may be designated by the Pro Rata Facilities Administrative Agent from time to time) on the Rate Determination Date with a term equivalent to such Interest Period;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6"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Pro Rata Facilities Administrative Agent and the relevant Lenders pursuant to </w:t>
      </w:r>
      <w:r>
        <w:rPr>
          <w:rFonts w:ascii="Times New Roman" w:cs="Times New Roman" w:eastAsia="Times New Roman" w:hAnsi="Times New Roman"/>
          <w:sz w:val="22"/>
          <w:szCs w:val="22"/>
          <w:u w:val="single" w:color="auto"/>
          <w:color w:val="auto"/>
        </w:rPr>
        <w:t>Section 1.06(a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adjustment (if any) determined by the Pro Rata Facilities Administrative Agent and the relevant Lenders pursuant to </w:t>
      </w:r>
      <w:r>
        <w:rPr>
          <w:rFonts w:ascii="Times New Roman" w:cs="Times New Roman" w:eastAsia="Times New Roman" w:hAnsi="Times New Roman"/>
          <w:sz w:val="22"/>
          <w:szCs w:val="22"/>
          <w:u w:val="single" w:color="auto"/>
          <w:color w:val="auto"/>
        </w:rPr>
        <w:t>Section 1.06(a)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8"/>
        <w:spacing w:after="0" w:line="271" w:lineRule="auto"/>
        <w:tabs>
          <w:tab w:leader="none" w:pos="64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if any Alternative Currency Term Rate shall be less than zero, such rate shall be deemed zero for purposes of this Agreement.</w:t>
      </w:r>
    </w:p>
    <w:p>
      <w:pPr>
        <w:spacing w:after="0" w:line="157" w:lineRule="exact"/>
        <w:rPr>
          <w:rFonts w:ascii="Times New Roman" w:cs="Times New Roman" w:eastAsia="Times New Roman" w:hAnsi="Times New Roman"/>
          <w:sz w:val="18"/>
          <w:szCs w:val="18"/>
          <w:color w:val="auto"/>
        </w:rPr>
      </w:pPr>
    </w:p>
    <w:p>
      <w:pPr>
        <w:ind w:firstLine="656"/>
        <w:spacing w:after="0" w:line="309" w:lineRule="auto"/>
        <w:tabs>
          <w:tab w:leader="none" w:pos="129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Term Rate Loan</w:t>
      </w:r>
      <w:r>
        <w:rPr>
          <w:rFonts w:ascii="Times New Roman" w:cs="Times New Roman" w:eastAsia="Times New Roman" w:hAnsi="Times New Roman"/>
          <w:sz w:val="21"/>
          <w:szCs w:val="21"/>
          <w:color w:val="auto"/>
        </w:rPr>
        <w:t>” means a Loan that bears interest at a rate based on the definition of “Alternative Currency Term Rate.” All Alternative Currency Term Rate Loans must be denominated in an Alternative Currency.</w:t>
      </w:r>
    </w:p>
    <w:p>
      <w:pPr>
        <w:spacing w:after="0" w:line="120" w:lineRule="exact"/>
        <w:rPr>
          <w:rFonts w:ascii="Times New Roman" w:cs="Times New Roman" w:eastAsia="Times New Roman" w:hAnsi="Times New Roman"/>
          <w:sz w:val="17"/>
          <w:szCs w:val="17"/>
          <w:color w:val="auto"/>
        </w:rPr>
      </w:pPr>
    </w:p>
    <w:p>
      <w:pPr>
        <w:ind w:right="20" w:firstLine="656"/>
        <w:spacing w:after="0" w:line="271"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1</w:t>
      </w:r>
      <w:r>
        <w:rPr>
          <w:rFonts w:ascii="Times New Roman" w:cs="Times New Roman" w:eastAsia="Times New Roman" w:hAnsi="Times New Roman"/>
          <w:sz w:val="22"/>
          <w:szCs w:val="22"/>
          <w:color w:val="auto"/>
        </w:rPr>
        <w:t>” means Amendment No. 1 to Credit Agreement, dated as of March 17, 2020, by and among the Borrowers, the Guarantors party thereto, the Lenders party thereto and the General Administrative Agent.</w:t>
      </w:r>
    </w:p>
    <w:p>
      <w:pPr>
        <w:spacing w:after="0" w:line="157" w:lineRule="exact"/>
        <w:rPr>
          <w:rFonts w:ascii="Times New Roman" w:cs="Times New Roman" w:eastAsia="Times New Roman" w:hAnsi="Times New Roman"/>
          <w:sz w:val="18"/>
          <w:szCs w:val="18"/>
          <w:color w:val="auto"/>
        </w:rPr>
      </w:pPr>
    </w:p>
    <w:p>
      <w:pPr>
        <w:ind w:firstLine="656"/>
        <w:spacing w:after="0" w:line="271"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2</w:t>
      </w:r>
      <w:r>
        <w:rPr>
          <w:rFonts w:ascii="Times New Roman" w:cs="Times New Roman" w:eastAsia="Times New Roman" w:hAnsi="Times New Roman"/>
          <w:sz w:val="22"/>
          <w:szCs w:val="22"/>
          <w:color w:val="auto"/>
        </w:rPr>
        <w:t>” means Amendment No. 2 to Credit Agreement (LIBOR Transition), dated as of December 10, 2021, by and among the Company and the General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5" w:right="339" w:bottom="1440" w:gutter="0" w:footer="0" w:header="0"/>
        </w:sectPr>
      </w:pPr>
    </w:p>
    <w:bookmarkStart w:id="78" w:name="page79"/>
    <w:bookmarkEnd w:id="78"/>
    <w:p>
      <w:pPr>
        <w:ind w:right="20" w:firstLine="656"/>
        <w:spacing w:after="0" w:line="271" w:lineRule="auto"/>
        <w:tabs>
          <w:tab w:leader="none" w:pos="12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3</w:t>
      </w:r>
      <w:r>
        <w:rPr>
          <w:rFonts w:ascii="Times New Roman" w:cs="Times New Roman" w:eastAsia="Times New Roman" w:hAnsi="Times New Roman"/>
          <w:sz w:val="22"/>
          <w:szCs w:val="22"/>
          <w:color w:val="auto"/>
        </w:rPr>
        <w:t>” means Amendment No. 3 to Credit Agreement, dated as of June 17, 2022, by and among the Borrowers, the Guarantors party thereto, the Lenders party thereto and the General Administrative Agent.</w:t>
      </w:r>
    </w:p>
    <w:p>
      <w:pPr>
        <w:spacing w:after="0" w:line="157" w:lineRule="exact"/>
        <w:rPr>
          <w:rFonts w:ascii="Times New Roman" w:cs="Times New Roman" w:eastAsia="Times New Roman" w:hAnsi="Times New Roman"/>
          <w:sz w:val="18"/>
          <w:szCs w:val="18"/>
          <w:color w:val="auto"/>
        </w:rPr>
      </w:pPr>
    </w:p>
    <w:p>
      <w:pPr>
        <w:ind w:firstLine="656"/>
        <w:spacing w:after="0" w:line="284" w:lineRule="auto"/>
        <w:tabs>
          <w:tab w:leader="none" w:pos="12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4</w:t>
      </w:r>
      <w:r>
        <w:rPr>
          <w:rFonts w:ascii="Times New Roman" w:cs="Times New Roman" w:eastAsia="Times New Roman" w:hAnsi="Times New Roman"/>
          <w:sz w:val="22"/>
          <w:szCs w:val="22"/>
          <w:color w:val="auto"/>
        </w:rPr>
        <w:t>” means Amendment No. 4 to Credit Agreement, dated as of April 10, 2026, by and among the Borrowers, the Guarantors party thereto, the Lenders party thereto and the General Administrative Agent.</w:t>
      </w:r>
    </w:p>
    <w:p>
      <w:pPr>
        <w:spacing w:after="0" w:line="14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4 Effective Date</w:t>
      </w:r>
      <w:r>
        <w:rPr>
          <w:rFonts w:ascii="Times New Roman" w:cs="Times New Roman" w:eastAsia="Times New Roman" w:hAnsi="Times New Roman"/>
          <w:sz w:val="22"/>
          <w:szCs w:val="22"/>
          <w:color w:val="auto"/>
        </w:rPr>
        <w:t>” has the meaning set forth in Amendment No. 4.</w:t>
      </w:r>
    </w:p>
    <w:p>
      <w:pPr>
        <w:spacing w:after="0" w:line="219" w:lineRule="exact"/>
        <w:rPr>
          <w:rFonts w:ascii="Times New Roman" w:cs="Times New Roman" w:eastAsia="Times New Roman" w:hAnsi="Times New Roman"/>
          <w:sz w:val="18"/>
          <w:szCs w:val="18"/>
          <w:color w:val="auto"/>
        </w:rPr>
      </w:pPr>
    </w:p>
    <w:p>
      <w:pPr>
        <w:jc w:val="both"/>
        <w:ind w:firstLine="656"/>
        <w:spacing w:after="0" w:line="257" w:lineRule="auto"/>
        <w:tabs>
          <w:tab w:leader="none" w:pos="12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5</w:t>
      </w:r>
      <w:r>
        <w:rPr>
          <w:rFonts w:ascii="Times New Roman" w:cs="Times New Roman" w:eastAsia="Times New Roman" w:hAnsi="Times New Roman"/>
          <w:sz w:val="22"/>
          <w:szCs w:val="22"/>
          <w:color w:val="auto"/>
        </w:rPr>
        <w:t>” means Amendment No. 5 to Credit Agreement, dated as of October 1, 2026, by and among the Borrowers, the Guarantors party thereto, the Lenders party thereto, the Term Loan B Administrative Agent and the General Administrative Agent.</w:t>
      </w:r>
    </w:p>
    <w:p>
      <w:pPr>
        <w:spacing w:after="0" w:line="186" w:lineRule="exact"/>
        <w:rPr>
          <w:rFonts w:ascii="Times New Roman" w:cs="Times New Roman" w:eastAsia="Times New Roman" w:hAnsi="Times New Roman"/>
          <w:sz w:val="18"/>
          <w:szCs w:val="18"/>
          <w:color w:val="auto"/>
        </w:rPr>
      </w:pPr>
    </w:p>
    <w:p>
      <w:pPr>
        <w:jc w:val="both"/>
        <w:ind w:firstLine="656"/>
        <w:spacing w:after="0" w:line="257" w:lineRule="auto"/>
        <w:tabs>
          <w:tab w:leader="none" w:pos="12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5 Arrangers</w:t>
      </w:r>
      <w:r>
        <w:rPr>
          <w:rFonts w:ascii="Times New Roman" w:cs="Times New Roman" w:eastAsia="Times New Roman" w:hAnsi="Times New Roman"/>
          <w:sz w:val="22"/>
          <w:szCs w:val="22"/>
          <w:color w:val="auto"/>
        </w:rPr>
        <w:t>” means JPMorgan Chase Bank, N.A., BofA Securities, Inc., Citibank, N.A., Citizens Bank, N.A., PNC Capital Markets LLC, TD Securities (USA) LLC, U.S. Bank National Association, Wells Fargo Securities, LLC, Deutsche Bank Securities Inc. and Morgan Stanley Senior Funding, Inc.</w:t>
      </w:r>
    </w:p>
    <w:p>
      <w:pPr>
        <w:spacing w:after="0" w:line="17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5 Effective Date</w:t>
      </w:r>
      <w:r>
        <w:rPr>
          <w:rFonts w:ascii="Times New Roman" w:cs="Times New Roman" w:eastAsia="Times New Roman" w:hAnsi="Times New Roman"/>
          <w:sz w:val="22"/>
          <w:szCs w:val="22"/>
          <w:color w:val="auto"/>
        </w:rPr>
        <w:t>” has the meaning set forth in Amendment No. 5.</w:t>
      </w: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ECF Percentage</w:t>
      </w:r>
      <w:r>
        <w:rPr>
          <w:rFonts w:ascii="Times New Roman" w:cs="Times New Roman" w:eastAsia="Times New Roman" w:hAnsi="Times New Roman"/>
          <w:sz w:val="20"/>
          <w:szCs w:val="20"/>
          <w:color w:val="auto"/>
        </w:rPr>
        <w:t>” means, for any fiscal year, (a) 50%, if the Consolidated Net Leverage Ratio as of the last day of such fiscal year is greater than 3.75 to 1.00, (b) 25%, if the Consolidated Net Leverage Ratio as of the last day of such fiscal year is less than or equal to 3.75 to 1.00 and greater than 3.25 to 1.00 and (c) 0%, if the Consolidated Net Leverage Ratio as of the last day of such fiscal year is less than or equal to 3.25 to 1.00.</w:t>
      </w:r>
    </w:p>
    <w:p>
      <w:pPr>
        <w:spacing w:after="0" w:line="194" w:lineRule="exact"/>
        <w:rPr>
          <w:sz w:val="20"/>
          <w:szCs w:val="20"/>
          <w:color w:val="auto"/>
        </w:rPr>
      </w:pPr>
    </w:p>
    <w:p>
      <w:pPr>
        <w:jc w:val="both"/>
        <w:ind w:firstLine="656"/>
        <w:spacing w:after="0" w:line="250" w:lineRule="auto"/>
        <w:tabs>
          <w:tab w:leader="none" w:pos="129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Facility Agent</w:t>
      </w:r>
      <w:r>
        <w:rPr>
          <w:rFonts w:ascii="Times New Roman" w:cs="Times New Roman" w:eastAsia="Times New Roman" w:hAnsi="Times New Roman"/>
          <w:sz w:val="22"/>
          <w:szCs w:val="22"/>
          <w:color w:val="auto"/>
        </w:rPr>
        <w:t>” means (a) with respect to the Term B Facility or the Term B Lenders, the Term Loan B Administrative Agent and (b) with respect to the Pro Rata Facilities, the Euro Term Lenders, the Revolving Credit Facility or the Revolving Credit Lenders, the Pro Rata Facilities Administrative Agent. If appropriate in the context, “Applicable Facility Agent” shall mean both the Term Loan B Administrative Agent and the Pro Rata Facilities Administrative Agent as their respective interests appear.</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Authority</w:t>
      </w:r>
      <w:r>
        <w:rPr>
          <w:rFonts w:ascii="Times New Roman" w:cs="Times New Roman" w:eastAsia="Times New Roman" w:hAnsi="Times New Roman"/>
          <w:sz w:val="22"/>
          <w:szCs w:val="22"/>
          <w:color w:val="auto"/>
        </w:rPr>
        <w:t>” means (a) with respect to Term SOFR, the CME or any successor administrator of the Term SOFR Screen Rate or a Governing Authority having jurisdiction over the applicable Administrative Agent or such administrator with respect to its publication of Term SOFR and (b) with respect to any Alternative Currency, the applicable administrator for the Relevant Rate for such Alternative Currency or any Governmental Authority having jurisdiction over the applicable Administrative Agent or such administrator with respect to its publication of the applicable Relevant Rate, in each case acting in such capacity.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Foreign Obligor Documents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5.23(a)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means (a) in respect of the Term Facilities, with respect to any Term Lender at any time, the percentage (carried out to the ninth decimal place) of such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79" w:name="page80"/>
    <w:bookmarkEnd w:id="79"/>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Facility represented by (i) on or prior to the Amendment No. 4 Effective Date (or, in the case of the Term B Facility, on or prior to the Amendment No. 5 Effective Date), such Term Lender’s Term Commitment under such Term Facility at such time, subject to adjustment as provided in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and (ii) thereafter, the principal amount of such Term Lender’s Term Loans under such Term Facility at such time and (b) in respect of the Revolving Credit Facility, with respect to any Revolving Credit Lender at any time, the percentage (carried out to the ninth decimal place) of the Revolving Credit Facility represented by such Revolving Credit Lender’s Revolving Credit Commitment at such time, subject to adjustment as provided in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If the commitment of each Revolving Credit Lender to make Revolving Credit Loans and the obligation of the L/C Issuer to make L/C Credit Extensions have been terminated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The initial Applicable Percentage of each Lender in respect of each Facility is set forth opposite the name of such Lender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or in the Assignment and Assumption pursuant to which such Lender becomes a party hereto, as applicable.</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Rate</w:t>
      </w:r>
      <w:r>
        <w:rPr>
          <w:rFonts w:ascii="Times New Roman" w:cs="Times New Roman" w:eastAsia="Times New Roman" w:hAnsi="Times New Roman"/>
          <w:sz w:val="21"/>
          <w:szCs w:val="21"/>
          <w:color w:val="auto"/>
        </w:rPr>
        <w:t xml:space="preserve">” means (i) in the case of Term B Loans, 1.750% per annum for Term SOFR Loans and 0.750% per annum for Base Rate Loans and (ii) in the case of the Pro Rata Facilities (a) from the Amendment No. 4 Effective Date to the date on which the Pro Rata Facilities Administrative Agent receives a Compliance Certificate pursuant to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for the fiscal quarter ending after the fiscal quarter in which the Amendment No. 4 Effective Date occurs, 0.250% per annum for Base Rate Loans, 1.250% per annum for Term SOFR Loans, Alternative Currency Daily Rate Loans, Alternative Currency Term Rate Loans, SOFR Daily Floating Rate Loans and Letter of Credit Fees and 0.175% per annum for Commitment Fees, and</w:t>
      </w:r>
    </w:p>
    <w:p>
      <w:pPr>
        <w:spacing w:after="0" w:line="3" w:lineRule="exact"/>
        <w:rPr>
          <w:sz w:val="20"/>
          <w:szCs w:val="20"/>
          <w:color w:val="auto"/>
        </w:rPr>
      </w:pPr>
    </w:p>
    <w:p>
      <w:pPr>
        <w:jc w:val="both"/>
        <w:ind w:firstLine="8"/>
        <w:spacing w:after="0" w:line="251" w:lineRule="auto"/>
        <w:tabs>
          <w:tab w:leader="none" w:pos="32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thereafter, the applicable percentage per annum set forth below determined by reference to the Consolidated Net Leverage Ratio as set forth in the most recent Compliance Certificate received by the Pro Rata Facilities Administrative Agent pursuant to </w:t>
      </w:r>
      <w:r>
        <w:rPr>
          <w:rFonts w:ascii="Times New Roman" w:cs="Times New Roman" w:eastAsia="Times New Roman" w:hAnsi="Times New Roman"/>
          <w:sz w:val="22"/>
          <w:szCs w:val="22"/>
          <w:u w:val="single" w:color="auto"/>
          <w:color w:val="auto"/>
        </w:rPr>
        <w:t>Section 6.02(b)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22" w:right="339" w:bottom="1440" w:gutter="0" w:footer="0" w:header="0"/>
        </w:sectPr>
      </w:pPr>
    </w:p>
    <w:bookmarkStart w:id="80" w:name="page81"/>
    <w:bookmarkEnd w:id="8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580" w:type="dxa"/>
            <w:vAlign w:val="bottom"/>
            <w:tcBorders>
              <w:top w:val="single" w:sz="8" w:color="auto"/>
              <w:left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3260" w:type="dxa"/>
            <w:vAlign w:val="bottom"/>
            <w:tcBorders>
              <w:top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rPr>
              <w:t>Applicable Rate</w:t>
            </w:r>
          </w:p>
        </w:tc>
        <w:tc>
          <w:tcPr>
            <w:tcW w:w="2040" w:type="dxa"/>
            <w:vAlign w:val="bottom"/>
            <w:tcBorders>
              <w:top w:val="single" w:sz="8" w:color="auto"/>
            </w:tcBorders>
          </w:tcPr>
          <w:p>
            <w:pPr>
              <w:spacing w:after="0"/>
              <w:rPr>
                <w:sz w:val="24"/>
                <w:szCs w:val="24"/>
                <w:color w:val="auto"/>
              </w:rPr>
            </w:pPr>
          </w:p>
        </w:tc>
        <w:tc>
          <w:tcPr>
            <w:tcW w:w="22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580" w:type="dxa"/>
            <w:vAlign w:val="bottom"/>
            <w:tcBorders>
              <w:left w:val="single" w:sz="8" w:color="auto"/>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2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580" w:type="dxa"/>
            <w:vAlign w:val="bottom"/>
            <w:tcBorders>
              <w:left w:val="single" w:sz="8" w:color="auto"/>
              <w:right w:val="single" w:sz="8" w:color="auto"/>
            </w:tcBorders>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Term SOFR Loans / Alternative</w:t>
            </w:r>
          </w:p>
        </w:tc>
        <w:tc>
          <w:tcPr>
            <w:tcW w:w="204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580" w:type="dxa"/>
            <w:vAlign w:val="bottom"/>
            <w:tcBorders>
              <w:left w:val="single" w:sz="8" w:color="auto"/>
              <w:right w:val="single" w:sz="8" w:color="auto"/>
            </w:tcBorders>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Currency Daily Rate Loans /</w:t>
            </w:r>
          </w:p>
        </w:tc>
        <w:tc>
          <w:tcPr>
            <w:tcW w:w="204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580" w:type="dxa"/>
            <w:vAlign w:val="bottom"/>
            <w:tcBorders>
              <w:left w:val="single" w:sz="8" w:color="auto"/>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Alternative Currency Term Rate Loans</w:t>
            </w:r>
          </w:p>
        </w:tc>
        <w:tc>
          <w:tcPr>
            <w:tcW w:w="20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580" w:type="dxa"/>
            <w:vAlign w:val="bottom"/>
            <w:tcBorders>
              <w:left w:val="single" w:sz="8" w:color="auto"/>
              <w:right w:val="single" w:sz="8" w:color="auto"/>
            </w:tcBorders>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 SOFR Daily Floating Rate Loans /</w:t>
            </w:r>
          </w:p>
        </w:tc>
        <w:tc>
          <w:tcPr>
            <w:tcW w:w="204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Pricing Level</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Consolidated Net</w:t>
            </w: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Euro Swing Line Rate Loans / Letters</w:t>
            </w:r>
          </w:p>
        </w:tc>
        <w:tc>
          <w:tcPr>
            <w:tcW w:w="2040" w:type="dxa"/>
            <w:vAlign w:val="bottom"/>
            <w:tcBorders>
              <w:right w:val="single" w:sz="8" w:color="auto"/>
            </w:tcBorders>
            <w:vMerge w:val="restart"/>
          </w:tcPr>
          <w:p>
            <w:pPr>
              <w:jc w:val="right"/>
              <w:ind w:right="261"/>
              <w:spacing w:after="0"/>
              <w:rPr>
                <w:sz w:val="20"/>
                <w:szCs w:val="20"/>
                <w:color w:val="auto"/>
              </w:rPr>
            </w:pPr>
            <w:r>
              <w:rPr>
                <w:rFonts w:ascii="Times New Roman" w:cs="Times New Roman" w:eastAsia="Times New Roman" w:hAnsi="Times New Roman"/>
                <w:sz w:val="20"/>
                <w:szCs w:val="20"/>
                <w:color w:val="auto"/>
              </w:rPr>
              <w:t>Base Rate Loans</w:t>
            </w:r>
          </w:p>
        </w:tc>
        <w:tc>
          <w:tcPr>
            <w:tcW w:w="2240" w:type="dxa"/>
            <w:vAlign w:val="bottom"/>
            <w:tcBorders>
              <w:right w:val="single" w:sz="8" w:color="auto"/>
            </w:tcBorders>
            <w:vMerge w:val="restart"/>
          </w:tcPr>
          <w:p>
            <w:pPr>
              <w:jc w:val="right"/>
              <w:ind w:right="341"/>
              <w:spacing w:after="0"/>
              <w:rPr>
                <w:sz w:val="20"/>
                <w:szCs w:val="20"/>
                <w:color w:val="auto"/>
              </w:rPr>
            </w:pPr>
            <w:r>
              <w:rPr>
                <w:rFonts w:ascii="Times New Roman" w:cs="Times New Roman" w:eastAsia="Times New Roman" w:hAnsi="Times New Roman"/>
                <w:sz w:val="20"/>
                <w:szCs w:val="20"/>
                <w:color w:val="auto"/>
              </w:rPr>
              <w:t>Commitment Fee</w:t>
            </w:r>
          </w:p>
        </w:tc>
        <w:tc>
          <w:tcPr>
            <w:tcW w:w="0" w:type="dxa"/>
            <w:vAlign w:val="bottom"/>
          </w:tcPr>
          <w:p>
            <w:pPr>
              <w:spacing w:after="0"/>
              <w:rPr>
                <w:sz w:val="1"/>
                <w:szCs w:val="1"/>
                <w:color w:val="auto"/>
              </w:rPr>
            </w:pPr>
          </w:p>
        </w:tc>
      </w:tr>
      <w:tr>
        <w:trPr>
          <w:trHeight w:val="270"/>
        </w:trPr>
        <w:tc>
          <w:tcPr>
            <w:tcW w:w="1580" w:type="dxa"/>
            <w:vAlign w:val="bottom"/>
            <w:tcBorders>
              <w:left w:val="single" w:sz="8" w:color="auto"/>
              <w:right w:val="single" w:sz="8" w:color="auto"/>
            </w:tcBorders>
            <w:vMerge w:val="continue"/>
          </w:tcPr>
          <w:p>
            <w:pPr>
              <w:spacing w:after="0"/>
              <w:rPr>
                <w:sz w:val="23"/>
                <w:szCs w:val="23"/>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Leverage Ratio</w:t>
            </w:r>
          </w:p>
        </w:tc>
        <w:tc>
          <w:tcPr>
            <w:tcW w:w="3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of Credit Fee</w:t>
            </w:r>
          </w:p>
        </w:tc>
        <w:tc>
          <w:tcPr>
            <w:tcW w:w="2040" w:type="dxa"/>
            <w:vAlign w:val="bottom"/>
            <w:tcBorders>
              <w:right w:val="single" w:sz="8" w:color="auto"/>
            </w:tcBorders>
            <w:vMerge w:val="continue"/>
          </w:tcPr>
          <w:p>
            <w:pPr>
              <w:spacing w:after="0"/>
              <w:rPr>
                <w:sz w:val="23"/>
                <w:szCs w:val="23"/>
                <w:color w:val="auto"/>
              </w:rPr>
            </w:pPr>
          </w:p>
        </w:tc>
        <w:tc>
          <w:tcPr>
            <w:tcW w:w="224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1580" w:type="dxa"/>
            <w:vAlign w:val="bottom"/>
            <w:tcBorders>
              <w:left w:val="single" w:sz="8" w:color="auto"/>
              <w:bottom w:val="single" w:sz="8" w:color="auto"/>
              <w:right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21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&gt; 3.50 to 1.00</w:t>
            </w:r>
          </w:p>
        </w:tc>
        <w:tc>
          <w:tcPr>
            <w:tcW w:w="3260" w:type="dxa"/>
            <w:vAlign w:val="bottom"/>
            <w:tcBorders>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1.750%</w:t>
            </w:r>
          </w:p>
        </w:tc>
        <w:tc>
          <w:tcPr>
            <w:tcW w:w="2040" w:type="dxa"/>
            <w:vAlign w:val="bottom"/>
            <w:tcBorders>
              <w:right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0.750%</w:t>
            </w:r>
          </w:p>
        </w:tc>
        <w:tc>
          <w:tcPr>
            <w:tcW w:w="224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0.275%</w:t>
            </w:r>
          </w:p>
        </w:tc>
        <w:tc>
          <w:tcPr>
            <w:tcW w:w="0" w:type="dxa"/>
            <w:vAlign w:val="bottom"/>
          </w:tcPr>
          <w:p>
            <w:pPr>
              <w:spacing w:after="0"/>
              <w:rPr>
                <w:sz w:val="1"/>
                <w:szCs w:val="1"/>
                <w:color w:val="auto"/>
              </w:rPr>
            </w:pPr>
          </w:p>
        </w:tc>
      </w:tr>
      <w:tr>
        <w:trPr>
          <w:trHeight w:val="102"/>
        </w:trPr>
        <w:tc>
          <w:tcPr>
            <w:tcW w:w="1580" w:type="dxa"/>
            <w:vAlign w:val="bottom"/>
            <w:tcBorders>
              <w:left w:val="single" w:sz="8" w:color="auto"/>
              <w:bottom w:val="single" w:sz="8" w:color="auto"/>
              <w:right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326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21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 3.50 to 1.00</w:t>
            </w:r>
          </w:p>
        </w:tc>
        <w:tc>
          <w:tcPr>
            <w:tcW w:w="32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8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but</w:t>
            </w:r>
          </w:p>
        </w:tc>
        <w:tc>
          <w:tcPr>
            <w:tcW w:w="3260" w:type="dxa"/>
            <w:vAlign w:val="bottom"/>
            <w:tcBorders>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1.500%</w:t>
            </w:r>
          </w:p>
        </w:tc>
        <w:tc>
          <w:tcPr>
            <w:tcW w:w="2040" w:type="dxa"/>
            <w:vAlign w:val="bottom"/>
            <w:tcBorders>
              <w:right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0.500%</w:t>
            </w:r>
          </w:p>
        </w:tc>
        <w:tc>
          <w:tcPr>
            <w:tcW w:w="224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0.225%</w:t>
            </w:r>
          </w:p>
        </w:tc>
        <w:tc>
          <w:tcPr>
            <w:tcW w:w="0" w:type="dxa"/>
            <w:vAlign w:val="bottom"/>
          </w:tcPr>
          <w:p>
            <w:pPr>
              <w:spacing w:after="0"/>
              <w:rPr>
                <w:sz w:val="1"/>
                <w:szCs w:val="1"/>
                <w:color w:val="auto"/>
              </w:rPr>
            </w:pPr>
          </w:p>
        </w:tc>
      </w:tr>
      <w:tr>
        <w:trPr>
          <w:trHeight w:val="297"/>
        </w:trPr>
        <w:tc>
          <w:tcPr>
            <w:tcW w:w="158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20"/>
                <w:szCs w:val="20"/>
                <w:color w:val="auto"/>
              </w:rPr>
              <w:t>&gt; 2.75 to 1.00</w:t>
            </w:r>
          </w:p>
        </w:tc>
        <w:tc>
          <w:tcPr>
            <w:tcW w:w="32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580" w:type="dxa"/>
            <w:vAlign w:val="bottom"/>
            <w:tcBorders>
              <w:left w:val="single" w:sz="8" w:color="auto"/>
              <w:bottom w:val="single" w:sz="8" w:color="auto"/>
              <w:right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326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21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 2.75 to 1.00</w:t>
            </w:r>
          </w:p>
        </w:tc>
        <w:tc>
          <w:tcPr>
            <w:tcW w:w="32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8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but</w:t>
            </w:r>
          </w:p>
        </w:tc>
        <w:tc>
          <w:tcPr>
            <w:tcW w:w="3260" w:type="dxa"/>
            <w:vAlign w:val="bottom"/>
            <w:tcBorders>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1.250%</w:t>
            </w:r>
          </w:p>
        </w:tc>
        <w:tc>
          <w:tcPr>
            <w:tcW w:w="2040" w:type="dxa"/>
            <w:vAlign w:val="bottom"/>
            <w:tcBorders>
              <w:right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0.250%</w:t>
            </w:r>
          </w:p>
        </w:tc>
        <w:tc>
          <w:tcPr>
            <w:tcW w:w="224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0.175%</w:t>
            </w:r>
          </w:p>
        </w:tc>
        <w:tc>
          <w:tcPr>
            <w:tcW w:w="0" w:type="dxa"/>
            <w:vAlign w:val="bottom"/>
          </w:tcPr>
          <w:p>
            <w:pPr>
              <w:spacing w:after="0"/>
              <w:rPr>
                <w:sz w:val="1"/>
                <w:szCs w:val="1"/>
                <w:color w:val="auto"/>
              </w:rPr>
            </w:pPr>
          </w:p>
        </w:tc>
      </w:tr>
      <w:tr>
        <w:trPr>
          <w:trHeight w:val="297"/>
        </w:trPr>
        <w:tc>
          <w:tcPr>
            <w:tcW w:w="158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&gt; 2.00 to 1.00</w:t>
            </w:r>
          </w:p>
        </w:tc>
        <w:tc>
          <w:tcPr>
            <w:tcW w:w="32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580" w:type="dxa"/>
            <w:vAlign w:val="bottom"/>
            <w:tcBorders>
              <w:left w:val="single" w:sz="8" w:color="auto"/>
              <w:bottom w:val="single" w:sz="8" w:color="auto"/>
              <w:right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326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21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 2.00 to 1.00</w:t>
            </w:r>
          </w:p>
        </w:tc>
        <w:tc>
          <w:tcPr>
            <w:tcW w:w="32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8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but</w:t>
            </w:r>
          </w:p>
        </w:tc>
        <w:tc>
          <w:tcPr>
            <w:tcW w:w="3260" w:type="dxa"/>
            <w:vAlign w:val="bottom"/>
            <w:tcBorders>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1.125%</w:t>
            </w:r>
          </w:p>
        </w:tc>
        <w:tc>
          <w:tcPr>
            <w:tcW w:w="2040" w:type="dxa"/>
            <w:vAlign w:val="bottom"/>
            <w:tcBorders>
              <w:right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0.125%</w:t>
            </w:r>
          </w:p>
        </w:tc>
        <w:tc>
          <w:tcPr>
            <w:tcW w:w="224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0.150%</w:t>
            </w:r>
          </w:p>
        </w:tc>
        <w:tc>
          <w:tcPr>
            <w:tcW w:w="0" w:type="dxa"/>
            <w:vAlign w:val="bottom"/>
          </w:tcPr>
          <w:p>
            <w:pPr>
              <w:spacing w:after="0"/>
              <w:rPr>
                <w:sz w:val="1"/>
                <w:szCs w:val="1"/>
                <w:color w:val="auto"/>
              </w:rPr>
            </w:pPr>
          </w:p>
        </w:tc>
      </w:tr>
      <w:tr>
        <w:trPr>
          <w:trHeight w:val="297"/>
        </w:trPr>
        <w:tc>
          <w:tcPr>
            <w:tcW w:w="158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&gt; 1.25 to 1.00</w:t>
            </w:r>
          </w:p>
        </w:tc>
        <w:tc>
          <w:tcPr>
            <w:tcW w:w="32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580" w:type="dxa"/>
            <w:vAlign w:val="bottom"/>
            <w:tcBorders>
              <w:left w:val="single" w:sz="8" w:color="auto"/>
              <w:bottom w:val="single" w:sz="8" w:color="auto"/>
              <w:right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326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214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 1.25 to 1.00</w:t>
            </w:r>
          </w:p>
        </w:tc>
        <w:tc>
          <w:tcPr>
            <w:tcW w:w="3260" w:type="dxa"/>
            <w:vAlign w:val="bottom"/>
            <w:tcBorders>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1.000%</w:t>
            </w:r>
          </w:p>
        </w:tc>
        <w:tc>
          <w:tcPr>
            <w:tcW w:w="2040" w:type="dxa"/>
            <w:vAlign w:val="bottom"/>
            <w:tcBorders>
              <w:right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0.000%</w:t>
            </w:r>
          </w:p>
        </w:tc>
        <w:tc>
          <w:tcPr>
            <w:tcW w:w="2240" w:type="dxa"/>
            <w:vAlign w:val="bottom"/>
            <w:tcBorders>
              <w:right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0.125%</w:t>
            </w:r>
          </w:p>
        </w:tc>
        <w:tc>
          <w:tcPr>
            <w:tcW w:w="0" w:type="dxa"/>
            <w:vAlign w:val="bottom"/>
          </w:tcPr>
          <w:p>
            <w:pPr>
              <w:spacing w:after="0"/>
              <w:rPr>
                <w:sz w:val="1"/>
                <w:szCs w:val="1"/>
                <w:color w:val="auto"/>
              </w:rPr>
            </w:pPr>
          </w:p>
        </w:tc>
      </w:tr>
      <w:tr>
        <w:trPr>
          <w:trHeight w:val="102"/>
        </w:trPr>
        <w:tc>
          <w:tcPr>
            <w:tcW w:w="1580" w:type="dxa"/>
            <w:vAlign w:val="bottom"/>
            <w:tcBorders>
              <w:left w:val="single" w:sz="8" w:color="auto"/>
              <w:bottom w:val="single" w:sz="8" w:color="auto"/>
              <w:right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326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1"/>
          <w:szCs w:val="21"/>
          <w:color w:val="auto"/>
        </w:rPr>
        <w:t xml:space="preserve">Any increase or decrease in the Applicable Rate resulting from a change in the Consolidated Net Leverage Ratio shall become effective as of the first Business Day immediately following the date a Compliance Certificate is delivered pursuant to </w:t>
      </w:r>
      <w:r>
        <w:rPr>
          <w:rFonts w:ascii="Times New Roman" w:cs="Times New Roman" w:eastAsia="Times New Roman" w:hAnsi="Times New Roman"/>
          <w:sz w:val="21"/>
          <w:szCs w:val="21"/>
          <w:u w:val="single" w:color="auto"/>
          <w:color w:val="auto"/>
        </w:rPr>
        <w:t>Section 6.02(b)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Compliance Certificate is not delivered when due in accordance with such Section, then, upon the request of the Required U.S. Term Lenders (with respect to application to the U.S. Term Facility), the Required Euro Term Lenders (with respect to application to the Euro Term Facility) or the Required Revolving Lenders (with respect to application to the Revolving Credit Facility), Pricing Level 1 shall apply in respect of the applicable Term Facility and/or the Revolving Credit Facility, as applicable, in each case as of the first Business Day after the date on which such Compliance Certificate was required to have been delivered and in each case shall remain in effect until the date on which such Compliance Certificate is delivered.</w:t>
      </w:r>
    </w:p>
    <w:p>
      <w:pPr>
        <w:spacing w:after="0" w:line="20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60"/>
          </w:cols>
          <w:pgMar w:left="320" w:top="1440" w:right="319" w:bottom="1440" w:gutter="0" w:footer="0" w:header="0"/>
        </w:sectPr>
      </w:pPr>
    </w:p>
    <w:bookmarkStart w:id="81" w:name="page82"/>
    <w:bookmarkEnd w:id="81"/>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Revolving Credit Percentage</w:t>
      </w:r>
      <w:r>
        <w:rPr>
          <w:rFonts w:ascii="Times New Roman" w:cs="Times New Roman" w:eastAsia="Times New Roman" w:hAnsi="Times New Roman"/>
          <w:sz w:val="22"/>
          <w:szCs w:val="22"/>
          <w:color w:val="auto"/>
        </w:rPr>
        <w:t>” means with respect to any Revolving Credit Lender at any time, such Revolving Credit Lender’s Applicable Percentage in respect of the Revolving Credit Facility at such time.</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Time</w:t>
      </w:r>
      <w:r>
        <w:rPr>
          <w:rFonts w:ascii="Times New Roman" w:cs="Times New Roman" w:eastAsia="Times New Roman" w:hAnsi="Times New Roman"/>
          <w:sz w:val="22"/>
          <w:szCs w:val="22"/>
          <w:color w:val="auto"/>
        </w:rPr>
        <w:t>” means, with respect to any borrowings and payments in any Alternative Currency (including the Euro Term Loan Facility), the local time in the place of settlement for such Alternative Currency as may be determined by the Pro Rata Facilities Administrative Agent or the L/C Issuer, as the case may be, with notice of such to be given to the Borrowers when applicable, to be necessary for timely settlement on the relevant date in accordance with normal banking procedures in the place of payment.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Applicant Borrower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Appropriate Lender</w:t>
      </w:r>
      <w:r>
        <w:rPr>
          <w:rFonts w:ascii="Times New Roman" w:cs="Times New Roman" w:eastAsia="Times New Roman" w:hAnsi="Times New Roman"/>
          <w:sz w:val="21"/>
          <w:szCs w:val="21"/>
          <w:color w:val="auto"/>
        </w:rPr>
        <w:t>” means, at any time, (a) with respect to the U.S. Term Facility, the Euro Term Facility, the Revolving Credit Facility or Term B Facility, a Lender that has a Commitment with respect to such Facility or holds a Term Loan under such Term Facility or a Revolving Credit Loan, respectively, at such time, (b) with respect to the Letter of Credit Sublimit,</w:t>
      </w:r>
    </w:p>
    <w:p>
      <w:pPr>
        <w:spacing w:after="0" w:line="3"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L/C Issuer and (ii) if any Letters of Credit have been issued pursuant to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 the Revolving Credit Lenders and</w:t>
      </w:r>
    </w:p>
    <w:p>
      <w:pPr>
        <w:spacing w:after="0" w:line="15" w:lineRule="exact"/>
        <w:rPr>
          <w:rFonts w:ascii="Times New Roman" w:cs="Times New Roman" w:eastAsia="Times New Roman" w:hAnsi="Times New Roman"/>
          <w:sz w:val="21"/>
          <w:szCs w:val="21"/>
          <w:color w:val="auto"/>
        </w:rPr>
      </w:pPr>
    </w:p>
    <w:p>
      <w:pPr>
        <w:ind w:firstLine="8"/>
        <w:spacing w:after="0" w:line="248" w:lineRule="auto"/>
        <w:tabs>
          <w:tab w:leader="none" w:pos="33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Swing Line Sublimit, (i) each Swing Line Lender and (ii) if any Swing Line Loans are outstanding pursuant to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 the Revolving Credit Lenders.</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that is administered or managed by (a) a Lender, (b) an Affiliate of a Lender or (c) an entity or an Affiliate of an entity that administers or manages a Lender.</w:t>
      </w:r>
    </w:p>
    <w:p>
      <w:pPr>
        <w:spacing w:after="0" w:line="15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Arrangers</w:t>
      </w:r>
      <w:r>
        <w:rPr>
          <w:rFonts w:ascii="Times New Roman" w:cs="Times New Roman" w:eastAsia="Times New Roman" w:hAnsi="Times New Roman"/>
          <w:sz w:val="21"/>
          <w:szCs w:val="21"/>
          <w:color w:val="auto"/>
        </w:rPr>
        <w:t>” means, collectively, (i) BofA Securities, Inc., JPMorgan Chase Bank, N.A., PNC Capital Markets LLC, Wells Fargo Securities, LLC, Citibank, N.A., Citizens Bank, N.A., TD Securities (USA) LLC and U.S. Bank National Association and (ii) the Amendment No. 5 Arrangers, in their respective capacities as joint lead arrangers and joint bookrunners.</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 xml:space="preserve">), and accepted by the Applicable Facility Agent, in substantially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or any other form (including electronic documentation generated by use of an electronic platform) approved by the Applicable Facility Agent.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Attributable Indebtedness</w:t>
      </w:r>
      <w:r>
        <w:rPr>
          <w:rFonts w:ascii="Times New Roman" w:cs="Times New Roman" w:eastAsia="Times New Roman" w:hAnsi="Times New Roman"/>
          <w:sz w:val="22"/>
          <w:szCs w:val="22"/>
          <w:color w:val="auto"/>
        </w:rPr>
        <w:t>” 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22" w:right="339" w:bottom="1440" w:gutter="0" w:footer="0" w:header="0"/>
        </w:sectPr>
      </w:pPr>
    </w:p>
    <w:bookmarkStart w:id="82" w:name="page83"/>
    <w:bookmarkEnd w:id="82"/>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Audited Financial Statements</w:t>
      </w:r>
      <w:r>
        <w:rPr>
          <w:rFonts w:ascii="Times New Roman" w:cs="Times New Roman" w:eastAsia="Times New Roman" w:hAnsi="Times New Roman"/>
          <w:sz w:val="22"/>
          <w:szCs w:val="22"/>
          <w:color w:val="auto"/>
        </w:rPr>
        <w:t>” means the audited consolidated balance sheets of the Company and its consolidated Subsidiaries as at the end of, and related statements of income and cash flows of the Company and its consolidated Subsidiaries for, the fiscal years ended December 31, 2023, December 31, 2024 and December 31, 2025.</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Auto-Extension Letter of Credit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2.03(b)(iii)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Availability Period</w:t>
      </w:r>
      <w:r>
        <w:rPr>
          <w:rFonts w:ascii="Times New Roman" w:cs="Times New Roman" w:eastAsia="Times New Roman" w:hAnsi="Times New Roman"/>
          <w:sz w:val="21"/>
          <w:szCs w:val="21"/>
          <w:color w:val="auto"/>
        </w:rPr>
        <w:t xml:space="preserve">” means in respect of the Revolving Credit Facility, the period from and including the Amendment No. 4 Effective Date to the earliest of (i) the Maturity Date for the Revolving Credit Facility, (ii) the date of termination of the Revolving Credit Commitments pursuant to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and (iii) the date of termination of the commitment of each Revolving Credit Lender to make Revolving Credit Loans and of the obligation of the L/C Issuer to make L/C Credit Extensions pursuant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of America</w:t>
      </w:r>
      <w:r>
        <w:rPr>
          <w:rFonts w:ascii="Times New Roman" w:cs="Times New Roman" w:eastAsia="Times New Roman" w:hAnsi="Times New Roman"/>
          <w:sz w:val="22"/>
          <w:szCs w:val="22"/>
          <w:color w:val="auto"/>
        </w:rPr>
        <w:t>” means Bank of America, N.A. and its successors.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for any day a fluctuating rate of interest per annum equal to the highest of (a) the Federal Funds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1/2 of 1% (b) the rate of interest in effect for such day as publicly announced from time to time by, in the case of the Pro Rata Facilities, Bank of America and, in the case of the Term B Facility, the Term Loan B Administrative Agent, as its “prime rate” and (c) Term SOFR for such day plus 1.00%. The “prime rate” is a rate set by Bank of America and JPM based upon various factors including Bank of America’s and JPM’s costs and desired return, general economic conditions and other factors, and is used as a reference point for pricing some loans, which may be priced at, above, or below such announced rate. Any change in such rate announced by Bank of America or JPM shall take effect at the opening of business on the day specified in the public announcement of such change. If the Base Rate is being used as an alternative rate of interest pursuant to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hereof, then the Base Rate shall be the greater of clauses (a) and (b) above and shall be determined without reference to clause (c) above.</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a Revolving Credit Loan or a Term Loan that bears interest based on the Base Rate. All Base Rate Loans shall be denominated in Dollars.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Basic ESTR</w:t>
      </w:r>
      <w:r>
        <w:rPr>
          <w:rFonts w:ascii="Times New Roman" w:cs="Times New Roman" w:eastAsia="Times New Roman" w:hAnsi="Times New Roman"/>
          <w:sz w:val="22"/>
          <w:szCs w:val="22"/>
          <w:color w:val="auto"/>
        </w:rPr>
        <w:t>” means, in relation to any day, ESTR for that day, and if that rate is less than zero, Basic ESTR shall be deemed to be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22" w:right="339" w:bottom="1440" w:gutter="0" w:footer="0" w:header="0"/>
        </w:sectPr>
      </w:pPr>
    </w:p>
    <w:bookmarkStart w:id="83" w:name="page84"/>
    <w:bookmarkEnd w:id="83"/>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required by the Beneficial Ownership Regulation.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10.23(b)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Bilateral Foreign Facility Lender</w:t>
      </w:r>
      <w:r>
        <w:rPr>
          <w:rFonts w:ascii="Times New Roman" w:cs="Times New Roman" w:eastAsia="Times New Roman" w:hAnsi="Times New Roman"/>
          <w:sz w:val="21"/>
          <w:szCs w:val="21"/>
          <w:color w:val="auto"/>
        </w:rPr>
        <w:t xml:space="preserve">” means any Person that either (a) at the time it enters into a Bilateral Foreign Loan Facility permitted under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is a Lender or an Affiliate of a Lender or (b) is a party to a Bilateral Foreign Loan Facility permitted under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at the time it (or its applicable Affiliate) becomes a Lender (either on the Amendment No. 4 Effective Date or thereafter as an Eligible Assignee), in each case in its capacity as a party to such Bilateral Foreign Loan Facility.</w:t>
      </w:r>
    </w:p>
    <w:p>
      <w:pPr>
        <w:spacing w:after="0" w:line="16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Bilateral Foreign Loan Facility</w:t>
      </w:r>
      <w:r>
        <w:rPr>
          <w:rFonts w:ascii="Times New Roman" w:cs="Times New Roman" w:eastAsia="Times New Roman" w:hAnsi="Times New Roman"/>
          <w:sz w:val="22"/>
          <w:szCs w:val="22"/>
          <w:color w:val="auto"/>
        </w:rPr>
        <w:t xml:space="preserve">” means any bilateral credit facility provided by a Bilateral Foreign Facility Lender to a Foreign Subsidiary that is not a Foreign Obligor, so long as permitted by </w:t>
      </w:r>
      <w:r>
        <w:rPr>
          <w:rFonts w:ascii="Times New Roman" w:cs="Times New Roman" w:eastAsia="Times New Roman" w:hAnsi="Times New Roman"/>
          <w:sz w:val="22"/>
          <w:szCs w:val="22"/>
          <w:u w:val="single" w:color="auto"/>
          <w:color w:val="auto"/>
        </w:rPr>
        <w:t>Section 7.02(j)</w:t>
      </w:r>
      <w:r>
        <w:rPr>
          <w:rFonts w:ascii="Times New Roman" w:cs="Times New Roman" w:eastAsia="Times New Roman" w:hAnsi="Times New Roman"/>
          <w:sz w:val="22"/>
          <w:szCs w:val="22"/>
          <w:color w:val="auto"/>
        </w:rPr>
        <w:t xml:space="preserve"> and the Company and the Bilateral Foreign Facility Lender have given notice to the Pro Rata Facilities Administrative Agent that they intend such credit facility to constitute a Bilateral Foreign Loan Facility and has not rescinded such notice.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BofA Europe</w:t>
      </w:r>
      <w:r>
        <w:rPr>
          <w:rFonts w:ascii="Times New Roman" w:cs="Times New Roman" w:eastAsia="Times New Roman" w:hAnsi="Times New Roman"/>
          <w:sz w:val="22"/>
          <w:szCs w:val="22"/>
          <w:color w:val="auto"/>
        </w:rPr>
        <w:t>” has the meaning specified in the introductory paragraph hereto.</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has the meaning specified in the introductory paragraph hereto and shall mean the applicable Borrower, as the context may require.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Revolving Credit Borrowing, a Swing Line Borrowing or a Term Borrowing, as the context may require.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any day other than a Saturday, Sunday or other day on which commercial banks are authorized to close under the Laws of, or are in fact closed in, the state where the Administrative Agent’s Office is located;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31" w:lineRule="exact"/>
        <w:rPr>
          <w:sz w:val="20"/>
          <w:szCs w:val="20"/>
          <w:color w:val="auto"/>
        </w:rPr>
      </w:pPr>
    </w:p>
    <w:p>
      <w:pPr>
        <w:jc w:val="both"/>
        <w:ind w:left="660" w:firstLine="644"/>
        <w:spacing w:after="0" w:line="217" w:lineRule="auto"/>
        <w:tabs>
          <w:tab w:leader="none" w:pos="195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interest rate settings as to an Alternative Currency Loan or Euro Swing Line Rate Loan denominated in Euro, any fundings, disbursements, settlements and payments in Euro in respect of any such Alternative Currency Loan or Euro Swing Line Rate Loan, or any other dealings in Euro to be carried out pursuant to this Agreement in respect of any such Alternative Currency Loan or Euro Swing Line Rate Loan, means a Business Day that is also a TARGET Day;</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interest rate settings as to an Alternative Currency Loan denominated in (i) Sterling, means a day other than a day banks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22" w:right="339" w:bottom="1440" w:gutter="0" w:footer="0" w:header="0"/>
        </w:sectPr>
      </w:pPr>
    </w:p>
    <w:bookmarkStart w:id="84" w:name="page85"/>
    <w:bookmarkEnd w:id="84"/>
    <w:p>
      <w:pPr>
        <w:ind w:left="660"/>
        <w:spacing w:after="0" w:line="236" w:lineRule="auto"/>
        <w:rPr>
          <w:sz w:val="20"/>
          <w:szCs w:val="20"/>
          <w:color w:val="auto"/>
        </w:rPr>
      </w:pPr>
      <w:r>
        <w:rPr>
          <w:rFonts w:ascii="Times New Roman" w:cs="Times New Roman" w:eastAsia="Times New Roman" w:hAnsi="Times New Roman"/>
          <w:sz w:val="22"/>
          <w:szCs w:val="22"/>
          <w:color w:val="auto"/>
        </w:rPr>
        <w:t>closed for general business in London because such day is a Saturday, Sunday or a legal holiday under the laws of the United Kingdom; and (ii) Yen, means a day other than when banks are closed for general business in Japan;</w:t>
      </w:r>
    </w:p>
    <w:p>
      <w:pPr>
        <w:spacing w:after="0" w:line="150" w:lineRule="exact"/>
        <w:rPr>
          <w:sz w:val="20"/>
          <w:szCs w:val="20"/>
          <w:color w:val="auto"/>
        </w:rPr>
      </w:pPr>
    </w:p>
    <w:p>
      <w:pPr>
        <w:jc w:val="both"/>
        <w:ind w:left="660" w:firstLine="644"/>
        <w:spacing w:after="0" w:line="225" w:lineRule="auto"/>
        <w:tabs>
          <w:tab w:leader="none" w:pos="19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interest rate settings as to an Alternative Currency Loan denominated in a currency other than Euro, Sterling, or Yen, means any such day on which dealings in deposits in the relevant currency are conducted by and between banks in the applicable offshore interbank market for such currency;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Leases</w:t>
      </w:r>
      <w:r>
        <w:rPr>
          <w:rFonts w:ascii="Times New Roman" w:cs="Times New Roman" w:eastAsia="Times New Roman" w:hAnsi="Times New Roman"/>
          <w:sz w:val="22"/>
          <w:szCs w:val="22"/>
          <w:color w:val="auto"/>
        </w:rPr>
        <w:t>” means all leases that have been or should be, in accordance with GAAP, recorded as financing leases (but, for the avoidance of doubt, excluding operating leases whether or not the obligations in respect thereof appear on the balance sheet).</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means to pledge and deposit with or deliver to the Pro Rata Facilities Administrative Agent, for the benefit of one or more of the L/C Issuer or Swing Line Lender (as applicable) and the Revolving Credit Lenders, as collateral for L/C Obligations, Obligations in respect of Swing Line Loans, or obligations of Revolving Credit Lenders to fund participations in respect of either thereof (as the context may require), cash or deposit account balances or, if the Pro Rata Facilities Administrative Agent, the L/C Issuer or Swing Line Lender shall agree in their sole discretion, other credit support, in each case pursuant to documentation in form and substance satisfactory to (a) the Pro Rata Facilities Administrative Agent and (b) the L/C Issuer or the Swing Line Lender (as applicable). “Cash Collateral” shall have a meaning correlative to the foregoing and shall include the proceeds of such cash collateral and other credit support.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any of the following types of Investments, to the extent owned by the Company or any of 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Subsidiaries free and clear of all Liens (other than Liens created under the Collateral Documents):</w:t>
      </w:r>
    </w:p>
    <w:p>
      <w:pPr>
        <w:spacing w:after="0" w:line="196" w:lineRule="exact"/>
        <w:rPr>
          <w:sz w:val="20"/>
          <w:szCs w:val="20"/>
          <w:color w:val="auto"/>
        </w:rPr>
      </w:pPr>
    </w:p>
    <w:p>
      <w:pPr>
        <w:jc w:val="both"/>
        <w:ind w:left="660" w:firstLine="644"/>
        <w:spacing w:after="0" w:line="263" w:lineRule="auto"/>
        <w:tabs>
          <w:tab w:leader="none" w:pos="1872"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full faith and credit of the United States of America is pledged in support thereof;</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time deposits with, or insured certificates of deposit or bankers’ acceptances of, any commercial bank that (i)</w:t>
      </w:r>
    </w:p>
    <w:p>
      <w:pPr>
        <w:spacing w:after="0" w:line="39" w:lineRule="exact"/>
        <w:rPr>
          <w:rFonts w:ascii="Times New Roman" w:cs="Times New Roman" w:eastAsia="Times New Roman" w:hAnsi="Times New Roman"/>
          <w:sz w:val="21"/>
          <w:szCs w:val="21"/>
          <w:color w:val="auto"/>
        </w:rPr>
      </w:pPr>
    </w:p>
    <w:p>
      <w:pPr>
        <w:jc w:val="both"/>
        <w:ind w:left="660" w:hanging="4"/>
        <w:spacing w:after="0" w:line="249" w:lineRule="auto"/>
        <w:tabs>
          <w:tab w:leader="none" w:pos="103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95" w:right="339" w:bottom="1440" w:gutter="0" w:footer="0" w:header="0"/>
        </w:sectPr>
      </w:pPr>
    </w:p>
    <w:bookmarkStart w:id="85" w:name="page86"/>
    <w:bookmarkEnd w:id="85"/>
    <w:p>
      <w:pPr>
        <w:ind w:left="660" w:right="20"/>
        <w:spacing w:after="0" w:line="271" w:lineRule="auto"/>
        <w:rPr>
          <w:sz w:val="20"/>
          <w:szCs w:val="20"/>
          <w:color w:val="auto"/>
        </w:rPr>
      </w:pPr>
      <w:r>
        <w:rPr>
          <w:rFonts w:ascii="Times New Roman" w:cs="Times New Roman" w:eastAsia="Times New Roman" w:hAnsi="Times New Roman"/>
          <w:sz w:val="22"/>
          <w:szCs w:val="22"/>
          <w:color w:val="auto"/>
        </w:rPr>
        <w:t>commercial paper rated as described in clause (c) of this definition and (iii) has combined capital and surplus of at least $1,000,000,000, in each case with maturities of not more than 180 days from the date of acquisition thereof;</w:t>
      </w:r>
    </w:p>
    <w:p>
      <w:pPr>
        <w:spacing w:after="0" w:line="158" w:lineRule="exact"/>
        <w:rPr>
          <w:sz w:val="20"/>
          <w:szCs w:val="20"/>
          <w:color w:val="auto"/>
        </w:rPr>
      </w:pPr>
    </w:p>
    <w:p>
      <w:pPr>
        <w:jc w:val="both"/>
        <w:ind w:left="660" w:firstLine="644"/>
        <w:spacing w:after="0" w:line="263" w:lineRule="auto"/>
        <w:tabs>
          <w:tab w:leader="none" w:pos="191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77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classified in accordance with GAAP as current assets of the Company or any of its Subsidiaries, in money market investment programs registered under the Investment Company Act of 1940, which are administered by financial institutions rated at least “Prime-1” (or the then equivalent grade) by Moody’s or at least “A-1” (or the then equivalent grade) by S&amp;P, and the portfolios of which are limited solely to Investments of the character, quality and maturity described in clauses (a), (b) and (c) of this definition; and</w:t>
      </w:r>
    </w:p>
    <w:p>
      <w:pPr>
        <w:spacing w:after="0" w:line="178"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of Persons in jurisdictions outside of the United States which are similar or comparable to the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foregoing.</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Agreement</w:t>
      </w:r>
      <w:r>
        <w:rPr>
          <w:rFonts w:ascii="Times New Roman" w:cs="Times New Roman" w:eastAsia="Times New Roman" w:hAnsi="Times New Roman"/>
          <w:sz w:val="22"/>
          <w:szCs w:val="22"/>
          <w:color w:val="auto"/>
        </w:rPr>
        <w:t>” means any agreement to provide cash management services, including treasury, depository, overdraft, credit or debit card, electronic funds transfer and other cash management arrangements.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Bank</w:t>
      </w:r>
      <w:r>
        <w:rPr>
          <w:rFonts w:ascii="Times New Roman" w:cs="Times New Roman" w:eastAsia="Times New Roman" w:hAnsi="Times New Roman"/>
          <w:sz w:val="22"/>
          <w:szCs w:val="22"/>
          <w:color w:val="auto"/>
        </w:rPr>
        <w:t>” means any Person that either (a) at the time it enters into a Cash Management Agreement, is a Lender or an Affiliate of a Lender or (b) is a party to a Cash Management Agreement at the time it (or its applicable Affiliate) becomes a Lender (either on the Amendment No. 4 Effective Date or thereafter as an Eligible Assignee), in each case in its capacity as a party to such Cash Management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CERCLA</w:t>
      </w:r>
      <w:r>
        <w:rPr>
          <w:rFonts w:ascii="Times New Roman" w:cs="Times New Roman" w:eastAsia="Times New Roman" w:hAnsi="Times New Roman"/>
          <w:sz w:val="22"/>
          <w:szCs w:val="22"/>
          <w:color w:val="auto"/>
        </w:rPr>
        <w:t>” means the Comprehensive Environmental Response, Compensation and Liability Act of 1980.</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CERCLIS</w:t>
      </w:r>
      <w:r>
        <w:rPr>
          <w:rFonts w:ascii="Times New Roman" w:cs="Times New Roman" w:eastAsia="Times New Roman" w:hAnsi="Times New Roman"/>
          <w:sz w:val="22"/>
          <w:szCs w:val="22"/>
          <w:color w:val="auto"/>
        </w:rPr>
        <w:t>” means the Comprehensive Environmental Response, Compensation and Liability Information System maintained by the U.S. Environmental Protection Agency.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w:t>
      </w:r>
      <w:r>
        <w:rPr>
          <w:rFonts w:ascii="Times New Roman" w:cs="Times New Roman" w:eastAsia="Times New Roman" w:hAnsi="Times New Roman"/>
          <w:sz w:val="22"/>
          <w:szCs w:val="22"/>
          <w:color w:val="auto"/>
        </w:rPr>
        <w:t>” means a Person that is a controlled foreign corporation under Section 957 of the Code.</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guidelines or directives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22" w:right="339" w:bottom="1440" w:gutter="0" w:footer="0" w:header="0"/>
        </w:sectPr>
      </w:pPr>
    </w:p>
    <w:bookmarkStart w:id="86" w:name="page87"/>
    <w:bookmarkEnd w:id="86"/>
    <w:p>
      <w:pPr>
        <w:jc w:val="both"/>
        <w:spacing w:after="0" w:line="253" w:lineRule="auto"/>
        <w:rPr>
          <w:sz w:val="20"/>
          <w:szCs w:val="20"/>
          <w:color w:val="auto"/>
        </w:rPr>
      </w:pPr>
      <w:r>
        <w:rPr>
          <w:rFonts w:ascii="Times New Roman" w:cs="Times New Roman" w:eastAsia="Times New Roman" w:hAnsi="Times New Roman"/>
          <w:sz w:val="22"/>
          <w:szCs w:val="22"/>
          <w:color w:val="auto"/>
        </w:rPr>
        <w:t>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or CRD IV (for the avoidance of doubt and without limitation, as amended by CRD V and CRD VI), shall in each case be deemed to be a “Change in Law”, regardless of the date enacted, adopted, issued or implemented.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 event or series of events by which:</w:t>
      </w:r>
    </w:p>
    <w:p>
      <w:pPr>
        <w:spacing w:after="0" w:line="220" w:lineRule="exact"/>
        <w:rPr>
          <w:sz w:val="20"/>
          <w:szCs w:val="20"/>
          <w:color w:val="auto"/>
        </w:rPr>
      </w:pPr>
    </w:p>
    <w:p>
      <w:pPr>
        <w:jc w:val="both"/>
        <w:ind w:left="660" w:firstLine="644"/>
        <w:spacing w:after="0" w:line="263" w:lineRule="auto"/>
        <w:tabs>
          <w:tab w:leader="none" w:pos="179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21"/>
          <w:szCs w:val="21"/>
          <w:u w:val="single" w:color="auto"/>
          <w:color w:val="auto"/>
        </w:rPr>
        <w:t>option right</w:t>
      </w:r>
      <w:r>
        <w:rPr>
          <w:rFonts w:ascii="Times New Roman" w:cs="Times New Roman" w:eastAsia="Times New Roman" w:hAnsi="Times New Roman"/>
          <w:sz w:val="21"/>
          <w:szCs w:val="21"/>
          <w:color w:val="auto"/>
        </w:rPr>
        <w:t>”)), directly or indirectly, of 35% or more of the combined voting power of the Company’s then outstanding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spacing w:after="0" w:line="169" w:lineRule="exact"/>
        <w:rPr>
          <w:rFonts w:ascii="Times New Roman" w:cs="Times New Roman" w:eastAsia="Times New Roman" w:hAnsi="Times New Roman"/>
          <w:sz w:val="21"/>
          <w:szCs w:val="21"/>
          <w:color w:val="auto"/>
        </w:rPr>
      </w:pPr>
    </w:p>
    <w:p>
      <w:pPr>
        <w:jc w:val="both"/>
        <w:ind w:left="660" w:firstLine="644"/>
        <w:spacing w:after="0" w:line="250" w:lineRule="auto"/>
        <w:tabs>
          <w:tab w:leader="none" w:pos="184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12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of Loans</w:t>
      </w:r>
      <w:r>
        <w:rPr>
          <w:rFonts w:ascii="Times New Roman" w:cs="Times New Roman" w:eastAsia="Times New Roman" w:hAnsi="Times New Roman"/>
          <w:sz w:val="22"/>
          <w:szCs w:val="22"/>
          <w:color w:val="auto"/>
        </w:rPr>
        <w:t>” means (i) with respect to Commitments or Loans, those of such Commitments or Loans that have the same terms and conditions (without regard to differences in the Type of Loan, Interest Period, upfront fees, OID or similar fees paid or payable in connection with such Commitments or Loans, or differences in tax treatment (e.g., “fungibility”)) and (ii) with respect to Lenders, those of such Lenders that have Commitments or Loans of a particular Class.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August 1, 2019.</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CME</w:t>
      </w:r>
      <w:r>
        <w:rPr>
          <w:rFonts w:ascii="Times New Roman" w:cs="Times New Roman" w:eastAsia="Times New Roman" w:hAnsi="Times New Roman"/>
          <w:sz w:val="22"/>
          <w:szCs w:val="22"/>
          <w:color w:val="auto"/>
        </w:rPr>
        <w:t>” means the CME Group Benchmark Administration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22" w:right="33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of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or other similar term referred to in the Collateral Documents and all of the other property that is or is intended under the terms of the Collateral Documents to be subject to Liens in favor of the General Administrative Agent for the benefit of the Secured Parties.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 and Guarantee Requirement</w:t>
      </w:r>
      <w:r>
        <w:rPr>
          <w:rFonts w:ascii="Times New Roman" w:cs="Times New Roman" w:eastAsia="Times New Roman" w:hAnsi="Times New Roman"/>
          <w:sz w:val="21"/>
          <w:szCs w:val="21"/>
          <w:color w:val="auto"/>
        </w:rPr>
        <w:t>” means, at any relevant time of determination on and after the Amendment No. 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any or all of the following (as applicable):</w:t>
      </w:r>
    </w:p>
    <w:p>
      <w:pPr>
        <w:spacing w:after="0" w:line="196" w:lineRule="exact"/>
        <w:rPr>
          <w:sz w:val="20"/>
          <w:szCs w:val="20"/>
          <w:color w:val="auto"/>
        </w:rPr>
      </w:pPr>
    </w:p>
    <w:p>
      <w:pPr>
        <w:jc w:val="both"/>
        <w:ind w:left="660" w:firstLine="644"/>
        <w:spacing w:after="0" w:line="268" w:lineRule="auto"/>
        <w:tabs>
          <w:tab w:leader="none" w:pos="182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each Person described in the definition of Domestic Guarantor shall have executed and delivered to the General Administrative Agent a Guaranty and (ii) each Foreign Guarantor shall have executed and delivered to the General Administrative Agent the Guaranty or any other agreement reasonably satisfactory to the General Administrative Agent pursuant to which it guarantees the Obligations or any portion thereof (it being understood that any Guaranty or other such agreement executed by a Foreign Guarantor shall only Guarantee Obligations of Foreign Obligors);</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68" w:lineRule="auto"/>
        <w:tabs>
          <w:tab w:leader="none" w:pos="179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Domestic Obligor shall have executed and delivered to the General Administrative Agent (i) a Security and Pledge Agreement or other applicable Collateral Document with respect to (A) all or substantially all of its assets other than Excluded Assets and (B) the Equity Interests in its Subsidiaries, limited in the case of pledges of Equity Interests in a CFC or Foreign Holding Company, to 65% of the voting Equity Interests and 100% of the non-voting Equity Interests of such CFC or Foreign Holding Company, and (ii) if applicable, an Intellectual Property Security Agreement;</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56" w:lineRule="auto"/>
        <w:tabs>
          <w:tab w:leader="none" w:pos="18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to be delivered pursuant to the terms of the applicable Collateral Documents, all instruments, documents and chattel paper in the possession of any of the Domestic Obligors, together with allonges or assignments as may be necessary or appropriate to perfect the Administrative Agents’ and the Secured Parties’ security interest in such Collateral;</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1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 certificates (including certificates representing Equity Interests and powers in blank with respect thereto, subject to clause (b) of this definition), agreements, documents and instruments, including UCC financing statements, required by the Collateral Documents and as reasonably requested by the General Administrative Agent to be filed, delivered, registered or recorded to create the Liens intended to be created by the Collateral Documents and perfect such Liens to the extent required by, and with the priority required by, the Collateral Documents and the other provisions of the term “Collateral and Guarantee Requirement,” shall have been filed, registered or recorded or delivered to the General Administrative Agent for filing, registration or recording and (ii) Taxes, fees and other charges, if any, in connection with the execution, delivery, recording, filing and registration of any of the Loan Documents shall have been paid;</w:t>
      </w:r>
    </w:p>
    <w:p>
      <w:pPr>
        <w:spacing w:after="0" w:line="185" w:lineRule="exact"/>
        <w:rPr>
          <w:rFonts w:ascii="Times New Roman" w:cs="Times New Roman" w:eastAsia="Times New Roman" w:hAnsi="Times New Roman"/>
          <w:sz w:val="22"/>
          <w:szCs w:val="22"/>
          <w:color w:val="auto"/>
        </w:rPr>
      </w:pPr>
    </w:p>
    <w:p>
      <w:pPr>
        <w:ind w:left="660" w:firstLine="644"/>
        <w:spacing w:after="0" w:line="284" w:lineRule="auto"/>
        <w:tabs>
          <w:tab w:leader="none" w:pos="179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of the foregoing executed and delivered after the Amendment No. 4 Effective Date, to the extent reasonably requested by the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22" w:right="339" w:bottom="1440" w:gutter="0" w:footer="0" w:header="0"/>
        </w:sectPr>
      </w:pPr>
    </w:p>
    <w:bookmarkStart w:id="88" w:name="page89"/>
    <w:bookmarkEnd w:id="88"/>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 xml:space="preserve">Administrative Agent, the General Administrative Agent shall have received documents, Organization Documents, certificates, resolutions and opinions of the type referred to in </w:t>
      </w:r>
      <w:r>
        <w:rPr>
          <w:rFonts w:ascii="Times New Roman" w:cs="Times New Roman" w:eastAsia="Times New Roman" w:hAnsi="Times New Roman"/>
          <w:sz w:val="22"/>
          <w:szCs w:val="22"/>
          <w:u w:val="single" w:color="auto"/>
          <w:color w:val="auto"/>
        </w:rPr>
        <w:t>Section 2(a)(iii)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of Amendment No. 4, with respect to each such Person and its Guarantee and/or provision and perfection of Collateral; and</w:t>
      </w:r>
    </w:p>
    <w:p>
      <w:pPr>
        <w:spacing w:after="0" w:line="186" w:lineRule="exact"/>
        <w:rPr>
          <w:sz w:val="20"/>
          <w:szCs w:val="20"/>
          <w:color w:val="auto"/>
        </w:rPr>
      </w:pPr>
    </w:p>
    <w:p>
      <w:pPr>
        <w:jc w:val="both"/>
        <w:ind w:left="660" w:firstLine="644"/>
        <w:spacing w:after="0" w:line="247" w:lineRule="auto"/>
        <w:tabs>
          <w:tab w:leader="none" w:pos="185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of the foregoing, upon request of the General Administrative Agent, the General Administrative Agent shall have been provided (i) searches of UCC or similar filings in the jurisdiction of incorporation or formation, as applicable, of each Domestic Obligor and each domestic jurisdiction where any Collateral is located or where a filing would need to be made in order to perfect the General Administrative Agent’s security interest in the Collateral, copies of the financing statements on file in such jurisdictions and evidence that no Liens exist other than Permitted Liens, (ii) Tax lien, judgment and bankruptcy searches or other evidence reasonably satisfactory to it that all Taxes, filing fees, recording fees related to the perfection of the Liens on the Collateral have been paid and (iii) searches of ownership of Intellectual Property in the appropriate governmental offices and such patent/trademark/copyright filings as requested by the General Administrative Agent in order to perfect the General Administrative Agent’s security interest in the Intellectual Property;</w:t>
      </w:r>
    </w:p>
    <w:p>
      <w:pPr>
        <w:spacing w:after="0" w:line="190"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Administrative Agent shall have received copies of insurance policies, declaration pages, certificates, and endorsements of insurance or insurance binders evidencing liability, casualty and property insurance meeting the requirements set forth herein or in the Collateral Documents; and</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5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request of the General Administrative Agent, each Domestic Obligor shall have used commercially reasonable efforts to obtain control agreements or similar arrangements with respect to (i) Material Deposit Accounts of such Domestic Obligor located in the United States and the perfection of which is governed by the laws of the United States, except to the extent any such Material Deposit Account is held with a Lender or an Affiliate of a Lender and (ii) Material Securities Accounts of such Domestic Obligor located in the United States and the perfection of which is governed by the laws of the United States, except to the extent any such Material Securities Account is held with a Lender or an Affiliate of a Lender;</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Collateral shall not include, and the Collateral and Guarantee Requirement shall not require, any of the following: (i) any filings or other action in any jurisdiction outside of the United States or required by the Laws of any jurisdiction outside of the United States to create or perfect any security interest, including, without limitation, any intellectual property registered in any jurisdiction outside the United States (it being understood that there shall be no security agreements or pledge agreements governed under the laws of any jurisdiction outside the United States); (ii) any bailee waivers, landlord waivers, estoppels or collateral access letters; (iii) any notices to be sent to account debtors or other contractual third parties (other than during the continuance of Event of Default); (iv) pledges and security interests prohibited by applicable law, rule or regulation (to the extent such law, rule or regulation is effective under applicable anti-assignment provisions of the Uniform Commercial Code or other applicable Law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22" w:right="339" w:bottom="1440" w:gutter="0" w:footer="0" w:header="0"/>
        </w:sectPr>
      </w:pPr>
    </w:p>
    <w:bookmarkStart w:id="89" w:name="page90"/>
    <w:bookmarkEnd w:id="89"/>
    <w:p>
      <w:pPr>
        <w:jc w:val="both"/>
        <w:spacing w:after="0" w:line="260" w:lineRule="auto"/>
        <w:rPr>
          <w:sz w:val="20"/>
          <w:szCs w:val="20"/>
          <w:color w:val="auto"/>
        </w:rPr>
      </w:pPr>
      <w:r>
        <w:rPr>
          <w:rFonts w:ascii="Times New Roman" w:cs="Times New Roman" w:eastAsia="Times New Roman" w:hAnsi="Times New Roman"/>
          <w:sz w:val="21"/>
          <w:szCs w:val="21"/>
          <w:color w:val="auto"/>
        </w:rPr>
        <w:t>pursuant to Section 9-406, 9-407, 9-408 or 9-409 of the Uniform Commercial Code)), other than proceeds and receivables thereof, the assignment of which is expressly deemed effective under the Uniform Commercial Code or other applicable Law notwithstanding such prohibition; (v) Equity Interests in any Person other than wholly-owned Subsidiaries to the extent not permitted by the terms of such Person’s organizational or joint venture documents; (vi) in the case of a pledge of Equity Interests by a Domestic Obligor, voting Equity Interests in any Subsidiary that is a CFC or Foreign Holding Company in excess of 65% of the total Equity Interests in such CFC or Foreign Holding Company; (vii) assets to the extent a security interest in such assets would result in material adverse tax consequences to the Company or any of its Restricted Subsidiaries (including as a result of the operation of Section 956 of the Code or any similar law or regulation in any applicable jurisdiction) or material adverse regulatory consequences to the Company and its Restricted Subsidiaries, in each case as reasonably determined by the Company;</w:t>
      </w:r>
    </w:p>
    <w:p>
      <w:pPr>
        <w:spacing w:after="0" w:line="5" w:lineRule="exact"/>
        <w:rPr>
          <w:sz w:val="20"/>
          <w:szCs w:val="20"/>
          <w:color w:val="auto"/>
        </w:rPr>
      </w:pPr>
    </w:p>
    <w:p>
      <w:pPr>
        <w:jc w:val="both"/>
        <w:ind w:firstLine="8"/>
        <w:spacing w:after="0" w:line="245" w:lineRule="auto"/>
        <w:tabs>
          <w:tab w:leader="none" w:pos="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lease, license, state or local franchise, charter, authorization, contract, or other agreement or any property subject to a purchase money security interest or Permitted Lien or similar arrangement to the extent that a grant of a security interest therein would violate or invalidate such lease, license, state or local franchise, charter, authorization, contract, or other agreement or purchase money arrangement or create a right of termination in favor of any other party thereto (other than the Loan Parties), after giving effect to the applicable anti-assignment provisions of the Uniform Commercial Code or other applicable Law (including pursuant to Section 9-406, 9-407, 9-408 or 9-409 of the Uniform Commercial Code), other than proceeds and receivables thereof, the assignment of which is expressly deemed effective under the Uniform Commercial Code or other applicable Law notwithstanding such prohibition; (ix) in the case of a pledge of Equity Interests by a Domestic Obligor, any of the Equity Interests of Subsidiaries that are held by CFCs or Foreign Holding Companies of the Company; (x) any fee-owned real property and all leasehold interests in real property; (xi) those assets as to which the General Administrative Agent and the Company reasonably determine that the costs of obtaining, perfecting or maintaining a security interest in such assets exceeds the practical benefit to the Lenders afforded thereby; (xii) motor vehicles and other assets to the extent perfection must be obtained through notation on a certificate of title, letter of credit rights (other than to the extent such rights can be perfected by filing a UCC-1) and commercial tort claims other than Material Commercial Tort Claims; (xiii) any segregated cash collateral subject to a Lien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provided to third parties (including sureties) in the ordinary course of business to the extent that a grant of a security interest therein would violate the agreements governing such Lien; (xiv)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(xv) any property and assets the pledge of which would violate applicable Law or any permitted contract binding on such property or asset or require any contractual third party consent pursuant to any permitted contract binding on such property or asset or governmental consent (unless such consent shall have been obtained, it being understood that nothing in this proviso obligates the applicable Loan Party to seek any such consent), approval, license or authorization (but only to the extent, and for so long as, such requirement for consent, approval, license or authorization is not rendered ineffective by, or is otherwise unenforceable under, the Uniform Commercial Code or any other applicable law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22" w:right="339" w:bottom="1440" w:gutter="0" w:footer="0" w:header="0"/>
        </w:sectPr>
      </w:pPr>
    </w:p>
    <w:bookmarkStart w:id="90" w:name="page91"/>
    <w:bookmarkEnd w:id="90"/>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Section 9-406, 9-407, 9-408 or 9-409 of the Uniform Commercial Code)); (xvi) any Equity Interests in a public company or other margin stock; and (xvii) any deposit accounts used solely as payroll accounts, employee wage and benefit accounts, tax accounts, escrow accounts for the benefit of third parties, or fiduciary or trust accounts for the benefit of third parties (and any assets not required to be granted or pledged pursuant to any of clauses (i) and (iv) through (xvii) of this proviso, so long as not so required to be granted or pledged, shall be referred to as “</w:t>
      </w:r>
      <w:r>
        <w:rPr>
          <w:rFonts w:ascii="Times New Roman" w:cs="Times New Roman" w:eastAsia="Times New Roman" w:hAnsi="Times New Roman"/>
          <w:sz w:val="21"/>
          <w:szCs w:val="21"/>
          <w:u w:val="single" w:color="auto"/>
          <w:color w:val="auto"/>
        </w:rPr>
        <w:t>Excluded Assets</w:t>
      </w:r>
      <w:r>
        <w:rPr>
          <w:rFonts w:ascii="Times New Roman" w:cs="Times New Roman" w:eastAsia="Times New Roman" w:hAnsi="Times New Roman"/>
          <w:sz w:val="21"/>
          <w:szCs w:val="21"/>
          <w:color w:val="auto"/>
        </w:rPr>
        <w:t>”). The General Administrative Agent may grant extensions of time for the creation and perfection of security interests in or the obtaining of title insurance, legal opinions or other deliverables with respect to particular assets or the provision of any Guarantee by any Restricted Subsidiary (including extensions beyond the Amendment No. 4 Effective Date or in connection with assets acquired, or Restricted Subsidiaries formed or acquired, after the Amendment No. 4 Effective Date). For the avoidance of doubt, during a Collateral Release Period, the Collateral and Guarantee Requirement shall be limited to the provisions with respect to the providing of Guaranties (and related action), and shall not require any action with respect to the granting or perfection of any assets or Collateral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the other provisions of this document relating to the provision of Cash Collateral shall continue to apply).</w:t>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xml:space="preserve">” means, collectively, the Security and Pledge Agreement, the Intellectual Property Security Agreements, any other collateral assignments, joinders, supplements, security agreements, pledge agreements or other similar agreements delivered to the General Administrative Agent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and each of the other agreements, instruments or documents that creates or purports to create a Lien in favor of the General Administrative Agent for the benefit of the Secured Parties.</w:t>
      </w:r>
    </w:p>
    <w:p>
      <w:pPr>
        <w:spacing w:after="0" w:line="1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 Reinstatement Event</w:t>
      </w:r>
      <w:r>
        <w:rPr>
          <w:rFonts w:ascii="Times New Roman" w:cs="Times New Roman" w:eastAsia="Times New Roman" w:hAnsi="Times New Roman"/>
          <w:sz w:val="21"/>
          <w:szCs w:val="21"/>
          <w:color w:val="auto"/>
        </w:rPr>
        <w:t xml:space="preserve">” means any of the following (x) during a Collateral Release Period and after the related release of Collateral as provided for in </w:t>
      </w:r>
      <w:r>
        <w:rPr>
          <w:rFonts w:ascii="Times New Roman" w:cs="Times New Roman" w:eastAsia="Times New Roman" w:hAnsi="Times New Roman"/>
          <w:sz w:val="21"/>
          <w:szCs w:val="21"/>
          <w:u w:val="single" w:color="auto"/>
          <w:color w:val="auto"/>
        </w:rPr>
        <w:t>Section 10.22(a)</w:t>
      </w:r>
      <w:r>
        <w:rPr>
          <w:rFonts w:ascii="Times New Roman" w:cs="Times New Roman" w:eastAsia="Times New Roman" w:hAnsi="Times New Roman"/>
          <w:sz w:val="21"/>
          <w:szCs w:val="21"/>
          <w:color w:val="auto"/>
        </w:rPr>
        <w:t xml:space="preserve">, the occurrence of both of the following: (a) either (i) the Consolidated Net Leverage Ratio of the Company and its Restricted Subsidiaries as of the last day of the two most recently ended fiscal quarters for which a Compliance Certificate and financial statements have been delivered pursuant to </w:t>
      </w:r>
      <w:r>
        <w:rPr>
          <w:rFonts w:ascii="Times New Roman" w:cs="Times New Roman" w:eastAsia="Times New Roman" w:hAnsi="Times New Roman"/>
          <w:sz w:val="21"/>
          <w:szCs w:val="21"/>
          <w:u w:val="single" w:color="auto"/>
          <w:color w:val="auto"/>
        </w:rPr>
        <w:t>Sections 6.01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6.02</w:t>
      </w:r>
      <w:r>
        <w:rPr>
          <w:rFonts w:ascii="Times New Roman" w:cs="Times New Roman" w:eastAsia="Times New Roman" w:hAnsi="Times New Roman"/>
          <w:sz w:val="21"/>
          <w:szCs w:val="21"/>
          <w:color w:val="auto"/>
        </w:rPr>
        <w:t xml:space="preserve"> is greater than or equal to 2.50 to 1.00, or (ii) the Consolidated Net Leverage Ratio of the Company and its Restricted Subsidiaries in connection with a pro forma calculation thereof for any purpose other than the delivery of a Compliance Certificate delivered pursuant to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(including the making of Acquisitions, the proposed incurrence of an Incremental Facility or otherwise) is greater than or equal to 3.00 to 1.00 at any time during such Collateral Release Period, and (b) the occurrence of two of the three of the following events: (i) the corporate family rating of the Company and its Subsidiaries from Moody’s is Ba1 or below, or no corporate family rating is provided by Moody’s, (ii) the corporate rating of the Company and its Subsidiaries from S&amp;P is BB+ or below or no corporate rating is provided by S&amp;P or (iii) the corporate rating of the Company and its Subsidiaries from Fitch is BB+ or below or no corporate rating is provided by Fitch, or (y) the incurrence of any other Indebtedness secured by assets and property that would have constituted Collateral under this Agreement if the Collateral were still in place, unless the Liens securing such other Indebtedness would be permitted to be incurred at such time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7.01</w:t>
      </w:r>
      <w:r>
        <w:rPr>
          <w:rFonts w:ascii="Times New Roman" w:cs="Times New Roman" w:eastAsia="Times New Roman" w:hAnsi="Times New Roman"/>
          <w:sz w:val="21"/>
          <w:szCs w:val="21"/>
          <w:color w:val="auto"/>
        </w:rPr>
        <w:t xml:space="preserve"> (other than, for the avoidance of doubt, </w:t>
      </w:r>
      <w:r>
        <w:rPr>
          <w:rFonts w:ascii="Times New Roman" w:cs="Times New Roman" w:eastAsia="Times New Roman" w:hAnsi="Times New Roman"/>
          <w:sz w:val="21"/>
          <w:szCs w:val="21"/>
          <w:u w:val="single" w:color="auto"/>
          <w:color w:val="auto"/>
        </w:rPr>
        <w:t>Section 7.01(l)</w:t>
      </w:r>
      <w:r>
        <w:rPr>
          <w:rFonts w:ascii="Times New Roman" w:cs="Times New Roman" w:eastAsia="Times New Roman" w:hAnsi="Times New Roman"/>
          <w:sz w:val="21"/>
          <w:szCs w:val="21"/>
          <w:color w:val="auto"/>
        </w:rPr>
        <w:t>). In the event that any rating agency changes its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22" w:right="339" w:bottom="1440" w:gutter="0" w:footer="0" w:header="0"/>
        </w:sectPr>
      </w:pPr>
    </w:p>
    <w:bookmarkStart w:id="91" w:name="page92"/>
    <w:bookmarkEnd w:id="91"/>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system, the referenced ratings shall be the ratings equivalent to the above-denominated ratings prior to giving effect to such change, as reasonably determined by the Administrative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Release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10.22(a)(i)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Release Event</w:t>
      </w:r>
      <w:r>
        <w:rPr>
          <w:rFonts w:ascii="Times New Roman" w:cs="Times New Roman" w:eastAsia="Times New Roman" w:hAnsi="Times New Roman"/>
          <w:sz w:val="22"/>
          <w:szCs w:val="22"/>
          <w:color w:val="auto"/>
        </w:rPr>
        <w:t xml:space="preserve">” means the satisfaction of each of the following conditions: (a) the Company submits a written request for a Collateral Release to the General Administrative Agent (which request shall certify to the following conditions (b), (c), (d), (e) and (f)), (b) either (i) the Consolidated Net Leverage Ratio of the Company and its Restricted Subsidiaries is less than 2.00 to 1.00 both (x) as of the last day of each of the two most recently ended fiscal quarters for which a Compliance Certificate and financial statements have been delivered pursuant to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and (y) as of such date of request, on a pro forma basis (as demonstrated in reasonable detail in such written request for a Collateral Release), or (ii) a Ratings Release Trigger Event shall have occurred, (c) no Default or Event of Default shall have occurred and be continuing or would result from the requested Collateral Release, (d) all Term B Loans and any Loans under any Incremental Term Loan B Facility, have been, or will be, repaid in full concurrently with such Collateral Release (e) the Company has not made a Financial Covenant Adjustment, and (f) there shall be no other Indebtedness secured by the Collateral outstanding on the proposed date of such Collateral Release Event that will remain outstanding as Indebtedness secured by any Collateral after such date unless the Liens securing such other Indebtedness would be permitted to be incurred at such time under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(other than, for the avoidance of doubt,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7.01(l)</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Release Period</w:t>
      </w:r>
      <w:r>
        <w:rPr>
          <w:rFonts w:ascii="Times New Roman" w:cs="Times New Roman" w:eastAsia="Times New Roman" w:hAnsi="Times New Roman"/>
          <w:sz w:val="22"/>
          <w:szCs w:val="22"/>
          <w:color w:val="auto"/>
        </w:rPr>
        <w:t>” means, each period commencing with the occurrence of a Collateral Release Event, and continuing until the first Collateral Reinstatement Event following such Collateral Release Event.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a Term Commitment or a Revolving Credit Commitment, as the context may require.</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Loan Notice</w:t>
      </w:r>
      <w:r>
        <w:rPr>
          <w:rFonts w:ascii="Times New Roman" w:cs="Times New Roman" w:eastAsia="Times New Roman" w:hAnsi="Times New Roman"/>
          <w:sz w:val="22"/>
          <w:szCs w:val="22"/>
          <w:color w:val="auto"/>
        </w:rPr>
        <w:t xml:space="preserve">” means a notice of (a) a Term Borrowing, (b) a Revolving Credit Borrowing, (c) a conversion of Loans from one Type to the other, or (d) a continuation of Term SOFR Loans or Alternative Currency Term Rate Loans, pursuant to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which shall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such other form as may be approved by the Applicable Facility Agent (including any form on an electronic platform or electronic transmission system as shall be approved by the Applicable Facility Agent), appropriately completed and signed by a Responsible Officer of the Company.</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w:t>
      </w:r>
      <w:r>
        <w:rPr>
          <w:rFonts w:ascii="Times New Roman" w:cs="Times New Roman" w:eastAsia="Times New Roman" w:hAnsi="Times New Roman"/>
          <w:sz w:val="22"/>
          <w:szCs w:val="22"/>
          <w:color w:val="auto"/>
        </w:rPr>
        <w:t>” means this Agreement, any Loan Document and any document, amendment, approval, consent, information, notice, certificate, request, statement, disclosure or authorization related to any Loan Document.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specified in the Preliminary Statements.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22" w:right="339" w:bottom="1440" w:gutter="0" w:footer="0" w:header="0"/>
        </w:sectPr>
      </w:pPr>
    </w:p>
    <w:bookmarkStart w:id="92" w:name="page93"/>
    <w:bookmarkEnd w:id="92"/>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means, with respect to the use, administration of or any conventions associated with SOFR, SONIA, CORRA or any proposed Successor Rate for an Agreed Currency, as applicable, any conforming changes to the definitions of “Base Rate”, “Term SOFR,” “SONIA,” “CORRA”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Applicable Facility Agent, to reflect the adoption and implementation of such applicable rate(s) and to permit the administration thereof by the Applicable Facility Agent in a manner substantially consistent with market practice for such Agreed Currency (or, if the Applicable Facility Agent determines that adoption of any portion of such market practice is not administratively feasible or that no market practice for the administration of such rate for such Agreed Currency exists, in such other manner of administration as the Applicable Facility Agent determines in consultation with the Company is reasonably necessary in connection with the administration of this Agreement and any other Loan Document).</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EBITDA</w:t>
      </w:r>
      <w:r>
        <w:rPr>
          <w:rFonts w:ascii="Times New Roman" w:cs="Times New Roman" w:eastAsia="Times New Roman" w:hAnsi="Times New Roman"/>
          <w:sz w:val="22"/>
          <w:szCs w:val="22"/>
          <w:color w:val="auto"/>
        </w:rPr>
        <w:t>” means, for any Measurement Period, an amount equal to:</w:t>
      </w:r>
    </w:p>
    <w:p>
      <w:pPr>
        <w:spacing w:after="0" w:line="233" w:lineRule="exact"/>
        <w:rPr>
          <w:sz w:val="20"/>
          <w:szCs w:val="20"/>
          <w:color w:val="auto"/>
        </w:rPr>
      </w:pPr>
    </w:p>
    <w:p>
      <w:pPr>
        <w:ind w:left="660" w:firstLine="644"/>
        <w:spacing w:after="0" w:line="271" w:lineRule="auto"/>
        <w:tabs>
          <w:tab w:leader="none" w:pos="189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Net Income of the Company and its Restricted Subsidiaries on a consolidated basis for such Measurement Period;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(in all cases, without duplication):</w:t>
      </w:r>
    </w:p>
    <w:p>
      <w:pPr>
        <w:spacing w:after="0" w:line="211" w:lineRule="exact"/>
        <w:rPr>
          <w:sz w:val="20"/>
          <w:szCs w:val="20"/>
          <w:color w:val="auto"/>
        </w:rPr>
      </w:pPr>
    </w:p>
    <w:p>
      <w:pPr>
        <w:ind w:left="660" w:firstLine="644"/>
        <w:spacing w:after="0" w:line="258" w:lineRule="auto"/>
        <w:tabs>
          <w:tab w:leader="none" w:pos="184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to the extent deducted in calculating (or otherwise reducing or not included in the calculation of) such Consolidated Net Income for such Measurement Period:</w:t>
      </w:r>
    </w:p>
    <w:p>
      <w:pPr>
        <w:ind w:left="840" w:hanging="436"/>
        <w:spacing w:after="0"/>
        <w:tabs>
          <w:tab w:leader="none" w:pos="8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Charges for such Measurement Period;</w:t>
      </w:r>
    </w:p>
    <w:p>
      <w:pPr>
        <w:spacing w:after="0" w:line="234"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for Federal, state, local and foreign income taxes;</w:t>
      </w:r>
    </w:p>
    <w:p>
      <w:pPr>
        <w:spacing w:after="0" w:line="256" w:lineRule="exact"/>
        <w:rPr>
          <w:sz w:val="20"/>
          <w:szCs w:val="20"/>
          <w:color w:val="auto"/>
        </w:rPr>
      </w:pPr>
    </w:p>
    <w:p>
      <w:pPr>
        <w:ind w:left="940" w:hanging="536"/>
        <w:spacing w:after="0"/>
        <w:tabs>
          <w:tab w:leader="none" w:pos="9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expense;</w:t>
      </w:r>
    </w:p>
    <w:p>
      <w:pPr>
        <w:spacing w:after="0" w:line="242" w:lineRule="exact"/>
        <w:rPr>
          <w:rFonts w:ascii="Times New Roman" w:cs="Times New Roman" w:eastAsia="Times New Roman" w:hAnsi="Times New Roman"/>
          <w:sz w:val="20"/>
          <w:szCs w:val="20"/>
          <w:color w:val="auto"/>
        </w:rPr>
      </w:pPr>
    </w:p>
    <w:p>
      <w:pPr>
        <w:jc w:val="both"/>
        <w:ind w:left="1300" w:firstLine="4"/>
        <w:spacing w:after="0" w:line="253" w:lineRule="auto"/>
        <w:tabs>
          <w:tab w:leader="none" w:pos="186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non-recurring or unusual costs and expenses related to the opening, closure, or consolidation of offices and facilities, integration, business optimization, and startup, including signing bonuses, severance, and employee termination expenses related thereto, in an aggregate amount for all adjustments under this clause (b)(iv), when combined with clause (b)(v) below, not to exceed 30% of Consolidated EBITDA (determined after giving effect to any adjustments under this clause (b)(iv) or clause (b)(v) below) in any applicable Measurement Period;</w:t>
      </w:r>
    </w:p>
    <w:p>
      <w:pPr>
        <w:spacing w:after="0" w:line="218" w:lineRule="exact"/>
        <w:rPr>
          <w:rFonts w:ascii="Times New Roman" w:cs="Times New Roman" w:eastAsia="Times New Roman" w:hAnsi="Times New Roman"/>
          <w:sz w:val="20"/>
          <w:szCs w:val="20"/>
          <w:color w:val="auto"/>
        </w:rPr>
      </w:pPr>
    </w:p>
    <w:p>
      <w:pPr>
        <w:jc w:val="both"/>
        <w:ind w:left="1300" w:firstLine="4"/>
        <w:spacing w:after="0" w:line="258" w:lineRule="auto"/>
        <w:tabs>
          <w:tab w:leader="none" w:pos="178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“run rate” cost savings, operating expense reductions and other synergies related to Acquisitions, mergers, business combinations, Investments, Dispositions, divestitures, restructurings, operating improvements, cost savings initiatives, discontinued operations, operational changes, business expansions, tax restructurings and other initiatives that are reasonably identifiable, factually supportable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395" w:right="339" w:bottom="1440" w:gutter="0" w:footer="0" w:header="0"/>
        </w:sectPr>
      </w:pPr>
    </w:p>
    <w:bookmarkStart w:id="93" w:name="page94"/>
    <w:bookmarkEnd w:id="93"/>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and projected by the Company in good faith to result from actions that have been taken or with respect to which substantial steps have been taken (including prior to the Amendment No. 4 Effective Date) or are expected to be taken (in the good faith determination of the Company) within eighteen months after any such transaction, initiative, or event, in an aggregate amount for all adjustments under this clause (b)(v), when combined with clause (b)(iv) above, not to exceed 30% of Consolidated EBITDA (determined after giving effect to any adjustments under this clause (b)(v) or clause (b)(iv) above) in any applicable Measurement Period;</w:t>
      </w:r>
    </w:p>
    <w:p>
      <w:pPr>
        <w:spacing w:after="0" w:line="219" w:lineRule="exact"/>
        <w:rPr>
          <w:sz w:val="20"/>
          <w:szCs w:val="20"/>
          <w:color w:val="auto"/>
        </w:rPr>
      </w:pPr>
    </w:p>
    <w:p>
      <w:pPr>
        <w:jc w:val="both"/>
        <w:ind w:left="1300" w:firstLine="4"/>
        <w:spacing w:after="0" w:line="253" w:lineRule="auto"/>
        <w:tabs>
          <w:tab w:leader="none" w:pos="178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non-cash charges, write-downs, expenses, non-cash losses and non-cash items reducing Consolidated Net Income of such Person for such Measurement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non-cash charge or expense represents an accrual or reserve for potential cash items in any future Measurement Period, (A) the Company may determine not to add back such non-cash charge in the current Measurement Period and (B) to the extent the Company does decide to add back such non-cash charge, the cash payment in respect thereof in such future Measurement Period shall be subtracted from Consolidated EBITDA pursuant to clause (c)(ii) below;</w:t>
      </w:r>
    </w:p>
    <w:p>
      <w:pPr>
        <w:spacing w:after="0" w:line="205" w:lineRule="exact"/>
        <w:rPr>
          <w:rFonts w:ascii="Times New Roman" w:cs="Times New Roman" w:eastAsia="Times New Roman" w:hAnsi="Times New Roman"/>
          <w:sz w:val="20"/>
          <w:szCs w:val="20"/>
          <w:color w:val="auto"/>
        </w:rPr>
      </w:pPr>
    </w:p>
    <w:p>
      <w:pPr>
        <w:ind w:left="1300" w:firstLine="4"/>
        <w:spacing w:after="0" w:line="283" w:lineRule="auto"/>
        <w:tabs>
          <w:tab w:leader="none" w:pos="201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and charges relating to non-controlling interests and equity income in non-wholly owned Restricted Subsidiaries;</w:t>
      </w:r>
    </w:p>
    <w:p>
      <w:pPr>
        <w:spacing w:after="0" w:line="173" w:lineRule="exact"/>
        <w:rPr>
          <w:rFonts w:ascii="Times New Roman" w:cs="Times New Roman" w:eastAsia="Times New Roman" w:hAnsi="Times New Roman"/>
          <w:sz w:val="20"/>
          <w:szCs w:val="20"/>
          <w:color w:val="auto"/>
        </w:rPr>
      </w:pPr>
    </w:p>
    <w:p>
      <w:pPr>
        <w:ind w:left="1300" w:firstLine="4"/>
        <w:spacing w:after="0" w:line="283" w:lineRule="auto"/>
        <w:tabs>
          <w:tab w:leader="none" w:pos="193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actually reimbursed by insurance or a third party, amounts paid for legal settlements, fines, judgments, or orders; and</w:t>
      </w:r>
    </w:p>
    <w:p>
      <w:pPr>
        <w:spacing w:after="0" w:line="186" w:lineRule="exact"/>
        <w:rPr>
          <w:rFonts w:ascii="Times New Roman" w:cs="Times New Roman" w:eastAsia="Times New Roman" w:hAnsi="Times New Roman"/>
          <w:sz w:val="20"/>
          <w:szCs w:val="20"/>
          <w:color w:val="auto"/>
        </w:rPr>
      </w:pPr>
    </w:p>
    <w:p>
      <w:pPr>
        <w:jc w:val="both"/>
        <w:ind w:left="1300" w:firstLine="4"/>
        <w:spacing w:after="0" w:line="261" w:lineRule="auto"/>
        <w:tabs>
          <w:tab w:leader="none" w:pos="18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and expenses associated with transfers, relocations, departures and/or hiring of senior officers of the Company and its Restricted Subsidiaries or other members of the management executive committee of the Company and its Restricted Subsidiaries, including severance and other termination costs and relocation expenses;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(in all cases, without duplication):</w:t>
      </w:r>
    </w:p>
    <w:p>
      <w:pPr>
        <w:spacing w:after="0" w:line="211" w:lineRule="exact"/>
        <w:rPr>
          <w:sz w:val="20"/>
          <w:szCs w:val="20"/>
          <w:color w:val="auto"/>
        </w:rPr>
      </w:pPr>
    </w:p>
    <w:p>
      <w:pPr>
        <w:ind w:left="660" w:firstLine="644"/>
        <w:spacing w:after="0" w:line="283" w:lineRule="auto"/>
        <w:tabs>
          <w:tab w:leader="none" w:pos="177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to the extent included in the calculation of (or otherwise increasing, including by not being deducted in such calculation) Consolidated Net Income for such Measurement Period:</w:t>
      </w:r>
    </w:p>
    <w:p>
      <w:pPr>
        <w:spacing w:after="0" w:line="186"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state, local and foreign income tax credits received or accrued during such Measurement Period.</w:t>
      </w:r>
    </w:p>
    <w:p>
      <w:pPr>
        <w:spacing w:after="0" w:line="242" w:lineRule="exact"/>
        <w:rPr>
          <w:rFonts w:ascii="Times New Roman" w:cs="Times New Roman" w:eastAsia="Times New Roman" w:hAnsi="Times New Roman"/>
          <w:sz w:val="20"/>
          <w:szCs w:val="20"/>
          <w:color w:val="auto"/>
        </w:rPr>
      </w:pPr>
    </w:p>
    <w:p>
      <w:pPr>
        <w:ind w:left="1300" w:right="20" w:firstLine="652"/>
        <w:spacing w:after="0" w:line="283" w:lineRule="auto"/>
        <w:tabs>
          <w:tab w:leader="none" w:pos="2512"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cash payment during such Measurement Period in respect of a non-cash charge or expense added in computing Consolidated EBITDA in a prior Measurement Period pursuant to clause (b)(vi) above.</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First Lien Net Leverage Ratio</w:t>
      </w:r>
      <w:r>
        <w:rPr>
          <w:rFonts w:ascii="Times New Roman" w:cs="Times New Roman" w:eastAsia="Times New Roman" w:hAnsi="Times New Roman"/>
          <w:sz w:val="22"/>
          <w:szCs w:val="22"/>
          <w:color w:val="auto"/>
        </w:rPr>
        <w:t xml:space="preserve">” means, as of any date of determination, the ratio of (a) the result of (i) Consolidated Funded Indebtedness that is secured by a Lien on the Collateral that ranks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Liens on the Collateral securing the Obligations as of such date less (ii) an amount equal to one-hundred percent (100%) of the cash held by the Company and its Restricted Subsidiaries on such date free and clear of all Liens (other than non-consensual Liens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Liens permitted by </w:t>
      </w:r>
      <w:r>
        <w:rPr>
          <w:rFonts w:ascii="Times New Roman" w:cs="Times New Roman" w:eastAsia="Times New Roman" w:hAnsi="Times New Roman"/>
          <w:sz w:val="22"/>
          <w:szCs w:val="22"/>
          <w:u w:val="single" w:color="auto"/>
          <w:color w:val="auto"/>
        </w:rPr>
        <w:t>Section 7.01(a)</w:t>
      </w:r>
      <w:r>
        <w:rPr>
          <w:rFonts w:ascii="Times New Roman" w:cs="Times New Roman" w:eastAsia="Times New Roman" w:hAnsi="Times New Roman"/>
          <w:sz w:val="22"/>
          <w:szCs w:val="22"/>
          <w:color w:val="auto"/>
        </w:rPr>
        <w:t>) to (b)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94" w:name="page95"/>
    <w:bookmarkEnd w:id="94"/>
    <w:p>
      <w:pPr>
        <w:jc w:val="both"/>
        <w:spacing w:after="0" w:line="271" w:lineRule="auto"/>
        <w:rPr>
          <w:sz w:val="20"/>
          <w:szCs w:val="20"/>
          <w:color w:val="auto"/>
        </w:rPr>
      </w:pPr>
      <w:r>
        <w:rPr>
          <w:rFonts w:ascii="Times New Roman" w:cs="Times New Roman" w:eastAsia="Times New Roman" w:hAnsi="Times New Roman"/>
          <w:sz w:val="22"/>
          <w:szCs w:val="22"/>
          <w:color w:val="auto"/>
        </w:rPr>
        <w:t>EBITDA of the Company and its Restricted Subsidiaries on a consolidated basis for the most recently completed Measurement Period.</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Funded Indebtedness</w:t>
      </w:r>
      <w:r>
        <w:rPr>
          <w:rFonts w:ascii="Times New Roman" w:cs="Times New Roman" w:eastAsia="Times New Roman" w:hAnsi="Times New Roman"/>
          <w:sz w:val="22"/>
          <w:szCs w:val="22"/>
          <w:color w:val="auto"/>
        </w:rPr>
        <w:t xml:space="preserve">” means, as of any date of determination, for the Company and its Restricted Subsidiaries on a consolidated basis, but without duplication,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(other than Letters of Credit to the extent such Letters of Credit support Indebtedness otherwise included in clauses (a) through (g) hereof), (d) all obligations in respect of the deferred purchase price of property or services (other than trade accounts payable in the ordinary course of business), (e) all Attributable Indebtedness in respect of Capitalized Leases and Synthetic Lease Obligations, (f) without duplication, all Guarantees with respect to outstanding Indebtedness of the types specified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above of Persons other than the Company or any Restricted Subsidiary, and (g) all Indebtedness of the types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above of any partnership or joint venture (other than a joint venture that is itself a corporation or limited liability company) in which the Company or a Restricted Subsidiary is a general partner or joint venturer, unless such Indebtedness is expressly made non-recourse to the Company or such Restricted Subsidiary. For avoidance of doubt, obligations under any Permitted Bond Hedge Transaction do not constitute Consolidated Funded Indebtedness.</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Charges</w:t>
      </w:r>
      <w:r>
        <w:rPr>
          <w:rFonts w:ascii="Times New Roman" w:cs="Times New Roman" w:eastAsia="Times New Roman" w:hAnsi="Times New Roman"/>
          <w:sz w:val="22"/>
          <w:szCs w:val="22"/>
          <w:color w:val="auto"/>
        </w:rPr>
        <w:t>”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and (b) the portion of rent expense under Capitalized Leases that is treated as interest in accordance with GAAP, plus or minus the benefits or detriments, as the case may be, of any interest rate protection in each case, of or by the Company and its Restricted Subsidiaries on a consolidated basis for the most recently completed Measurement Period.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Interest Coverage Ratio</w:t>
      </w:r>
      <w:r>
        <w:rPr>
          <w:rFonts w:ascii="Times New Roman" w:cs="Times New Roman" w:eastAsia="Times New Roman" w:hAnsi="Times New Roman"/>
          <w:sz w:val="21"/>
          <w:szCs w:val="21"/>
          <w:color w:val="auto"/>
        </w:rPr>
        <w:t>” means, as of any date of determination, the ratio of (a) Consolidated EBITDA to</w:t>
      </w:r>
    </w:p>
    <w:p>
      <w:pPr>
        <w:spacing w:after="0" w:line="41" w:lineRule="exact"/>
        <w:rPr>
          <w:sz w:val="20"/>
          <w:szCs w:val="20"/>
          <w:color w:val="auto"/>
        </w:rPr>
      </w:pPr>
    </w:p>
    <w:p>
      <w:pPr>
        <w:ind w:firstLine="8"/>
        <w:spacing w:after="0" w:line="259" w:lineRule="auto"/>
        <w:tabs>
          <w:tab w:leader="none" w:pos="31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Interest Charges, in each case, of or by the Company and its Restricted Subsidiaries on a consolidated basis for the most recently completed Measurement Period.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xml:space="preserve">” means, at any date of determination, the net income (or loss) of the Company and its Restricted Subsidiaries on a consolidated basis for the most recently completed Measurement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Consolidated Net Income shall exclude:</w:t>
      </w:r>
    </w:p>
    <w:p>
      <w:pPr>
        <w:spacing w:after="0" w:line="173" w:lineRule="exact"/>
        <w:rPr>
          <w:sz w:val="20"/>
          <w:szCs w:val="20"/>
          <w:color w:val="auto"/>
        </w:rPr>
      </w:pPr>
    </w:p>
    <w:p>
      <w:pPr>
        <w:jc w:val="both"/>
        <w:ind w:left="660" w:firstLine="644"/>
        <w:spacing w:after="0" w:line="263" w:lineRule="auto"/>
        <w:tabs>
          <w:tab w:leader="none" w:pos="160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after-Tax effect of extraordinary, non-recurring, unusual or exceptional gains, losses, charges and expenses, including those related to claims or litigation (including those related to one-time settlements of pension obligations), for such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22" w:right="339" w:bottom="1440" w:gutter="0" w:footer="0" w:header="0"/>
        </w:sectPr>
      </w:pPr>
    </w:p>
    <w:bookmarkStart w:id="95" w:name="page96"/>
    <w:bookmarkEnd w:id="95"/>
    <w:p>
      <w:pPr>
        <w:jc w:val="both"/>
        <w:ind w:left="4" w:firstLine="644"/>
        <w:spacing w:after="0" w:line="257" w:lineRule="auto"/>
        <w:tabs>
          <w:tab w:leader="none" w:pos="998"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income (or loss) for such Measurement Period of Primex Ltd. (except that amount of cash actually distributed by Primex Ltd. during such Measurement Period to the Company or a Restricted Subsidiary as a dividend or other distribution shall be included);</w:t>
      </w:r>
    </w:p>
    <w:p>
      <w:pPr>
        <w:spacing w:after="0" w:line="186" w:lineRule="exact"/>
        <w:rPr>
          <w:rFonts w:ascii="Times New Roman" w:cs="Times New Roman" w:eastAsia="Times New Roman" w:hAnsi="Times New Roman"/>
          <w:sz w:val="22"/>
          <w:szCs w:val="22"/>
          <w:color w:val="auto"/>
        </w:rPr>
      </w:pPr>
    </w:p>
    <w:p>
      <w:pPr>
        <w:jc w:val="both"/>
        <w:ind w:left="4" w:firstLine="644"/>
        <w:spacing w:after="0" w:line="257" w:lineRule="auto"/>
        <w:tabs>
          <w:tab w:leader="none" w:pos="100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cumulative effect of a change in accounting principles and changes as a result of the adoption or modification of accounting policies, whether or not effected through a cumulative effect adjustment or a retroactive application or otherwise in each case in accordance with GAAP, for such Measurement Period;</w:t>
      </w:r>
    </w:p>
    <w:p>
      <w:pPr>
        <w:spacing w:after="0" w:line="172" w:lineRule="exact"/>
        <w:rPr>
          <w:rFonts w:ascii="Times New Roman" w:cs="Times New Roman" w:eastAsia="Times New Roman" w:hAnsi="Times New Roman"/>
          <w:sz w:val="22"/>
          <w:szCs w:val="22"/>
          <w:color w:val="auto"/>
        </w:rPr>
      </w:pPr>
    </w:p>
    <w:p>
      <w:pPr>
        <w:ind w:left="944" w:hanging="296"/>
        <w:spacing w:after="0"/>
        <w:tabs>
          <w:tab w:leader="none" w:pos="944"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net after-Tax effect of gains, income, losses, charges and expenses during such Measurement Period from</w:t>
      </w:r>
    </w:p>
    <w:p>
      <w:pPr>
        <w:spacing w:after="0" w:line="39" w:lineRule="exact"/>
        <w:rPr>
          <w:rFonts w:ascii="Times New Roman" w:cs="Times New Roman" w:eastAsia="Times New Roman" w:hAnsi="Times New Roman"/>
          <w:sz w:val="21"/>
          <w:szCs w:val="21"/>
          <w:color w:val="auto"/>
        </w:rPr>
      </w:pPr>
    </w:p>
    <w:p>
      <w:pPr>
        <w:jc w:val="both"/>
        <w:ind w:left="4" w:hanging="4"/>
        <w:spacing w:after="0" w:line="252" w:lineRule="auto"/>
        <w:tabs>
          <w:tab w:leader="none" w:pos="32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disposed, closed, abandoned, or discontinued operations, (2) asset dispositions or the sale of Equity Interests and (3) the early extinguishment or conversion of Indebtedness, obligations under Swap Contracts or other derivative instruments;</w:t>
      </w:r>
    </w:p>
    <w:p>
      <w:pPr>
        <w:spacing w:after="0" w:line="178"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94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purchase accounting, fair value accounting or recapitalization accounting adjustments (including the effects of such adjustments pushed down to the Company and its Restricted Subsidiaries) resulting from the application of purchase accounting, fair value accounting or recapitalization accounting in relation to any acquisition consummated before or after the Amendment No. 4 Effective Date, and the amortization, write-down or write-off of any amounts thereof, net of Taxes;</w:t>
      </w:r>
    </w:p>
    <w:p>
      <w:pPr>
        <w:spacing w:after="0" w:line="178" w:lineRule="exact"/>
        <w:rPr>
          <w:rFonts w:ascii="Times New Roman" w:cs="Times New Roman" w:eastAsia="Times New Roman" w:hAnsi="Times New Roman"/>
          <w:sz w:val="22"/>
          <w:szCs w:val="22"/>
          <w:color w:val="auto"/>
        </w:rPr>
      </w:pPr>
    </w:p>
    <w:p>
      <w:pPr>
        <w:jc w:val="both"/>
        <w:ind w:left="4" w:firstLine="644"/>
        <w:spacing w:after="0" w:line="252" w:lineRule="auto"/>
        <w:tabs>
          <w:tab w:leader="none" w:pos="922"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impairment charge or expense, asset write-off or write-down, including impairment charges or asset write-offs or write-downs related to intangible assets (including goodwill), long-lived assets or investments in debt and equity securities or as a result of a change in law or regulations, in each case, pursuant to GAAP and the amortization of intangibles arising pursuant to GAAP;</w:t>
      </w:r>
    </w:p>
    <w:p>
      <w:pPr>
        <w:spacing w:after="0" w:line="192" w:lineRule="exact"/>
        <w:rPr>
          <w:rFonts w:ascii="Times New Roman" w:cs="Times New Roman" w:eastAsia="Times New Roman" w:hAnsi="Times New Roman"/>
          <w:sz w:val="22"/>
          <w:szCs w:val="22"/>
          <w:color w:val="auto"/>
        </w:rPr>
      </w:pPr>
    </w:p>
    <w:p>
      <w:pPr>
        <w:ind w:left="4" w:right="20" w:firstLine="644"/>
        <w:spacing w:after="0" w:line="271" w:lineRule="auto"/>
        <w:tabs>
          <w:tab w:leader="none" w:pos="971"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non-cash compensation charge or expense,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subsequent settlement in cash shall reduce Consolidated Net Income for the Measurement Period in which such payment occurs;</w:t>
      </w:r>
    </w:p>
    <w:p>
      <w:pPr>
        <w:spacing w:after="0" w:line="157" w:lineRule="exact"/>
        <w:rPr>
          <w:rFonts w:ascii="Times New Roman" w:cs="Times New Roman" w:eastAsia="Times New Roman" w:hAnsi="Times New Roman"/>
          <w:sz w:val="22"/>
          <w:szCs w:val="22"/>
          <w:color w:val="auto"/>
        </w:rPr>
      </w:pPr>
    </w:p>
    <w:p>
      <w:pPr>
        <w:jc w:val="both"/>
        <w:ind w:left="4" w:firstLine="644"/>
        <w:spacing w:after="0" w:line="257" w:lineRule="auto"/>
        <w:tabs>
          <w:tab w:leader="none" w:pos="971"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accruals or reserves established for expenses for non-cash compensation charges and expenses,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cash payment in respect thereof in such future period shall be subtracted from Consolidated Net Income in such future period to such extent paid;</w:t>
      </w:r>
    </w:p>
    <w:p>
      <w:pPr>
        <w:spacing w:after="0" w:line="186" w:lineRule="exact"/>
        <w:rPr>
          <w:rFonts w:ascii="Times New Roman" w:cs="Times New Roman" w:eastAsia="Times New Roman" w:hAnsi="Times New Roman"/>
          <w:sz w:val="22"/>
          <w:szCs w:val="22"/>
          <w:color w:val="auto"/>
        </w:rPr>
      </w:pPr>
    </w:p>
    <w:p>
      <w:pPr>
        <w:ind w:left="904" w:hanging="256"/>
        <w:spacing w:after="0"/>
        <w:tabs>
          <w:tab w:leader="none" w:pos="904"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losses, charges and expenses from earn-out obligations;</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0" w:lineRule="auto"/>
        <w:tabs>
          <w:tab w:leader="none" w:pos="977"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charges, expenses and fees incurred, including financial advisory, accounting, auditor, legal and other consulting and advisory fees and any filing fees and expenses, or any amortization thereof, in connection with any equity offering, Acquisition, merger, amalgamation, Investment, recapitalization, Disposition, incurrence or repayment of Indebtedness (including deferred financing expenses), refinancing transaction, restructuring or amendment or modification of any debt instrument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584"/>
          </w:cols>
          <w:pgMar w:left="976" w:top="1422" w:right="339" w:bottom="1440" w:gutter="0" w:footer="0" w:header="0"/>
        </w:sectPr>
      </w:pPr>
    </w:p>
    <w:bookmarkStart w:id="96" w:name="page97"/>
    <w:bookmarkEnd w:id="96"/>
    <w:p>
      <w:pPr>
        <w:jc w:val="both"/>
        <w:spacing w:after="0" w:line="257" w:lineRule="auto"/>
        <w:rPr>
          <w:sz w:val="20"/>
          <w:szCs w:val="20"/>
          <w:color w:val="auto"/>
        </w:rPr>
      </w:pPr>
      <w:r>
        <w:rPr>
          <w:rFonts w:ascii="Times New Roman" w:cs="Times New Roman" w:eastAsia="Times New Roman" w:hAnsi="Times New Roman"/>
          <w:sz w:val="22"/>
          <w:szCs w:val="22"/>
          <w:color w:val="auto"/>
        </w:rPr>
        <w:t>including in connection with the Transactions and any such transaction consummated prior to the Amendment No. 4 Effective Date and any transaction undertaken but not completed) and any non-recurring charges and expenses (including non-recurring merger or amalgamation expenses) incurred as a result of any such transaction;</w:t>
      </w:r>
    </w:p>
    <w:p>
      <w:pPr>
        <w:spacing w:after="0" w:line="186" w:lineRule="exact"/>
        <w:rPr>
          <w:sz w:val="20"/>
          <w:szCs w:val="20"/>
          <w:color w:val="auto"/>
        </w:rPr>
      </w:pPr>
    </w:p>
    <w:p>
      <w:pPr>
        <w:jc w:val="both"/>
        <w:ind w:firstLine="644"/>
        <w:spacing w:after="0" w:line="257" w:lineRule="auto"/>
        <w:tabs>
          <w:tab w:leader="none" w:pos="96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unrealized gain or loss (after any offset) resulting from currency translation gains or losses related to currency remeasurements of debt (including any net gain or loss resulting from obligations under hedging obligations for currency exchange risk) and any foreign currency translation gains or losses;</w:t>
      </w:r>
    </w:p>
    <w:p>
      <w:pPr>
        <w:spacing w:after="0" w:line="172" w:lineRule="exact"/>
        <w:rPr>
          <w:rFonts w:ascii="Times New Roman" w:cs="Times New Roman" w:eastAsia="Times New Roman" w:hAnsi="Times New Roman"/>
          <w:sz w:val="22"/>
          <w:szCs w:val="22"/>
          <w:color w:val="auto"/>
        </w:rPr>
      </w:pPr>
    </w:p>
    <w:p>
      <w:pPr>
        <w:jc w:val="both"/>
        <w:ind w:firstLine="644"/>
        <w:spacing w:after="0" w:line="251" w:lineRule="auto"/>
        <w:tabs>
          <w:tab w:leader="none" w:pos="93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net income for such Measurement Period of any Person that is not a Subsidiary, or is an Unrestricted Subsidiary, or that is accounted for by the equity method of accounting (other than a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Consolidated Net Income of the Company and its Restricted Subsidiaries shall be increased by the amount of dividends or distributions or other payments that are actually paid in cash or Cash Equivalents (or to the extent converted into cash or Cash Equivalents) to the Company and its Restricted Subsidiaries thereof in respect of such Measurement Period or a prior Measurement Period to the extent not previously included;</w:t>
      </w:r>
    </w:p>
    <w:p>
      <w:pPr>
        <w:spacing w:after="0" w:line="181" w:lineRule="exact"/>
        <w:rPr>
          <w:rFonts w:ascii="Times New Roman" w:cs="Times New Roman" w:eastAsia="Times New Roman" w:hAnsi="Times New Roman"/>
          <w:sz w:val="22"/>
          <w:szCs w:val="22"/>
          <w:color w:val="auto"/>
        </w:rPr>
      </w:pPr>
    </w:p>
    <w:p>
      <w:pPr>
        <w:jc w:val="both"/>
        <w:ind w:firstLine="644"/>
        <w:spacing w:after="0" w:line="268" w:lineRule="auto"/>
        <w:tabs>
          <w:tab w:leader="none" w:pos="1014"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covered by insurance and actually reimbursed (or the Company has determined that there exists reasonable evidence that such amount will be reimbursed by the insurer and such amount is not denied by the applicable insurer in writing within 180 days and is reimbursed within 365 days of the date of such evidence (with a deduction in any future calculation of Consolidated Net Income for any amount so added back to the extent not so reimbursed within such 365-day period)), any expenses, charges or losses with respect to liability or casualty events or business interruption;</w:t>
      </w:r>
    </w:p>
    <w:p>
      <w:pPr>
        <w:spacing w:after="0" w:line="163" w:lineRule="exact"/>
        <w:rPr>
          <w:rFonts w:ascii="Times New Roman" w:cs="Times New Roman" w:eastAsia="Times New Roman" w:hAnsi="Times New Roman"/>
          <w:sz w:val="21"/>
          <w:szCs w:val="21"/>
          <w:color w:val="auto"/>
        </w:rPr>
      </w:pPr>
    </w:p>
    <w:p>
      <w:pPr>
        <w:jc w:val="both"/>
        <w:ind w:firstLine="644"/>
        <w:spacing w:after="0" w:line="263" w:lineRule="auto"/>
        <w:tabs>
          <w:tab w:leader="none" w:pos="96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of any entity in which the Company or any Restricted Subsidiary has a joint interest with a third party, except to the extent such net income is actually paid in cash or Cash Equivalents by dividend or other distribution during such Measurement Period;</w:t>
      </w:r>
    </w:p>
    <w:p>
      <w:pPr>
        <w:spacing w:after="0" w:line="167" w:lineRule="exact"/>
        <w:rPr>
          <w:rFonts w:ascii="Times New Roman" w:cs="Times New Roman" w:eastAsia="Times New Roman" w:hAnsi="Times New Roman"/>
          <w:sz w:val="22"/>
          <w:szCs w:val="22"/>
          <w:color w:val="auto"/>
        </w:rPr>
      </w:pPr>
    </w:p>
    <w:p>
      <w:pPr>
        <w:ind w:right="20" w:firstLine="644"/>
        <w:spacing w:after="0" w:line="271" w:lineRule="auto"/>
        <w:tabs>
          <w:tab w:leader="none" w:pos="98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income (or loss) of any Person accrued prior to the date it becomes a Restricted Subsidiary or is merged into or consolidated with the Company or any of its Restricted Subsidiaries; and</w:t>
      </w:r>
    </w:p>
    <w:p>
      <w:pPr>
        <w:spacing w:after="0" w:line="157" w:lineRule="exact"/>
        <w:rPr>
          <w:rFonts w:ascii="Times New Roman" w:cs="Times New Roman" w:eastAsia="Times New Roman" w:hAnsi="Times New Roman"/>
          <w:sz w:val="22"/>
          <w:szCs w:val="22"/>
          <w:color w:val="auto"/>
        </w:rPr>
      </w:pPr>
    </w:p>
    <w:p>
      <w:pPr>
        <w:jc w:val="both"/>
        <w:ind w:firstLine="644"/>
        <w:spacing w:after="0" w:line="263" w:lineRule="auto"/>
        <w:tabs>
          <w:tab w:leader="none" w:pos="99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purposes of determining the amount available for Restricted Payments under clause (b) of the definition of “Cumulative Available Amount,” any income (but not loss) of any Restricted Subsidiary (other than the Guarantors) if:</w:t>
      </w:r>
    </w:p>
    <w:p>
      <w:pPr>
        <w:spacing w:after="0" w:line="167" w:lineRule="exact"/>
        <w:rPr>
          <w:rFonts w:ascii="Times New Roman" w:cs="Times New Roman" w:eastAsia="Times New Roman" w:hAnsi="Times New Roman"/>
          <w:sz w:val="22"/>
          <w:szCs w:val="22"/>
          <w:color w:val="auto"/>
        </w:rPr>
      </w:pPr>
    </w:p>
    <w:p>
      <w:pPr>
        <w:jc w:val="both"/>
        <w:ind w:left="1300" w:hanging="8"/>
        <w:spacing w:after="0" w:line="250" w:lineRule="auto"/>
        <w:tabs>
          <w:tab w:leader="none" w:pos="155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Restricted Subsidiary is subject to restrictions, directly or indirectly, on the payment of dividends or the making of distributions by such Restricted Subsidiary, directly or indirectly, to the Company or a Guarantor by operation of the terms of such Restricted Subsidiary’s articles, charter or any agreement, instrument, judgment, decree, order, statute or governmental rule or regulation applicable to such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0580"/>
          </w:cols>
          <w:pgMar w:left="980" w:top="1422" w:right="339" w:bottom="1440" w:gutter="0" w:footer="0" w:header="0"/>
        </w:sectPr>
      </w:pPr>
    </w:p>
    <w:bookmarkStart w:id="97" w:name="page98"/>
    <w:bookmarkEnd w:id="97"/>
    <w:p>
      <w:pPr>
        <w:ind w:left="1960" w:right="540"/>
        <w:spacing w:after="0" w:line="448" w:lineRule="auto"/>
        <w:rPr>
          <w:sz w:val="20"/>
          <w:szCs w:val="20"/>
          <w:color w:val="auto"/>
        </w:rPr>
      </w:pPr>
      <w:r>
        <w:rPr>
          <w:rFonts w:ascii="Times New Roman" w:cs="Times New Roman" w:eastAsia="Times New Roman" w:hAnsi="Times New Roman"/>
          <w:sz w:val="22"/>
          <w:szCs w:val="22"/>
          <w:color w:val="auto"/>
        </w:rPr>
        <w:t>Subsidiary or its stockholders (other than restrictions that have been waived or otherwise released) or (ii) such income would be subject to any taxes payable on such dividends or distributions;</w:t>
      </w:r>
    </w:p>
    <w:p>
      <w:pPr>
        <w:spacing w:after="0" w:line="1"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Consolidated Net Income of the Company and its Restricted Subsidiaries will be increased by the amount of dividends or other distributions or other payments actually paid in cash or Cash Equivalents (or to the extent converted into cash or Cash Equivalents) to the Company or any of the Restricted Subsidiaries (to the extent not subject to any such restriction) in respect of such Measurement Period or a prior Measurement Period, to the extent not previously included.</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Leverage Ratio</w:t>
      </w:r>
      <w:r>
        <w:rPr>
          <w:rFonts w:ascii="Times New Roman" w:cs="Times New Roman" w:eastAsia="Times New Roman" w:hAnsi="Times New Roman"/>
          <w:sz w:val="22"/>
          <w:szCs w:val="22"/>
          <w:color w:val="auto"/>
        </w:rPr>
        <w:t xml:space="preserve">” means, as of any date of determination, the ratio of (a) (i) Consolidated Funded Indebtedness as of such date less (ii) an amount equal to one-hundred percent (100%) of the cash held by the Company and its Restricted Subsidiaries on such date free and clear of all Liens (other than non-consensual Liens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Liens permitted by </w:t>
      </w:r>
      <w:r>
        <w:rPr>
          <w:rFonts w:ascii="Times New Roman" w:cs="Times New Roman" w:eastAsia="Times New Roman" w:hAnsi="Times New Roman"/>
          <w:sz w:val="22"/>
          <w:szCs w:val="22"/>
          <w:u w:val="single" w:color="auto"/>
          <w:color w:val="auto"/>
        </w:rPr>
        <w:t>Section 7.01(a)</w:t>
      </w:r>
      <w:r>
        <w:rPr>
          <w:rFonts w:ascii="Times New Roman" w:cs="Times New Roman" w:eastAsia="Times New Roman" w:hAnsi="Times New Roman"/>
          <w:sz w:val="22"/>
          <w:szCs w:val="22"/>
          <w:color w:val="auto"/>
        </w:rPr>
        <w:t>) to (b) Consolidated EBITDA of the Company and its Restricted Subsidiaries on a consolidated basis for the most recently completed Measurement Period.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Leverage Ratio Increase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7.11(b)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Secured Net Leverage Ratio</w:t>
      </w:r>
      <w:r>
        <w:rPr>
          <w:rFonts w:ascii="Times New Roman" w:cs="Times New Roman" w:eastAsia="Times New Roman" w:hAnsi="Times New Roman"/>
          <w:sz w:val="22"/>
          <w:szCs w:val="22"/>
          <w:color w:val="auto"/>
        </w:rPr>
        <w:t xml:space="preserve">” means, as of any date of determination, the ratio of (a) (i) Consolidated Funded Indebtedness as of such date that is secured by a Lien on any asset or property of the Company or its Restricted Subsidiaries less (ii) an amount equal to one-hundred percent (100%) of the cash held by the Company and its Restricted Subsidiaries free and clear of all Liens (other than non-consensual Liens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and Liens permitted by </w:t>
      </w:r>
      <w:r>
        <w:rPr>
          <w:rFonts w:ascii="Times New Roman" w:cs="Times New Roman" w:eastAsia="Times New Roman" w:hAnsi="Times New Roman"/>
          <w:sz w:val="22"/>
          <w:szCs w:val="22"/>
          <w:u w:val="single" w:color="auto"/>
          <w:color w:val="auto"/>
        </w:rPr>
        <w:t>Section 7.01(a)</w:t>
      </w:r>
      <w:r>
        <w:rPr>
          <w:rFonts w:ascii="Times New Roman" w:cs="Times New Roman" w:eastAsia="Times New Roman" w:hAnsi="Times New Roman"/>
          <w:sz w:val="22"/>
          <w:szCs w:val="22"/>
          <w:color w:val="auto"/>
        </w:rPr>
        <w:t>) to (b) Consolidated EBITDA of the Company and its Restricted Subsidiaries on a consolidated basis for the most recently completed Measurement Period.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Secured Net Leverage Ratio Increase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7.11(b)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Working Capital</w:t>
      </w:r>
      <w:r>
        <w:rPr>
          <w:rFonts w:ascii="Times New Roman" w:cs="Times New Roman" w:eastAsia="Times New Roman" w:hAnsi="Times New Roman"/>
          <w:sz w:val="22"/>
          <w:szCs w:val="22"/>
          <w:color w:val="auto"/>
        </w:rPr>
        <w:t>” means, at any date, the excess of (a) all amounts (other than cash and Cash Equivalents) that would, in conformity with GAAP, be set forth opposite the caption “total current assets” (or any like caption) on a consolidated balance sheet of the Company and its Restricted Subsidiaries on a consolidated basis at such date, excluding the current portion of current and deferred income taxes over (b) the sum of all amounts that would, in conformity with GAAP, be set forth opposite the caption “total current liabilities” (or any like caption) on a consolidated balance sheet of the Company and its Restricted Subsidiaries on a consolidated basis on such date; provided that the calculation of Consolidated Working Capital shall exclude (1) the impact of reclassification of items from short-term to long-term or vice versa in accordance with GAAP, (2) any increases or decreases arising from acquisitions by the Company and its Restricted Subsidiaries (other than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22" w:right="339" w:bottom="1440" w:gutter="0" w:footer="0" w:header="0"/>
        </w:sectPr>
      </w:pPr>
    </w:p>
    <w:bookmarkStart w:id="98" w:name="page99"/>
    <w:bookmarkEnd w:id="98"/>
    <w:p>
      <w:pPr>
        <w:jc w:val="both"/>
        <w:spacing w:after="0" w:line="257" w:lineRule="auto"/>
        <w:rPr>
          <w:sz w:val="20"/>
          <w:szCs w:val="20"/>
          <w:color w:val="auto"/>
        </w:rPr>
      </w:pPr>
      <w:r>
        <w:rPr>
          <w:rFonts w:ascii="Times New Roman" w:cs="Times New Roman" w:eastAsia="Times New Roman" w:hAnsi="Times New Roman"/>
          <w:sz w:val="22"/>
          <w:szCs w:val="22"/>
          <w:color w:val="auto"/>
        </w:rPr>
        <w:t>completed during such Excess Cash Flow Period, (3) any increases or decreases arising from the application of purchase accounting, and (4) any increase or decrease arising from fluctuations in fair value of hedging agreements or other derivative obligations.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as to any Person, any provision of any security issued by such Person or of any agreement, instrument or other undertaking to which such Person is a party or by which it or any of its property is bound.</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CORRA</w:t>
      </w:r>
      <w:r>
        <w:rPr>
          <w:rFonts w:ascii="Times New Roman" w:cs="Times New Roman" w:eastAsia="Times New Roman" w:hAnsi="Times New Roman"/>
          <w:sz w:val="22"/>
          <w:szCs w:val="22"/>
          <w:color w:val="auto"/>
        </w:rPr>
        <w:t>” means the Canadian Overnight Repo Rate Average administered and published by the Bank of Canada (or any successor administrator).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10.23(b)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10.23(a)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Co-Documentation Agents</w:t>
      </w:r>
      <w:r>
        <w:rPr>
          <w:rFonts w:ascii="Times New Roman" w:cs="Times New Roman" w:eastAsia="Times New Roman" w:hAnsi="Times New Roman"/>
          <w:sz w:val="22"/>
          <w:szCs w:val="22"/>
          <w:color w:val="auto"/>
        </w:rPr>
        <w:t>” means, collectively, Deutsche Bank Securities Inc. and Morgan Stanley Senior Funding, Inc., in their respective capacities as co-documentation agents.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CRD IV</w:t>
      </w:r>
      <w:r>
        <w:rPr>
          <w:rFonts w:ascii="Times New Roman" w:cs="Times New Roman" w:eastAsia="Times New Roman" w:hAnsi="Times New Roman"/>
          <w:sz w:val="22"/>
          <w:szCs w:val="22"/>
          <w:color w:val="auto"/>
        </w:rPr>
        <w:t>” means (a) Regulation (EU) No 575/2013 of the European Parliament and of the Council of 26 June 2013 on prudential requirements for credit institutions and investment firms; and (b) Directive 2013/36/EU of the European Parliament and of the Council of 26 June 2013 on access to the activity of credit institutions and the prudential supervision of credit institutions and investment firms.</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CRD V</w:t>
      </w:r>
      <w:r>
        <w:rPr>
          <w:rFonts w:ascii="Times New Roman" w:cs="Times New Roman" w:eastAsia="Times New Roman" w:hAnsi="Times New Roman"/>
          <w:sz w:val="22"/>
          <w:szCs w:val="22"/>
          <w:color w:val="auto"/>
        </w:rPr>
        <w:t>” means (i) Directive (EU) 2019/878 of the European Parliament and of the Council of 20 May 2019 amending Directive 2013/36/EU as regards exempted entities, financial holding companies, mixed financial holding companies, remuneration, supervisory measures and powers and capital conservations measures and (ii) Regulation (EU) 2019/876 of the European Parliament and of the Council of 20 May 2019 amending Regulation (EU) No 575/2013 as regards the leverage ratio, the net stable funding ratio, requirements for own funds and eligible liabilities, counterparty credit risk, market risk, exposures to central counterparties, exposures to collective investment undertakings, large exposures, reporting and disclosure requirements, and Regulation (EU) No 648/2012.</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CRD VI</w:t>
      </w:r>
      <w:r>
        <w:rPr>
          <w:rFonts w:ascii="Times New Roman" w:cs="Times New Roman" w:eastAsia="Times New Roman" w:hAnsi="Times New Roman"/>
          <w:sz w:val="22"/>
          <w:szCs w:val="22"/>
          <w:color w:val="auto"/>
        </w:rPr>
        <w:t>” means (i) Directive (EU) 2024/1619 of the European Parliament and of the Council of 31 May 2024 amending directive 2013/36/EU as regards supervisory powers, sanctions, third-country branches, and environmental, social and governance risks and (ii) Regulation (EU) 2024/1623 of the European Parliament and of the Council of 31 May 2024 amending Regulation (EU) No 575/2013 as regards requirements for credit risk, credit valuation adjustment risk, operational risk, market risk and the output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22"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Extension</w:t>
      </w:r>
      <w:r>
        <w:rPr>
          <w:rFonts w:ascii="Times New Roman" w:cs="Times New Roman" w:eastAsia="Times New Roman" w:hAnsi="Times New Roman"/>
          <w:sz w:val="22"/>
          <w:szCs w:val="22"/>
          <w:color w:val="auto"/>
        </w:rPr>
        <w:t>” means each of the following: (a) a Borrowing and (b) an L/C Credit Extension.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Cumulative Available Amount</w:t>
      </w:r>
      <w:r>
        <w:rPr>
          <w:rFonts w:ascii="Times New Roman" w:cs="Times New Roman" w:eastAsia="Times New Roman" w:hAnsi="Times New Roman"/>
          <w:sz w:val="22"/>
          <w:szCs w:val="22"/>
          <w:color w:val="auto"/>
        </w:rPr>
        <w:t>” means, as of any date of determination, an amount (which shall not be less than zero)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equal to the sum (without duplication) of:</w:t>
      </w:r>
    </w:p>
    <w:p>
      <w:pPr>
        <w:spacing w:after="0" w:line="209" w:lineRule="exact"/>
        <w:rPr>
          <w:sz w:val="20"/>
          <w:szCs w:val="20"/>
          <w:color w:val="auto"/>
        </w:rPr>
      </w:pPr>
    </w:p>
    <w:p>
      <w:pPr>
        <w:ind w:left="660" w:right="20" w:hanging="328"/>
        <w:spacing w:after="0" w:line="271" w:lineRule="auto"/>
        <w:tabs>
          <w:tab w:leader="none" w:pos="65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greater of $165,000,000 and 50.0% of Consolidated EBITDA for the most recently completed Measurement Period, </w:t>
      </w:r>
      <w:r>
        <w:rPr>
          <w:rFonts w:ascii="Times New Roman" w:cs="Times New Roman" w:eastAsia="Times New Roman" w:hAnsi="Times New Roman"/>
          <w:sz w:val="22"/>
          <w:szCs w:val="22"/>
          <w:i w:val="1"/>
          <w:iCs w:val="1"/>
          <w:color w:val="auto"/>
        </w:rPr>
        <w:t>plus</w:t>
      </w:r>
    </w:p>
    <w:p>
      <w:pPr>
        <w:spacing w:after="0" w:line="157" w:lineRule="exact"/>
        <w:rPr>
          <w:rFonts w:ascii="Times New Roman" w:cs="Times New Roman" w:eastAsia="Times New Roman" w:hAnsi="Times New Roman"/>
          <w:sz w:val="22"/>
          <w:szCs w:val="22"/>
          <w:color w:val="auto"/>
        </w:rPr>
      </w:pPr>
    </w:p>
    <w:p>
      <w:pPr>
        <w:jc w:val="both"/>
        <w:ind w:left="660" w:hanging="328"/>
        <w:spacing w:after="0" w:line="256" w:lineRule="auto"/>
        <w:tabs>
          <w:tab w:leader="none" w:pos="65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50.0% of the Consolidated Net Income for the period (taken as one accounting period) beginning on the first day of the fiscal quarter in which the Amendment No. 4 Effective Date occurs to the end of the most recently ended fiscal quarter for which internal financial statements are available at the time of determination, or, in the case that such Consolidated Net Income for any fiscal quarter in such period is a deficit, $0, </w:t>
      </w:r>
      <w:r>
        <w:rPr>
          <w:rFonts w:ascii="Times New Roman" w:cs="Times New Roman" w:eastAsia="Times New Roman" w:hAnsi="Times New Roman"/>
          <w:sz w:val="22"/>
          <w:szCs w:val="22"/>
          <w:i w:val="1"/>
          <w:iCs w:val="1"/>
          <w:color w:val="auto"/>
        </w:rPr>
        <w:t>plus</w:t>
      </w:r>
    </w:p>
    <w:p>
      <w:pPr>
        <w:spacing w:after="0" w:line="176"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5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100.0% of the aggregate net cash proceeds, including cash and the Fair Market Value of assets (other than cash), received by the Company after the Amendment No. 4 Effective Date from the issuance or sale of Qualified Equity Interests of the Company, including such Qualified Equity Interests issued upon exercise of warrants or options, </w:t>
      </w:r>
      <w:r>
        <w:rPr>
          <w:rFonts w:ascii="Times New Roman" w:cs="Times New Roman" w:eastAsia="Times New Roman" w:hAnsi="Times New Roman"/>
          <w:sz w:val="22"/>
          <w:szCs w:val="22"/>
          <w:i w:val="1"/>
          <w:iCs w:val="1"/>
          <w:color w:val="auto"/>
        </w:rPr>
        <w:t>plus</w:t>
      </w:r>
    </w:p>
    <w:p>
      <w:pPr>
        <w:spacing w:after="0" w:line="172" w:lineRule="exact"/>
        <w:rPr>
          <w:rFonts w:ascii="Times New Roman" w:cs="Times New Roman" w:eastAsia="Times New Roman" w:hAnsi="Times New Roman"/>
          <w:sz w:val="22"/>
          <w:szCs w:val="22"/>
          <w:color w:val="auto"/>
        </w:rPr>
      </w:pPr>
    </w:p>
    <w:p>
      <w:pPr>
        <w:jc w:val="both"/>
        <w:ind w:left="660" w:hanging="328"/>
        <w:spacing w:after="0" w:line="263" w:lineRule="auto"/>
        <w:tabs>
          <w:tab w:leader="none" w:pos="65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100.0% of the aggregate amount of contributions to the capital (other than Disqualified Equity Interests) of the Company, including cash and the Fair Market Value of assets (other than cash), received by the Company after the Amendment No. 4 Effective Date, </w:t>
      </w:r>
      <w:r>
        <w:rPr>
          <w:rFonts w:ascii="Times New Roman" w:cs="Times New Roman" w:eastAsia="Times New Roman" w:hAnsi="Times New Roman"/>
          <w:sz w:val="22"/>
          <w:szCs w:val="22"/>
          <w:i w:val="1"/>
          <w:iCs w:val="1"/>
          <w:color w:val="auto"/>
        </w:rPr>
        <w:t>plus</w:t>
      </w:r>
    </w:p>
    <w:p>
      <w:pPr>
        <w:spacing w:after="0" w:line="167" w:lineRule="exact"/>
        <w:rPr>
          <w:rFonts w:ascii="Times New Roman" w:cs="Times New Roman" w:eastAsia="Times New Roman" w:hAnsi="Times New Roman"/>
          <w:sz w:val="22"/>
          <w:szCs w:val="22"/>
          <w:color w:val="auto"/>
        </w:rPr>
      </w:pPr>
    </w:p>
    <w:p>
      <w:pPr>
        <w:jc w:val="both"/>
        <w:ind w:left="660" w:hanging="328"/>
        <w:spacing w:after="0" w:line="253" w:lineRule="auto"/>
        <w:tabs>
          <w:tab w:leader="none" w:pos="65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principal amount of any Indebtedness, or the liquidation preference or maximum fixed repurchase price, as the case may be, of any Disqualified Equity Interests, in each case, of the Company or any Restricted Subsidiary (other than Indebtedness or Disqualified Equity Interests issued to a Restricted Subsidiary or an employee stock ownership plan or trust established by the Company or any Restricted Subsidiary) that, in each case, has been converted into or exchanged for Equity Interests in the Company after the Amendment No. 4 Effective Date, </w:t>
      </w:r>
      <w:r>
        <w:rPr>
          <w:rFonts w:ascii="Times New Roman" w:cs="Times New Roman" w:eastAsia="Times New Roman" w:hAnsi="Times New Roman"/>
          <w:sz w:val="22"/>
          <w:szCs w:val="22"/>
          <w:i w:val="1"/>
          <w:iCs w:val="1"/>
          <w:color w:val="auto"/>
        </w:rPr>
        <w:t>plus</w:t>
      </w:r>
    </w:p>
    <w:p>
      <w:pPr>
        <w:spacing w:after="0" w:line="178"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100.0% of the net cash proceeds received by the Company or any Restricted Subsidiary from the Disposition (other than to the Company or a Restricted Subsidiary of the Company) of Investments made after the Amendment No. 4 Effective Date by the Company and its Restricted Subsidiaries pursuant to </w:t>
      </w:r>
      <w:r>
        <w:rPr>
          <w:rFonts w:ascii="Times New Roman" w:cs="Times New Roman" w:eastAsia="Times New Roman" w:hAnsi="Times New Roman"/>
          <w:sz w:val="22"/>
          <w:szCs w:val="22"/>
          <w:u w:val="single" w:color="auto"/>
          <w:color w:val="auto"/>
        </w:rPr>
        <w:t>Section 7.03(m)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plus</w:t>
      </w:r>
    </w:p>
    <w:p>
      <w:pPr>
        <w:spacing w:after="0" w:line="172" w:lineRule="exact"/>
        <w:rPr>
          <w:rFonts w:ascii="Times New Roman" w:cs="Times New Roman" w:eastAsia="Times New Roman" w:hAnsi="Times New Roman"/>
          <w:sz w:val="22"/>
          <w:szCs w:val="22"/>
          <w:color w:val="auto"/>
        </w:rPr>
      </w:pPr>
    </w:p>
    <w:p>
      <w:pPr>
        <w:jc w:val="both"/>
        <w:ind w:left="660" w:hanging="328"/>
        <w:spacing w:after="0" w:line="255" w:lineRule="auto"/>
        <w:tabs>
          <w:tab w:leader="none" w:pos="65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 of the aggregate amount of net cash proceeds, including cash and the Fair Market Value of assets (other than cash), received and retained by the Company and any Restricted Subsidiary from the Disposition (other than to the Company or a Restricted Subsidiary of the Company) of assets after the Amendment No. 4 Effective Date, to the extent</w:t>
      </w:r>
    </w:p>
    <w:p>
      <w:pPr>
        <w:jc w:val="both"/>
        <w:ind w:left="660" w:hanging="4"/>
        <w:spacing w:after="0" w:line="245" w:lineRule="auto"/>
        <w:tabs>
          <w:tab w:leader="none" w:pos="100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prepayment is required under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 xml:space="preserve"> with respect to such proceeds and (y) such proceeds are not reinvested in accordance with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 xml:space="preserve"> (without duplication of any amounts included in clause (j) of this definition), </w:t>
      </w:r>
      <w:r>
        <w:rPr>
          <w:rFonts w:ascii="Times New Roman" w:cs="Times New Roman" w:eastAsia="Times New Roman" w:hAnsi="Times New Roman"/>
          <w:sz w:val="22"/>
          <w:szCs w:val="22"/>
          <w:i w:val="1"/>
          <w:iCs w:val="1"/>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22" w:right="339" w:bottom="1440" w:gutter="0" w:footer="0" w:header="0"/>
        </w:sectPr>
      </w:pPr>
    </w:p>
    <w:bookmarkStart w:id="100" w:name="page101"/>
    <w:bookmarkEnd w:id="100"/>
    <w:p>
      <w:pPr>
        <w:jc w:val="both"/>
        <w:ind w:left="660" w:hanging="328"/>
        <w:spacing w:after="0" w:line="272" w:lineRule="auto"/>
        <w:tabs>
          <w:tab w:leader="none" w:pos="65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100% of the aggregate amount received by the Company or any Restricted Subsidiary in cash or Cash Equivalents (or to the extent converted into cash or Cash Equivalents) after the Amendment No. 4 Effective Date from any dividend, other distribution or interest payment from any Unrestricted Subsidiary or joint venture (without duplication of any amounts included in Consolidated Net Income pursuant to clause (n) of the definition of Consolidated Net Income), </w:t>
      </w:r>
      <w:r>
        <w:rPr>
          <w:rFonts w:ascii="Times New Roman" w:cs="Times New Roman" w:eastAsia="Times New Roman" w:hAnsi="Times New Roman"/>
          <w:sz w:val="21"/>
          <w:szCs w:val="21"/>
          <w:i w:val="1"/>
          <w:iCs w:val="1"/>
          <w:color w:val="auto"/>
        </w:rPr>
        <w:t>plus</w:t>
      </w:r>
    </w:p>
    <w:p>
      <w:pPr>
        <w:spacing w:after="0" w:line="160" w:lineRule="exact"/>
        <w:rPr>
          <w:rFonts w:ascii="Times New Roman" w:cs="Times New Roman" w:eastAsia="Times New Roman" w:hAnsi="Times New Roman"/>
          <w:sz w:val="21"/>
          <w:szCs w:val="21"/>
          <w:color w:val="auto"/>
        </w:rPr>
      </w:pPr>
    </w:p>
    <w:p>
      <w:pPr>
        <w:jc w:val="both"/>
        <w:ind w:left="660" w:hanging="328"/>
        <w:spacing w:after="0" w:line="253" w:lineRule="auto"/>
        <w:tabs>
          <w:tab w:leader="none" w:pos="64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any Unrestricted Subsidiary of the Company has been redesignated as a Restricted Subsidiary or has been merged, consolidated or amalgamated with or into, or transfers or conveys its assets to, or is liquidated into, the Company or a Restricted Subsidiary of the Company, in each case after the Amendment No. 4 Effective Date, the Fair Market Value of Investments by the Company or any Restricted Subsidiary in such Unrestricted Subsidiary at the time of such redesignation, combination or transfer (or of the assets transferred or conveyed, as applicable), </w:t>
      </w:r>
      <w:r>
        <w:rPr>
          <w:rFonts w:ascii="Times New Roman" w:cs="Times New Roman" w:eastAsia="Times New Roman" w:hAnsi="Times New Roman"/>
          <w:sz w:val="22"/>
          <w:szCs w:val="22"/>
          <w:i w:val="1"/>
          <w:iCs w:val="1"/>
          <w:color w:val="auto"/>
        </w:rPr>
        <w:t>plus</w:t>
      </w:r>
    </w:p>
    <w:p>
      <w:pPr>
        <w:spacing w:after="0" w:line="174"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Declined Amounts, </w:t>
      </w:r>
      <w:r>
        <w:rPr>
          <w:rFonts w:ascii="Times New Roman" w:cs="Times New Roman" w:eastAsia="Times New Roman" w:hAnsi="Times New Roman"/>
          <w:sz w:val="22"/>
          <w:szCs w:val="22"/>
          <w:i w:val="1"/>
          <w:iCs w:val="1"/>
          <w:color w:val="auto"/>
        </w:rPr>
        <w:t>minus</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amount of Investments made pursuant to </w:t>
      </w:r>
      <w:r>
        <w:rPr>
          <w:rFonts w:ascii="Times New Roman" w:cs="Times New Roman" w:eastAsia="Times New Roman" w:hAnsi="Times New Roman"/>
          <w:sz w:val="21"/>
          <w:szCs w:val="21"/>
          <w:u w:val="single" w:color="auto"/>
          <w:color w:val="auto"/>
        </w:rPr>
        <w:t>Section 7.03(m)</w:t>
      </w:r>
      <w:r>
        <w:rPr>
          <w:rFonts w:ascii="Times New Roman" w:cs="Times New Roman" w:eastAsia="Times New Roman" w:hAnsi="Times New Roman"/>
          <w:sz w:val="21"/>
          <w:szCs w:val="21"/>
          <w:color w:val="auto"/>
        </w:rPr>
        <w:t xml:space="preserve"> after the Amendment No. 4 Effective Date, </w:t>
      </w:r>
      <w:r>
        <w:rPr>
          <w:rFonts w:ascii="Times New Roman" w:cs="Times New Roman" w:eastAsia="Times New Roman" w:hAnsi="Times New Roman"/>
          <w:sz w:val="21"/>
          <w:szCs w:val="21"/>
          <w:i w:val="1"/>
          <w:iCs w:val="1"/>
          <w:color w:val="auto"/>
        </w:rPr>
        <w:t>minus</w:t>
      </w:r>
    </w:p>
    <w:p>
      <w:pPr>
        <w:spacing w:after="0" w:line="235" w:lineRule="exact"/>
        <w:rPr>
          <w:rFonts w:ascii="Times New Roman" w:cs="Times New Roman" w:eastAsia="Times New Roman" w:hAnsi="Times New Roman"/>
          <w:sz w:val="21"/>
          <w:szCs w:val="21"/>
          <w:color w:val="auto"/>
        </w:rPr>
      </w:pPr>
    </w:p>
    <w:p>
      <w:pPr>
        <w:ind w:left="660" w:hanging="328"/>
        <w:spacing w:after="0" w:line="271" w:lineRule="auto"/>
        <w:tabs>
          <w:tab w:leader="none" w:pos="64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Restricted Payments made pursuant to </w:t>
      </w:r>
      <w:r>
        <w:rPr>
          <w:rFonts w:ascii="Times New Roman" w:cs="Times New Roman" w:eastAsia="Times New Roman" w:hAnsi="Times New Roman"/>
          <w:sz w:val="22"/>
          <w:szCs w:val="22"/>
          <w:u w:val="single" w:color="auto"/>
          <w:color w:val="auto"/>
        </w:rPr>
        <w:t>Section 7.06(e)</w:t>
      </w:r>
      <w:r>
        <w:rPr>
          <w:rFonts w:ascii="Times New Roman" w:cs="Times New Roman" w:eastAsia="Times New Roman" w:hAnsi="Times New Roman"/>
          <w:sz w:val="22"/>
          <w:szCs w:val="22"/>
          <w:color w:val="auto"/>
        </w:rPr>
        <w:t xml:space="preserve"> after the Amendment No. 4 Effective Date.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Customary Permitted Liens</w:t>
      </w:r>
      <w:r>
        <w:rPr>
          <w:rFonts w:ascii="Times New Roman" w:cs="Times New Roman" w:eastAsia="Times New Roman" w:hAnsi="Times New Roman"/>
          <w:sz w:val="21"/>
          <w:szCs w:val="21"/>
          <w:color w:val="auto"/>
        </w:rPr>
        <w:t>” means (a) Liens (other than any Lien imposed under ERISA) for Taxes, assessments or charges of any Governmental Authority or claims not yet due or which are being contested in good faith by appropriate proceedings and with respect to which adequate reserves or other appropriate provisions are being maintained in accordance with the provisions of GAAP, (b) Liens of landlords and Liens of carriers, warehousemen, mechanics, materialmen, customs and revenue authorities and other Liens (other than any Lien imposed under ERISA) created in the ordinary course of business for amounts not yet due or which are being contested in good faith by appropriate proceedings and with respect to which adequate reserves or other appropriate provisions are being maintained in accordance with the provisions of GAAP, (c) Liens (other than any Lien imposed under ERISA) incurred or deposits made in the ordinary course of business (including, without limitation, surety bonds and appeal bonds and Liens securing obligations under indemnity agreements for surety bonds) or other Liens in connection with workers’ compensation, unemployment insurance and other types of social security benefits, (d) Liens consisting of any right of offset, or statutory or consensual banker’s lien, on bank deposits or securities accounts maintained in the ordinary course of business so long as such bank deposits or securities accounts are not established or maintained for the purpose of providing such right of offset or banker’s lien, (e) easements (including, without limitation, reciprocal easement agreements and utility agreements), rights-of-way, covenants, consents, reservations, encroachments, variations and other restrictions, charges or encumbrances (whether or not recorded), which do not interfere materially with the ordinary conduct of the business of the Company or its Restricted Subsidiaries and which do not materially detract from the value of the property to which they attach or materially impair the use thereof to the Company or its Restricted Subsidiaries and (f) building restrictions, zoning laws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22" w:right="339" w:bottom="1440" w:gutter="0" w:footer="0" w:header="0"/>
        </w:sectPr>
      </w:pPr>
    </w:p>
    <w:bookmarkStart w:id="101" w:name="page102"/>
    <w:bookmarkEnd w:id="101"/>
    <w:p>
      <w:pPr>
        <w:jc w:val="both"/>
        <w:spacing w:after="0" w:line="271" w:lineRule="auto"/>
        <w:rPr>
          <w:sz w:val="20"/>
          <w:szCs w:val="20"/>
          <w:color w:val="auto"/>
        </w:rPr>
      </w:pPr>
      <w:r>
        <w:rPr>
          <w:rFonts w:ascii="Times New Roman" w:cs="Times New Roman" w:eastAsia="Times New Roman" w:hAnsi="Times New Roman"/>
          <w:sz w:val="22"/>
          <w:szCs w:val="22"/>
          <w:color w:val="auto"/>
        </w:rPr>
        <w:t>similar statutes, law, rules, regulations, ordinances and restrictions, now or at any time hereafter adopted by any Governmental Authority having jurisdiction.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with respect to any applicable determination date means the SOFR published on such date on the Federal Reserve Bank of New York’s website (or any successor source).</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including but not limited to the Dutch Bankruptcy Act (</w:t>
      </w:r>
      <w:r>
        <w:rPr>
          <w:rFonts w:ascii="Times New Roman" w:cs="Times New Roman" w:eastAsia="Times New Roman" w:hAnsi="Times New Roman"/>
          <w:sz w:val="22"/>
          <w:szCs w:val="22"/>
          <w:i w:val="1"/>
          <w:iCs w:val="1"/>
          <w:color w:val="auto"/>
        </w:rPr>
        <w:t>Faillissementswet</w:t>
      </w:r>
      <w:r>
        <w:rPr>
          <w:rFonts w:ascii="Times New Roman" w:cs="Times New Roman" w:eastAsia="Times New Roman" w:hAnsi="Times New Roman"/>
          <w:sz w:val="22"/>
          <w:szCs w:val="22"/>
          <w:color w:val="auto"/>
        </w:rPr>
        <w:t>), the Tax Collection Act of the Netherlands (</w:t>
      </w:r>
      <w:r>
        <w:rPr>
          <w:rFonts w:ascii="Times New Roman" w:cs="Times New Roman" w:eastAsia="Times New Roman" w:hAnsi="Times New Roman"/>
          <w:sz w:val="22"/>
          <w:szCs w:val="22"/>
          <w:i w:val="1"/>
          <w:iCs w:val="1"/>
          <w:color w:val="auto"/>
        </w:rPr>
        <w:t>Invorderingswet 1990</w:t>
      </w:r>
      <w:r>
        <w:rPr>
          <w:rFonts w:ascii="Times New Roman" w:cs="Times New Roman" w:eastAsia="Times New Roman" w:hAnsi="Times New Roman"/>
          <w:sz w:val="22"/>
          <w:szCs w:val="22"/>
          <w:color w:val="auto"/>
        </w:rPr>
        <w:t>) or Social Insurance Financing Act of the Netherlands (</w:t>
      </w:r>
      <w:r>
        <w:rPr>
          <w:rFonts w:ascii="Times New Roman" w:cs="Times New Roman" w:eastAsia="Times New Roman" w:hAnsi="Times New Roman"/>
          <w:sz w:val="22"/>
          <w:szCs w:val="22"/>
          <w:i w:val="1"/>
          <w:iCs w:val="1"/>
          <w:color w:val="auto"/>
        </w:rPr>
        <w:t>Wet Financiering Sociale Verzekeringen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Declined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2.05(b)(vii)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would be an Event of Default.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Rate</w:t>
      </w:r>
      <w:r>
        <w:rPr>
          <w:rFonts w:ascii="Times New Roman" w:cs="Times New Roman" w:eastAsia="Times New Roman" w:hAnsi="Times New Roman"/>
          <w:sz w:val="21"/>
          <w:szCs w:val="21"/>
          <w:color w:val="auto"/>
        </w:rPr>
        <w:t>” means (a) when used with respect to Obligations other than Letter of Credit Fees, an interest rate equal to</w:t>
      </w:r>
    </w:p>
    <w:p>
      <w:pPr>
        <w:spacing w:after="0" w:line="39" w:lineRule="exact"/>
        <w:rPr>
          <w:sz w:val="20"/>
          <w:szCs w:val="20"/>
          <w:color w:val="auto"/>
        </w:rPr>
      </w:pPr>
    </w:p>
    <w:p>
      <w:pPr>
        <w:jc w:val="both"/>
        <w:ind w:firstLine="8"/>
        <w:spacing w:after="0" w:line="247" w:lineRule="auto"/>
        <w:tabs>
          <w:tab w:leader="none" w:pos="26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Applicable Rate, if any, applicable to Base Rate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2% per annum;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 respect to a Term SOFR Loan, SOFR Daily Floating Rate Loan, Euro Swing Line Rate Loan or Alternative Currency Loan, the Default Rate shall be an interest rate equal to the interest rate (including any Applicable Rate) otherwise applicable to such Loan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per annum and (b) when used with respect to Letter of Credit Fees, a rate equal to the Applicable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per annum.</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10.23(b)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2.18(b)</w:t>
      </w:r>
      <w:r>
        <w:rPr>
          <w:rFonts w:ascii="Times New Roman" w:cs="Times New Roman" w:eastAsia="Times New Roman" w:hAnsi="Times New Roman"/>
          <w:sz w:val="22"/>
          <w:szCs w:val="22"/>
          <w:color w:val="auto"/>
        </w:rPr>
        <w:t>, any Lender that (a) has failed to (i) fund all or any portion of its Loans within two Business Days of the date such Loans were required to be funded hereunder unless such Lender notifies the Applicable Facility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Applicable Facility Agent, the L/C Issuer, the Swing Line Lender or any other Lender any other amount required to be paid by it hereunder (including in respect of its participation in Letters of Credit or Swing Line Loans) within two Business Days of the date when due, (b) has notified the Company, the Applicable Facility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22" w:right="339" w:bottom="1440" w:gutter="0" w:footer="0" w:header="0"/>
        </w:sectPr>
      </w:pPr>
    </w:p>
    <w:bookmarkStart w:id="102" w:name="page103"/>
    <w:bookmarkEnd w:id="10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Facility Agent or the Company, to confirm in writing to the Applicable Facility Agent and the Company that it will comply with its prospective funding obligations hereunder (provided that such Lender shall cease to be a Defaulting Lender pursuant to this clause (c) upon receipt of such written confirmation by the Applicable Facility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Applicable Facility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2.18(b)</w:t>
      </w:r>
      <w:r>
        <w:rPr>
          <w:rFonts w:ascii="Times New Roman" w:cs="Times New Roman" w:eastAsia="Times New Roman" w:hAnsi="Times New Roman"/>
          <w:sz w:val="22"/>
          <w:szCs w:val="22"/>
          <w:color w:val="auto"/>
        </w:rPr>
        <w:t>) as of the date established therefor by the Applicable Facility Agent in a written notice of such determination, which shall be delivered by the Applicable Facility Agent to the Company, the L/C Issuer, the Swing Line Lender and each other Lender promptly following such determination.</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Borrower</w:t>
      </w:r>
      <w:r>
        <w:rPr>
          <w:rFonts w:ascii="Times New Roman" w:cs="Times New Roman" w:eastAsia="Times New Roman" w:hAnsi="Times New Roman"/>
          <w:sz w:val="22"/>
          <w:szCs w:val="22"/>
          <w:color w:val="auto"/>
        </w:rPr>
        <w:t>” has the meaning specified in the introductory paragraph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Borrower Notice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Borrower Request and Assumption Agreement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Jurisdiction</w:t>
      </w:r>
      <w:r>
        <w:rPr>
          <w:rFonts w:ascii="Times New Roman" w:cs="Times New Roman" w:eastAsia="Times New Roman" w:hAnsi="Times New Roman"/>
          <w:sz w:val="22"/>
          <w:szCs w:val="22"/>
          <w:color w:val="auto"/>
        </w:rPr>
        <w:t>” means any country or territory to the extent that such country or territory itself is the subject of comprehensive Sanctions, including the Crimea and the Donetsk People’s Republic and Luhansk People’s Republic regions of Ukraine, Cuba, Iran and North Korea.</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Non-Cash Consideration</w:t>
      </w:r>
      <w:r>
        <w:rPr>
          <w:rFonts w:ascii="Times New Roman" w:cs="Times New Roman" w:eastAsia="Times New Roman" w:hAnsi="Times New Roman"/>
          <w:sz w:val="22"/>
          <w:szCs w:val="22"/>
          <w:color w:val="auto"/>
        </w:rPr>
        <w:t xml:space="preserve">” means the Fair Market Value of non-cash consideration received by the Company or a Restricted Subsidiary in connection with a Disposition that is so designated as Designated Non-Cash Consideration pursuant to a certificate of a Responsible Officer of the Company, setting forth the basis of such valuation,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amount of cash or Cash Equivalents received in connection with a subsequent sale, redemption or repurchase of, or collection or payment on, such Designated Non-Cash Consideration.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Senior Debt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7.16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exclusive license, lease or other disposition (including any Sale and Leaseback Transaction) of any property by any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22" w:right="339" w:bottom="1440" w:gutter="0" w:footer="0" w:header="0"/>
        </w:sectPr>
      </w:pPr>
    </w:p>
    <w:bookmarkStart w:id="103" w:name="page104"/>
    <w:bookmarkEnd w:id="103"/>
    <w:p>
      <w:pPr>
        <w:jc w:val="both"/>
        <w:spacing w:after="0" w:line="271" w:lineRule="auto"/>
        <w:rPr>
          <w:sz w:val="20"/>
          <w:szCs w:val="20"/>
          <w:color w:val="auto"/>
        </w:rPr>
      </w:pPr>
      <w:r>
        <w:rPr>
          <w:rFonts w:ascii="Times New Roman" w:cs="Times New Roman" w:eastAsia="Times New Roman" w:hAnsi="Times New Roman"/>
          <w:sz w:val="22"/>
          <w:szCs w:val="22"/>
          <w:color w:val="auto"/>
        </w:rPr>
        <w:t>the granting of any option or other right to do any of the foregoing), including any sale, assignment, transfer or other disposal, with or without recourse, of any notes or accounts receivable or any rights and claims associated therewith.</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Equity Interests</w:t>
      </w:r>
      <w:r>
        <w:rPr>
          <w:rFonts w:ascii="Times New Roman" w:cs="Times New Roman" w:eastAsia="Times New Roman" w:hAnsi="Times New Roman"/>
          <w:sz w:val="22"/>
          <w:szCs w:val="22"/>
          <w:color w:val="auto"/>
        </w:rPr>
        <w:t xml:space="preserve">” means, as to any Person, any Equity Interests of such Person or any other Person which, pursuant to the certificate of designation, or other corporate document or other agreement governing the terms thereof, such Person is obligated to purchase, redeem, retire, defease or otherwise acquire for value such Equity Interests or any warrants, rights or options to acquire such Equity Interests; the amount of the obligation to purchase, redeem, retire, defease or acquire any of the foregoing shall be with respect to (a) preferred Equity Interests, the liquidation preference or value of all shares, units or interests (including all accrued, accreted and paid-in-kind amounts as of any date of determination) in respect of such Disqualified Equity Interests and (b) all other such Equity Interests, the aggregate amount of all such obligations in respect of such Disqualified Equity Interests as of any date of determination, in each case, on or prior to the date that is 91 days after the Latest Maturity Date (determined as of the date of issuance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however denominated) shall not constitute a Disqualified Equity Interest if any such requirement becomes operative only after the Latest Maturity Date and (ii)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Institution</w:t>
      </w:r>
      <w:r>
        <w:rPr>
          <w:rFonts w:ascii="Times New Roman" w:cs="Times New Roman" w:eastAsia="Times New Roman" w:hAnsi="Times New Roman"/>
          <w:sz w:val="22"/>
          <w:szCs w:val="22"/>
          <w:color w:val="auto"/>
        </w:rPr>
        <w:t xml:space="preserve">” means, with respect to any Facility, on any date, any Person that is a competitor of the Company or any of its Subsidiaries (other than a bona fide debt fund affiliate thereof), which Person has been designated by the Company as a “Disqualified Institution” by written notice to the Applicable Facility Agent (in the case of the Term B Facility, to the Term Loan B Administrative Agent at JPMDQ_Contact@jpmorgan.com) and the Lenders under the applicable Facility (by posting such notice to the Platform) not less than 2 Business Days prior to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“Disqualified Institutions” shall exclude any Person that the Company has designated as no longer being a “Disqualified Institution” by written notice delivered to the Applicable Facility Agent and the Lenders under the applicable Facility from time to time. As of the Amendment No. 5 Effective Date, there are no Disqualified Institutions.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lawful money of the United States.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Applicable Facility Agent or the L/C Issuer, as applicable) by the applicable Bloomberg source (or such other publicly available source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22" w:right="339" w:bottom="1440" w:gutter="0" w:footer="0" w:header="0"/>
        </w:sectPr>
      </w:pPr>
    </w:p>
    <w:bookmarkStart w:id="104" w:name="page105"/>
    <w:bookmarkEnd w:id="104"/>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displaying exchange rates) on date that is two (2) Business Days immediately preceding the date of determination (or if such service ceases to be available or ceases to provide such rate of exchange, the equivalent of such amount in Dollars as determined by the Applicable Facility Agent or the L/C Issuer, as applicable using any method of determination it deems appropriate in its sole discretion) and (c) if such amount is denominated in any other currency, the equivalent of such amount in Dollars as determined by the Applicable Facility Agent or the L/C Issuer, as applicable, using any method of determination it deems appropriate in its sole discretion. Any determination by the Applicable Facility Agent or the L/C Issuer pursuant to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above shall be conclusive absent manifest error.</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Designated Borrower</w:t>
      </w:r>
      <w:r>
        <w:rPr>
          <w:rFonts w:ascii="Times New Roman" w:cs="Times New Roman" w:eastAsia="Times New Roman" w:hAnsi="Times New Roman"/>
          <w:sz w:val="22"/>
          <w:szCs w:val="22"/>
          <w:color w:val="auto"/>
        </w:rPr>
        <w:t>” means any Designated Borrower that is organized under the laws of the United States, a state or other political subdivision thereof or the District of Columbia.</w:t>
      </w:r>
    </w:p>
    <w:p>
      <w:pPr>
        <w:spacing w:after="0" w:line="14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Domestic Guarantors</w:t>
      </w:r>
      <w:r>
        <w:rPr>
          <w:rFonts w:ascii="Times New Roman" w:cs="Times New Roman" w:eastAsia="Times New Roman" w:hAnsi="Times New Roman"/>
          <w:sz w:val="21"/>
          <w:szCs w:val="21"/>
          <w:color w:val="auto"/>
        </w:rPr>
        <w:t>” means, collectively, (a) the Company, (b) each Domestic Designated Borrower, (c) each Material Domestic Subsidiary of the Company and (d) any other Domestic Subsidiary that is from time to time party to the Guaranty or any other agreement pursuant to which it guarantees the Obligations or any portion thereof (including any Domestic Subsidiary, if any, that the Company, in its discretion, may cause to be a Domestic Guarantor), provided, however, that at no time shall any Foreign Holding Company, or any Domestic Subsidiary of a Foreign Subsidiary that is a CFC, be a Domestic Guarantor.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Obligor</w:t>
      </w:r>
      <w:r>
        <w:rPr>
          <w:rFonts w:ascii="Times New Roman" w:cs="Times New Roman" w:eastAsia="Times New Roman" w:hAnsi="Times New Roman"/>
          <w:sz w:val="22"/>
          <w:szCs w:val="22"/>
          <w:color w:val="auto"/>
        </w:rPr>
        <w:t>” means the Company and each Loan Party that is a Domestic Subsidiary.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Restricted Subsidiary that is organized under the laws of any political subdivision of the United States.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DQ List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10.06(g)(iv)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Dutch Auction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Dutch Borrower</w:t>
      </w:r>
      <w:r>
        <w:rPr>
          <w:rFonts w:ascii="Times New Roman" w:cs="Times New Roman" w:eastAsia="Times New Roman" w:hAnsi="Times New Roman"/>
          <w:sz w:val="22"/>
          <w:szCs w:val="22"/>
          <w:color w:val="auto"/>
        </w:rPr>
        <w:t>” means Quaker Houghton B.V., a corporation organized under the laws of the Netherlands and wholly owned (indirectly) by the Company.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ECF Payment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2.05(b)(iv)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ECF Threshold</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2.05(b)(iv)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22" w:right="339" w:bottom="1440" w:gutter="0" w:footer="0" w:header="0"/>
        </w:sectPr>
      </w:pPr>
    </w:p>
    <w:bookmarkStart w:id="105" w:name="page106"/>
    <w:bookmarkEnd w:id="105"/>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Copy</w:t>
      </w:r>
      <w:r>
        <w:rPr>
          <w:rFonts w:ascii="Times New Roman" w:cs="Times New Roman" w:eastAsia="Times New Roman" w:hAnsi="Times New Roman"/>
          <w:sz w:val="22"/>
          <w:szCs w:val="22"/>
          <w:color w:val="auto"/>
        </w:rPr>
        <w:t xml:space="preserve">” shall have the meaning specified in </w:t>
      </w:r>
      <w:r>
        <w:rPr>
          <w:rFonts w:ascii="Times New Roman" w:cs="Times New Roman" w:eastAsia="Times New Roman" w:hAnsi="Times New Roman"/>
          <w:sz w:val="22"/>
          <w:szCs w:val="22"/>
          <w:u w:val="single" w:color="auto"/>
          <w:color w:val="auto"/>
        </w:rPr>
        <w:t>Section 10.17</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Record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shall have the meanings assigned to them, respectively, by 15 USC §7006, as it may be amended from time to time.</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 means any Person that meets the requirements to be an assignee under </w:t>
      </w:r>
      <w:r>
        <w:rPr>
          <w:rFonts w:ascii="Times New Roman" w:cs="Times New Roman" w:eastAsia="Times New Roman" w:hAnsi="Times New Roman"/>
          <w:sz w:val="22"/>
          <w:szCs w:val="22"/>
          <w:u w:val="single" w:color="auto"/>
          <w:color w:val="auto"/>
        </w:rPr>
        <w:t>Section 10.06(b)(iii)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(subject to such consents, if any, as may be required under </w:t>
      </w:r>
      <w:r>
        <w:rPr>
          <w:rFonts w:ascii="Times New Roman" w:cs="Times New Roman" w:eastAsia="Times New Roman" w:hAnsi="Times New Roman"/>
          <w:sz w:val="22"/>
          <w:szCs w:val="22"/>
          <w:u w:val="single" w:color="auto"/>
          <w:color w:val="auto"/>
        </w:rPr>
        <w:t>Section 10.06(b)(iii)</w:t>
      </w:r>
      <w:r>
        <w:rPr>
          <w:rFonts w:ascii="Times New Roman" w:cs="Times New Roman" w:eastAsia="Times New Roman" w:hAnsi="Times New Roman"/>
          <w:sz w:val="22"/>
          <w:szCs w:val="22"/>
          <w:color w:val="auto"/>
        </w:rPr>
        <w:t xml:space="preserve">). For the avoidance of doubt, any Disqualified Institution is subject to </w:t>
      </w:r>
      <w:r>
        <w:rPr>
          <w:rFonts w:ascii="Times New Roman" w:cs="Times New Roman" w:eastAsia="Times New Roman" w:hAnsi="Times New Roman"/>
          <w:sz w:val="22"/>
          <w:szCs w:val="22"/>
          <w:u w:val="single" w:color="auto"/>
          <w:color w:val="auto"/>
        </w:rPr>
        <w:t>Section 10.06(g)</w:t>
      </w:r>
      <w:r>
        <w:rPr>
          <w:rFonts w:ascii="Times New Roman" w:cs="Times New Roman" w:eastAsia="Times New Roman" w:hAnsi="Times New Roman"/>
          <w:sz w:val="22"/>
          <w:szCs w:val="22"/>
          <w:color w:val="auto"/>
        </w:rPr>
        <w:t>.</w:t>
      </w:r>
    </w:p>
    <w:p>
      <w:pPr>
        <w:spacing w:after="0" w:line="15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Currency</w:t>
      </w:r>
      <w:r>
        <w:rPr>
          <w:rFonts w:ascii="Times New Roman" w:cs="Times New Roman" w:eastAsia="Times New Roman" w:hAnsi="Times New Roman"/>
          <w:sz w:val="22"/>
          <w:szCs w:val="22"/>
          <w:color w:val="auto"/>
        </w:rPr>
        <w:t xml:space="preserve">” means any lawful currency other than Dollars that is readily available, freely transferable and convertible into Dollars in the international interbank market available to the Lenders or the L/C Issuer, as applicable, in such market and as to which a Dollar Equivalent may be readily calculated. If, after the designation by the Lenders or the L/C Issuer, as applicable, of any currency as an Alternative Currency (or if, with respect to any currency that constitutes an Alternative Currency on the Amendment No. 4 Effective Date, after the Amendment No. 4 Effective Date), any change in currency controls or exchange regulations or any change in the national or international financial, political or economic conditions are imposed in the country in which such currency is issued, result in, in the reasonable opinion of the Pro Rata Facilities Administrative Agent or the Required Pro Rata Facilities Lenders (in the case of any Loans to be denominated in an Alternative Currency) or the L/C Issuer (in the case of any Letter of Credit to be denominated in an Alternative Currency), (a) such currency no longer being readily available, freely transferable and convertible into Dollars, (b) a Dollar Equivalent is no longer readily calculable with respect to such currency, (c) providing such currency is impracticable for the Lenders or the L/C Issuer, as applicable, or (d) such currency no longer being a currency in which the Required Pro Rata Facilities Lenders are willing to make such Credit Extensions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Disqualifying Event</w:t>
      </w:r>
      <w:r>
        <w:rPr>
          <w:rFonts w:ascii="Times New Roman" w:cs="Times New Roman" w:eastAsia="Times New Roman" w:hAnsi="Times New Roman"/>
          <w:sz w:val="22"/>
          <w:szCs w:val="22"/>
          <w:color w:val="auto"/>
        </w:rPr>
        <w:t>”), then the Pro Rata Facilities Administrative Agent shall promptly notify the Lenders and the Company, and, after such notice, such country’s currency shall no longer be an Alternative Currency until such time as the Disqualifying Event(s) no longer exist(s). Within five (5) Business Days after receipt of such notice from the Pro Rata Facilities Administrative Agent, the Borrowers shall repay all Loans in such currency to which the Disqualifying Event applies or convert such Loans into the Dollar Equivalent of Loans in Dollars, subject to the other terms contained herein.</w:t>
      </w:r>
    </w:p>
    <w:p>
      <w:pPr>
        <w:spacing w:after="0" w:line="15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Engagement Letters</w:t>
      </w:r>
      <w:r>
        <w:rPr>
          <w:rFonts w:ascii="Times New Roman" w:cs="Times New Roman" w:eastAsia="Times New Roman" w:hAnsi="Times New Roman"/>
          <w:sz w:val="22"/>
          <w:szCs w:val="22"/>
          <w:color w:val="auto"/>
        </w:rPr>
        <w:t>” means (i) the letter agreement dated as of March 24, 2026 by and among the Company and BofA Securities, Inc. and (ii) the letter agreement dated as of September 18, 2026 by and among the Company, JPMorgan Chase Bank, N.A., BofA Securities, Inc., Citibank, N.A., Citizens Bank, N.A., PNC Capital Markets LLC, TD Securities (USA) LLC, U.S. Bank National Association, Wells Fargo Securities, LLC, Deutsche Bank Securities Inc. and Morgan Stanley Senior Funding, Inc.</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w:t>
      </w:r>
      <w:r>
        <w:rPr>
          <w:rFonts w:ascii="Times New Roman" w:cs="Times New Roman" w:eastAsia="Times New Roman" w:hAnsi="Times New Roman"/>
          <w:sz w:val="22"/>
          <w:szCs w:val="22"/>
          <w:color w:val="auto"/>
        </w:rPr>
        <w:t>” means ambient air, indoor air, surface water, groundwater, drinking water, soil, surface and subsurface strata, and natural resources such as wetland, flora and fauna.</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and all Federal, state, local, and foreign statutes, laws, regulations, ordinances, rules, judgments, orders, decrees, permits or governmental restrictions relating to pollution or the protection of the Environment or human health (to the extent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395" w:right="339" w:bottom="1440" w:gutter="0" w:footer="0" w:header="0"/>
        </w:sectPr>
      </w:pPr>
    </w:p>
    <w:bookmarkStart w:id="106" w:name="page107"/>
    <w:bookmarkEnd w:id="106"/>
    <w:p>
      <w:pPr>
        <w:jc w:val="both"/>
        <w:spacing w:after="0" w:line="271" w:lineRule="auto"/>
        <w:rPr>
          <w:sz w:val="20"/>
          <w:szCs w:val="20"/>
          <w:color w:val="auto"/>
        </w:rPr>
      </w:pPr>
      <w:r>
        <w:rPr>
          <w:rFonts w:ascii="Times New Roman" w:cs="Times New Roman" w:eastAsia="Times New Roman" w:hAnsi="Times New Roman"/>
          <w:sz w:val="22"/>
          <w:szCs w:val="22"/>
          <w:color w:val="auto"/>
        </w:rPr>
        <w:t>to exposure to Hazardous Materials), including those relating to the manufacture, generation, handling, transport, storage, treatment, Release threat of Release of Hazardous Materials.</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means any permit, approval, identification number, license or other authorization required under any Environmental Law.</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6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Pension Plan amendment as a termination under Section 4041 of ERISA; (e) the institution by the PBGC of proceedings to terminate a Pension Plan or a Multiemployer Plan; (f) any event or condition which constitutes grounds under Section 4042 of ERISA for the termination of, or the appointment of a trustee to administer, any Pension Plan; (g) the determination that any Pension Plan or Multiemployer Plan is considered an at-risk plan or plan in endangered or critical status within the meaning of Sections 430, 431, and 432 of the Code or Sections 303, 304, and 305 of ERISA; (h) the imposition of any liability under Title IV of ERISA, other than for PBGC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22" w:right="339" w:bottom="1440" w:gutter="0" w:footer="0" w:header="0"/>
        </w:sectPr>
      </w:pPr>
    </w:p>
    <w:bookmarkStart w:id="107" w:name="page108"/>
    <w:bookmarkEnd w:id="107"/>
    <w:p>
      <w:pPr>
        <w:jc w:val="both"/>
        <w:spacing w:after="0" w:line="256" w:lineRule="auto"/>
        <w:rPr>
          <w:sz w:val="20"/>
          <w:szCs w:val="20"/>
          <w:color w:val="auto"/>
        </w:rPr>
      </w:pPr>
      <w:r>
        <w:rPr>
          <w:rFonts w:ascii="Times New Roman" w:cs="Times New Roman" w:eastAsia="Times New Roman" w:hAnsi="Times New Roman"/>
          <w:sz w:val="22"/>
          <w:szCs w:val="22"/>
          <w:color w:val="auto"/>
        </w:rPr>
        <w:t>premiums due but not delinquent under Section 4007 of ERISA, upon the Company or any ERISA Affiliate; or (i) a failure by the Company or any ERISA Affiliate to meet all applicable requirements under the Pension Funding Rules in respect of a Pension Plan, whether or not waived, or the failure by the Company or any ERISA Affiliate to make any required contribution to a Multiemployer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ESTR</w:t>
      </w:r>
      <w:r>
        <w:rPr>
          <w:rFonts w:ascii="Times New Roman" w:cs="Times New Roman" w:eastAsia="Times New Roman" w:hAnsi="Times New Roman"/>
          <w:sz w:val="22"/>
          <w:szCs w:val="22"/>
          <w:color w:val="auto"/>
        </w:rPr>
        <w:t>” means, in relation to any day:</w:t>
      </w:r>
    </w:p>
    <w:p>
      <w:pPr>
        <w:spacing w:after="0" w:line="220" w:lineRule="exact"/>
        <w:rPr>
          <w:sz w:val="20"/>
          <w:szCs w:val="20"/>
          <w:color w:val="auto"/>
        </w:rPr>
      </w:pPr>
    </w:p>
    <w:p>
      <w:pPr>
        <w:jc w:val="both"/>
        <w:ind w:left="660" w:firstLine="644"/>
        <w:spacing w:after="0" w:line="256" w:lineRule="auto"/>
        <w:tabs>
          <w:tab w:leader="none" w:pos="186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Euro short-term rate administered by the European Central Bank (or any other person which takes over the administration of that rate) displayed (before any correction, recalculation or republication by the administrator) on page “EUROSTR=” of the Thomson Reuters screen (or any replacement Thomson Reuters page which displays that rate); or</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4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rate otherwise to be determined by clause (a) is not available for ESTR for any day the applicable ESTR shall equal the rate notified to the Pro Rata Facilities Administrative Agent by a Swing Line Lender as soon as practicable, and in any event before interest is due to be paid in respect of that Swing Line Loan, to be that which expresses as a percentage rate per annum the cost to the relevant Swing Line Lender of funding its participation in that Swing Line Loan for that day from whatever source it may reasonably select;</w:t>
      </w:r>
    </w:p>
    <w:p>
      <w:pPr>
        <w:spacing w:after="0" w:line="21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day in which a Euro Swing Line Rate Loan is outstanding is not a TARGET Day, ESTR on that day will be ESTR applicable on the immediately preceding TARGET Day.</w:t>
      </w:r>
    </w:p>
    <w:p>
      <w:pPr>
        <w:spacing w:after="0" w:line="18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single currency of the Participating Member States.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Swing Line Lender</w:t>
      </w:r>
      <w:r>
        <w:rPr>
          <w:rFonts w:ascii="Times New Roman" w:cs="Times New Roman" w:eastAsia="Times New Roman" w:hAnsi="Times New Roman"/>
          <w:sz w:val="22"/>
          <w:szCs w:val="22"/>
          <w:color w:val="auto"/>
        </w:rPr>
        <w:t>” means BofA Europe or one or more other branches or Affiliates of Bank of America, in its capacity as provider of Swing Line Loans denominated in Euros, or any successor swing line lender of Swing Line Loans denominated in Euros hereunder.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Swing Line Rate Loan</w:t>
      </w:r>
      <w:r>
        <w:rPr>
          <w:rFonts w:ascii="Times New Roman" w:cs="Times New Roman" w:eastAsia="Times New Roman" w:hAnsi="Times New Roman"/>
          <w:sz w:val="22"/>
          <w:szCs w:val="22"/>
          <w:color w:val="auto"/>
        </w:rPr>
        <w:t>” means a Loan that bears interest at a rate based on Basic ESTR.</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Term Borrowing</w:t>
      </w:r>
      <w:r>
        <w:rPr>
          <w:rFonts w:ascii="Times New Roman" w:cs="Times New Roman" w:eastAsia="Times New Roman" w:hAnsi="Times New Roman"/>
          <w:sz w:val="22"/>
          <w:szCs w:val="22"/>
          <w:color w:val="auto"/>
        </w:rPr>
        <w:t xml:space="preserve">” means a borrowing consisting of simultaneous Euro Term Loans of the same Type and, in the case of Alternative Currency Term Rate Loans, having the same Interest Period made by each of the Euro Term Lenders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Term Commitment</w:t>
      </w:r>
      <w:r>
        <w:rPr>
          <w:rFonts w:ascii="Times New Roman" w:cs="Times New Roman" w:eastAsia="Times New Roman" w:hAnsi="Times New Roman"/>
          <w:sz w:val="22"/>
          <w:szCs w:val="22"/>
          <w:color w:val="auto"/>
        </w:rPr>
        <w:t xml:space="preserve">” means, as to each Euro Term Lender, its obligation to make Euro Term Loans to the Dutch Borrower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in an aggregate principal amount at any one time outstanding not to exceed the amount set forth opposite such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under the caption “Euro Term Commitment” or opposite such caption in the Assignment and Assumption pursuant to which such Euro Term Lender becomes a party hereto, as applicable, as such amount may be adjusted from time to time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22" w:right="339" w:bottom="1440" w:gutter="0" w:footer="0" w:header="0"/>
        </w:sectPr>
      </w:pPr>
    </w:p>
    <w:bookmarkStart w:id="108" w:name="page109"/>
    <w:bookmarkEnd w:id="108"/>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Term Facility</w:t>
      </w:r>
      <w:r>
        <w:rPr>
          <w:rFonts w:ascii="Times New Roman" w:cs="Times New Roman" w:eastAsia="Times New Roman" w:hAnsi="Times New Roman"/>
          <w:sz w:val="22"/>
          <w:szCs w:val="22"/>
          <w:color w:val="auto"/>
        </w:rPr>
        <w:t>” means, at any time, (a) on or prior to the Amendment No. 4 Effective Date, the aggregate amount of the Euro Term Commitments at such time and (b) thereafter, the aggregate principal amount of the Euro Term Loans of all Euro Term Lenders outstanding at such time. The aggregate principal amount of the Euro Term Facility on the Amendment No. 4 Effective Date is €214,500,000.</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Term Lender</w:t>
      </w:r>
      <w:r>
        <w:rPr>
          <w:rFonts w:ascii="Times New Roman" w:cs="Times New Roman" w:eastAsia="Times New Roman" w:hAnsi="Times New Roman"/>
          <w:sz w:val="22"/>
          <w:szCs w:val="22"/>
          <w:color w:val="auto"/>
        </w:rPr>
        <w:t>” means at any time, (a) on or prior to the Amendment No. 4 Effective Date, any Lender that has a Euro Term Commitment at such time and (b) at any time after the Amendment No. 4 Effective Date, any Lender that holds Euro Term Loans at such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Term Loan</w:t>
      </w:r>
      <w:r>
        <w:rPr>
          <w:rFonts w:ascii="Times New Roman" w:cs="Times New Roman" w:eastAsia="Times New Roman" w:hAnsi="Times New Roman"/>
          <w:sz w:val="22"/>
          <w:szCs w:val="22"/>
          <w:color w:val="auto"/>
        </w:rPr>
        <w:t>” means an advance made by any Euro Term Lender under the Euro Term Facility.</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Term Note</w:t>
      </w:r>
      <w:r>
        <w:rPr>
          <w:rFonts w:ascii="Times New Roman" w:cs="Times New Roman" w:eastAsia="Times New Roman" w:hAnsi="Times New Roman"/>
          <w:sz w:val="22"/>
          <w:szCs w:val="22"/>
          <w:color w:val="auto"/>
        </w:rPr>
        <w:t xml:space="preserve">” means a promissory note made by the Dutch Borrower in favor of a Euro Term Lender, evidencing Euro Term Loans made by such Euro Term Lender,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w:t>
      </w:r>
      <w:r>
        <w:rPr>
          <w:rFonts w:ascii="Times New Roman" w:cs="Times New Roman" w:eastAsia="Times New Roman" w:hAnsi="Times New Roman"/>
          <w:sz w:val="20"/>
          <w:szCs w:val="20"/>
          <w:color w:val="auto"/>
        </w:rPr>
        <w:t>” means, for any Excess Cash Flow Period, an amount equal to the excess of:</w:t>
      </w:r>
    </w:p>
    <w:p>
      <w:pPr>
        <w:spacing w:after="0" w:line="229" w:lineRule="exact"/>
        <w:rPr>
          <w:sz w:val="20"/>
          <w:szCs w:val="20"/>
          <w:color w:val="auto"/>
        </w:rPr>
      </w:pPr>
    </w:p>
    <w:p>
      <w:pPr>
        <w:ind w:left="1720" w:hanging="416"/>
        <w:spacing w:after="0"/>
        <w:tabs>
          <w:tab w:leader="none" w:pos="17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w:t>
      </w:r>
    </w:p>
    <w:p>
      <w:pPr>
        <w:spacing w:after="0" w:line="215" w:lineRule="exact"/>
        <w:rPr>
          <w:rFonts w:ascii="Times New Roman" w:cs="Times New Roman" w:eastAsia="Times New Roman" w:hAnsi="Times New Roman"/>
          <w:sz w:val="20"/>
          <w:szCs w:val="20"/>
          <w:color w:val="auto"/>
        </w:rPr>
      </w:pPr>
    </w:p>
    <w:p>
      <w:pPr>
        <w:ind w:left="1880" w:hanging="378"/>
        <w:spacing w:after="0"/>
        <w:tabs>
          <w:tab w:leader="none" w:pos="188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Net Income for such Excess Cash Flow Period;</w:t>
      </w:r>
    </w:p>
    <w:p>
      <w:pPr>
        <w:spacing w:after="0" w:line="229" w:lineRule="exact"/>
        <w:rPr>
          <w:rFonts w:ascii="Times New Roman" w:cs="Times New Roman" w:eastAsia="Times New Roman" w:hAnsi="Times New Roman"/>
          <w:sz w:val="20"/>
          <w:szCs w:val="20"/>
          <w:color w:val="auto"/>
        </w:rPr>
      </w:pPr>
    </w:p>
    <w:p>
      <w:pPr>
        <w:jc w:val="both"/>
        <w:ind w:left="1300" w:firstLine="303"/>
        <w:spacing w:after="0" w:line="258" w:lineRule="auto"/>
        <w:tabs>
          <w:tab w:leader="none" w:pos="2140"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amount of all non-cash charges (including depreciation and amortization) to the extent deducted in arriving at such Consolidated Net Income but excluding any non-cash charge to the extent that it represents an accrual or reserve for potential cash charge in any future Excess Cash Flow Period or amortization of a prepaid cash gain that was paid in a prior Excess Cash Flow Period, in each case, for such Excess Cash Flow Period;</w:t>
      </w:r>
    </w:p>
    <w:p>
      <w:pPr>
        <w:spacing w:after="0" w:line="172" w:lineRule="exact"/>
        <w:rPr>
          <w:sz w:val="20"/>
          <w:szCs w:val="20"/>
          <w:color w:val="auto"/>
        </w:rPr>
      </w:pPr>
    </w:p>
    <w:p>
      <w:pPr>
        <w:ind w:left="2000" w:hanging="498"/>
        <w:spacing w:after="0"/>
        <w:tabs>
          <w:tab w:leader="none" w:pos="200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Consolidated Working Capital for such applicable period; and</w:t>
      </w:r>
    </w:p>
    <w:p>
      <w:pPr>
        <w:spacing w:after="0" w:line="229" w:lineRule="exact"/>
        <w:rPr>
          <w:rFonts w:ascii="Times New Roman" w:cs="Times New Roman" w:eastAsia="Times New Roman" w:hAnsi="Times New Roman"/>
          <w:sz w:val="20"/>
          <w:szCs w:val="20"/>
          <w:color w:val="auto"/>
        </w:rPr>
      </w:pPr>
    </w:p>
    <w:p>
      <w:pPr>
        <w:jc w:val="both"/>
        <w:ind w:left="1300" w:firstLine="223"/>
        <w:spacing w:after="0" w:line="261" w:lineRule="auto"/>
        <w:tabs>
          <w:tab w:leader="none" w:pos="2025"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aggregate net non-cash loss on Dispositions by the Company and its Restricted Subsidiaries during such Excess Cash Flow Period (other than Dispositions in the ordinary course of business) to the extent deducted in arriving at such Consolidated Net Income; </w:t>
      </w:r>
      <w:r>
        <w:rPr>
          <w:rFonts w:ascii="Times New Roman" w:cs="Times New Roman" w:eastAsia="Times New Roman" w:hAnsi="Times New Roman"/>
          <w:sz w:val="20"/>
          <w:szCs w:val="20"/>
          <w:u w:val="single" w:color="auto"/>
          <w:color w:val="auto"/>
        </w:rPr>
        <w:t>over</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w:t>
      </w:r>
    </w:p>
    <w:p>
      <w:pPr>
        <w:spacing w:after="0" w:line="215" w:lineRule="exact"/>
        <w:rPr>
          <w:rFonts w:ascii="Times New Roman" w:cs="Times New Roman" w:eastAsia="Times New Roman" w:hAnsi="Times New Roman"/>
          <w:sz w:val="20"/>
          <w:szCs w:val="20"/>
          <w:color w:val="auto"/>
        </w:rPr>
      </w:pPr>
    </w:p>
    <w:p>
      <w:pPr>
        <w:jc w:val="both"/>
        <w:ind w:left="1300" w:firstLine="214"/>
        <w:spacing w:after="0" w:line="258" w:lineRule="auto"/>
        <w:tabs>
          <w:tab w:leader="none" w:pos="1906"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amount of all non-cash credits included in arriving at such Consolidated Net Income and cash charges to the extent included in arriving at such Consolidated Net Income (excluding any non-cash gain to the extent it represents the reversal of an accrual or reserve for a potential cash item that reduced Consolidated Net Income in any prior Excess Cash Flow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22" w:right="339" w:bottom="1440" w:gutter="0" w:footer="0" w:header="0"/>
        </w:sectPr>
      </w:pPr>
    </w:p>
    <w:bookmarkStart w:id="109" w:name="page110"/>
    <w:bookmarkEnd w:id="109"/>
    <w:p>
      <w:pPr>
        <w:jc w:val="both"/>
        <w:ind w:left="180" w:firstLine="206"/>
        <w:spacing w:after="0" w:line="261" w:lineRule="auto"/>
        <w:tabs>
          <w:tab w:leader="none" w:pos="82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capital expenditures made in cash during such Excess Cash Flow Period, except to the extent that such capital expenditures were financed with the proceeds of an incurrence or issuance of long term Indebtedness of the Company or its Restricted Subsidiaries (other than revolving Indebtedness and intercompany loans);</w:t>
      </w:r>
    </w:p>
    <w:p>
      <w:pPr>
        <w:spacing w:after="0" w:line="181" w:lineRule="exact"/>
        <w:rPr>
          <w:rFonts w:ascii="Times New Roman" w:cs="Times New Roman" w:eastAsia="Times New Roman" w:hAnsi="Times New Roman"/>
          <w:sz w:val="20"/>
          <w:szCs w:val="20"/>
          <w:color w:val="auto"/>
        </w:rPr>
      </w:pPr>
    </w:p>
    <w:p>
      <w:pPr>
        <w:jc w:val="both"/>
        <w:ind w:left="180" w:firstLine="279"/>
        <w:spacing w:after="0" w:line="252" w:lineRule="auto"/>
        <w:tabs>
          <w:tab w:leader="none" w:pos="1027" w:val="left"/>
        </w:tabs>
        <w:numPr>
          <w:ilvl w:val="4"/>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all principal payments of Indebtedness of the Company and its Restricted Subsidiaries (including the amount of repayments of Term Loans pursuant to </w:t>
      </w:r>
      <w:r>
        <w:rPr>
          <w:rFonts w:ascii="Times New Roman" w:cs="Times New Roman" w:eastAsia="Times New Roman" w:hAnsi="Times New Roman"/>
          <w:sz w:val="20"/>
          <w:szCs w:val="20"/>
          <w:u w:val="single" w:color="auto"/>
          <w:color w:val="auto"/>
        </w:rPr>
        <w:t>Section 2.07(a), (b) and (c)</w:t>
      </w:r>
      <w:r>
        <w:rPr>
          <w:rFonts w:ascii="Times New Roman" w:cs="Times New Roman" w:eastAsia="Times New Roman" w:hAnsi="Times New Roman"/>
          <w:sz w:val="20"/>
          <w:szCs w:val="20"/>
          <w:color w:val="auto"/>
        </w:rPr>
        <w:t xml:space="preserve"> and any mandatory prepayment of Term Loans pursuant to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to the extent required due to a Disposition that resulted in an increase to such Consolidated Net Income and not in excess of the amount of such increase but excluding (X) all other prepayments of Term Loans, (Y) all prepayments under the Revolving Credit Facility and (Z) all prepayments in respect of any other revolving credit facility, except, in the case of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to the extent there is an equivalent permanent reduction in commitments thereunder) made during such Excess Cash Flow Period in cash, except to the extent financed with the proceeds of an incurrence or issuance of other long term Indebtedness of the Company or its Restricted Subsidiaries (other than revolving Indebtedness and intercompany loans);</w:t>
      </w:r>
    </w:p>
    <w:p>
      <w:pPr>
        <w:spacing w:after="0" w:line="175" w:lineRule="exact"/>
        <w:rPr>
          <w:rFonts w:ascii="Times New Roman" w:cs="Times New Roman" w:eastAsia="Times New Roman" w:hAnsi="Times New Roman"/>
          <w:sz w:val="20"/>
          <w:szCs w:val="20"/>
          <w:color w:val="auto"/>
        </w:rPr>
      </w:pPr>
    </w:p>
    <w:p>
      <w:pPr>
        <w:jc w:val="both"/>
        <w:ind w:left="180" w:firstLine="217"/>
        <w:spacing w:after="0" w:line="261" w:lineRule="auto"/>
        <w:tabs>
          <w:tab w:leader="none" w:pos="892"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aggregate net non-cash gain on Dispositions by the Company and its Restricted Subsidiaries during such Excess Cash Flow Period (other than Dispositions in the ordinary course of business) to the extent included in arriving at such Consolidated Net Income;</w:t>
      </w:r>
    </w:p>
    <w:p>
      <w:pPr>
        <w:spacing w:after="0" w:line="181" w:lineRule="exact"/>
        <w:rPr>
          <w:rFonts w:ascii="Times New Roman" w:cs="Times New Roman" w:eastAsia="Times New Roman" w:hAnsi="Times New Roman"/>
          <w:sz w:val="20"/>
          <w:szCs w:val="20"/>
          <w:color w:val="auto"/>
        </w:rPr>
      </w:pPr>
    </w:p>
    <w:p>
      <w:pPr>
        <w:ind w:left="820" w:hanging="438"/>
        <w:spacing w:after="0"/>
        <w:tabs>
          <w:tab w:leader="none" w:pos="82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Consolidated Working Capital for such Excess Cash Flow Period;</w:t>
      </w:r>
    </w:p>
    <w:p>
      <w:pPr>
        <w:spacing w:after="0" w:line="229" w:lineRule="exact"/>
        <w:rPr>
          <w:rFonts w:ascii="Times New Roman" w:cs="Times New Roman" w:eastAsia="Times New Roman" w:hAnsi="Times New Roman"/>
          <w:sz w:val="20"/>
          <w:szCs w:val="20"/>
          <w:color w:val="auto"/>
        </w:rPr>
      </w:pPr>
    </w:p>
    <w:p>
      <w:pPr>
        <w:jc w:val="both"/>
        <w:ind w:left="180" w:firstLine="274"/>
        <w:spacing w:after="0" w:line="253" w:lineRule="auto"/>
        <w:tabs>
          <w:tab w:leader="none" w:pos="1005" w:val="left"/>
        </w:tabs>
        <w:numPr>
          <w:ilvl w:val="3"/>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duplication of amounts deducted pursuant to </w:t>
      </w:r>
      <w:r>
        <w:rPr>
          <w:rFonts w:ascii="Times New Roman" w:cs="Times New Roman" w:eastAsia="Times New Roman" w:hAnsi="Times New Roman"/>
          <w:sz w:val="20"/>
          <w:szCs w:val="20"/>
          <w:u w:val="single" w:color="auto"/>
          <w:color w:val="auto"/>
        </w:rPr>
        <w:t>clause (viii)</w:t>
      </w:r>
      <w:r>
        <w:rPr>
          <w:rFonts w:ascii="Times New Roman" w:cs="Times New Roman" w:eastAsia="Times New Roman" w:hAnsi="Times New Roman"/>
          <w:sz w:val="20"/>
          <w:szCs w:val="20"/>
          <w:color w:val="auto"/>
        </w:rPr>
        <w:t xml:space="preserve"> below in prior Excess Cash Flow Periods, the amount of Investments and acquisitions made during such Excess Cash Flow Period in each case in cash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except to the extent that such Investments and acquisitions were financed with the proceeds of an incurrence or issuance of long-term Indebtedness of the Company or its Restricted Subsidiaries (other than revolving Indebtedness and intercompany loans);</w:t>
      </w:r>
    </w:p>
    <w:p>
      <w:pPr>
        <w:spacing w:after="0" w:line="178" w:lineRule="exact"/>
        <w:rPr>
          <w:rFonts w:ascii="Times New Roman" w:cs="Times New Roman" w:eastAsia="Times New Roman" w:hAnsi="Times New Roman"/>
          <w:sz w:val="20"/>
          <w:szCs w:val="20"/>
          <w:color w:val="auto"/>
        </w:rPr>
      </w:pPr>
    </w:p>
    <w:p>
      <w:pPr>
        <w:jc w:val="both"/>
        <w:ind w:left="180" w:firstLine="267"/>
        <w:spacing w:after="0" w:line="258" w:lineRule="auto"/>
        <w:tabs>
          <w:tab w:leader="none" w:pos="1047" w:val="left"/>
        </w:tabs>
        <w:numPr>
          <w:ilvl w:val="3"/>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Restricted Payments paid in cash during such Excess Cash Flow Period pursuant to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7.06(c)</w:t>
      </w:r>
      <w:r>
        <w:rPr>
          <w:rFonts w:ascii="Times New Roman" w:cs="Times New Roman" w:eastAsia="Times New Roman" w:hAnsi="Times New Roman"/>
          <w:sz w:val="20"/>
          <w:szCs w:val="20"/>
          <w:color w:val="auto"/>
        </w:rPr>
        <w:t>) except to the extent that such Restricted Payments were financed with the proceeds of an incurrence or issuance of long-term Indebtedness of the Company or its Restricted Subsidiaries (other than revolving Indebtedness and intercompany loans);</w:t>
      </w:r>
    </w:p>
    <w:p>
      <w:pPr>
        <w:spacing w:after="0" w:line="185" w:lineRule="exact"/>
        <w:rPr>
          <w:rFonts w:ascii="Times New Roman" w:cs="Times New Roman" w:eastAsia="Times New Roman" w:hAnsi="Times New Roman"/>
          <w:sz w:val="20"/>
          <w:szCs w:val="20"/>
          <w:color w:val="auto"/>
        </w:rPr>
      </w:pPr>
    </w:p>
    <w:p>
      <w:pPr>
        <w:jc w:val="both"/>
        <w:ind w:left="180" w:firstLine="294"/>
        <w:spacing w:after="0" w:line="251" w:lineRule="auto"/>
        <w:tabs>
          <w:tab w:leader="none" w:pos="1156" w:val="left"/>
        </w:tabs>
        <w:numPr>
          <w:ilvl w:val="5"/>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amounts deducted from Excess Cash Flow in prior Excess Cash Flow Periods, (1) the aggregate consideration required to be paid in cash by the Company or any of its Restricted Subsidiaries pursuant to binding contracts, commitments, letters of intent or purchase orders (the “</w:t>
      </w:r>
      <w:r>
        <w:rPr>
          <w:rFonts w:ascii="Times New Roman" w:cs="Times New Roman" w:eastAsia="Times New Roman" w:hAnsi="Times New Roman"/>
          <w:sz w:val="20"/>
          <w:szCs w:val="20"/>
          <w:u w:val="single" w:color="auto"/>
          <w:color w:val="auto"/>
        </w:rPr>
        <w:t>Contract Consideration</w:t>
      </w:r>
      <w:r>
        <w:rPr>
          <w:rFonts w:ascii="Times New Roman" w:cs="Times New Roman" w:eastAsia="Times New Roman" w:hAnsi="Times New Roman"/>
          <w:sz w:val="20"/>
          <w:szCs w:val="20"/>
          <w:color w:val="auto"/>
        </w:rPr>
        <w:t>”) entered into prior to or during such Excess Cash Flow Period or, in the case of any binding contracts, commitments, letters of intent, or purchase orders relating to a Permitted Acquisition or other Investment permitted under Section 7.03, prior to the date an applicable Excess Cash Flow prepayment is due and (2) the aggregate amount of cash that is reasonably expected to be paid in respect of planned cash expenditures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0120"/>
          </w:cols>
          <w:pgMar w:left="1440" w:top="1413" w:right="339" w:bottom="1440" w:gutter="0" w:footer="0" w:header="0"/>
        </w:sectPr>
      </w:pPr>
    </w:p>
    <w:bookmarkStart w:id="110" w:name="page111"/>
    <w:bookmarkEnd w:id="110"/>
    <w:p>
      <w:pPr>
        <w:jc w:val="both"/>
        <w:ind w:left="1300"/>
        <w:spacing w:after="0" w:line="250" w:lineRule="auto"/>
        <w:rPr>
          <w:sz w:val="20"/>
          <w:szCs w:val="20"/>
          <w:color w:val="auto"/>
        </w:rPr>
      </w:pPr>
      <w:r>
        <w:rPr>
          <w:rFonts w:ascii="Times New Roman" w:cs="Times New Roman" w:eastAsia="Times New Roman" w:hAnsi="Times New Roman"/>
          <w:sz w:val="20"/>
          <w:szCs w:val="20"/>
          <w:color w:val="auto"/>
        </w:rPr>
        <w:t>Company or any of the Restricted Subsidiaries (the “</w:t>
      </w:r>
      <w:r>
        <w:rPr>
          <w:rFonts w:ascii="Times New Roman" w:cs="Times New Roman" w:eastAsia="Times New Roman" w:hAnsi="Times New Roman"/>
          <w:sz w:val="20"/>
          <w:szCs w:val="20"/>
          <w:u w:val="single" w:color="auto"/>
          <w:color w:val="auto"/>
        </w:rPr>
        <w:t>Planned Expenditures</w:t>
      </w:r>
      <w:r>
        <w:rPr>
          <w:rFonts w:ascii="Times New Roman" w:cs="Times New Roman" w:eastAsia="Times New Roman" w:hAnsi="Times New Roman"/>
          <w:sz w:val="20"/>
          <w:szCs w:val="20"/>
          <w:color w:val="auto"/>
        </w:rPr>
        <w:t xml:space="preserve">”), in the case of each of clauses (1) and (2), relating to Permitted Acquisitions, capital expenditures, acquisitions, other Investments permitted under Section 7.03 (other than </w:t>
      </w:r>
      <w:r>
        <w:rPr>
          <w:rFonts w:ascii="Times New Roman" w:cs="Times New Roman" w:eastAsia="Times New Roman" w:hAnsi="Times New Roman"/>
          <w:sz w:val="20"/>
          <w:szCs w:val="20"/>
          <w:u w:val="single" w:color="auto"/>
          <w:color w:val="auto"/>
        </w:rPr>
        <w:t>Section 7.03(a)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Restricted Payments permitted under Section 7.06 (other than </w:t>
      </w:r>
      <w:r>
        <w:rPr>
          <w:rFonts w:ascii="Times New Roman" w:cs="Times New Roman" w:eastAsia="Times New Roman" w:hAnsi="Times New Roman"/>
          <w:sz w:val="20"/>
          <w:szCs w:val="20"/>
          <w:u w:val="single" w:color="auto"/>
          <w:color w:val="auto"/>
        </w:rPr>
        <w:t>Section 7.06(c)</w:t>
      </w:r>
      <w:r>
        <w:rPr>
          <w:rFonts w:ascii="Times New Roman" w:cs="Times New Roman" w:eastAsia="Times New Roman" w:hAnsi="Times New Roman"/>
          <w:sz w:val="20"/>
          <w:szCs w:val="20"/>
          <w:color w:val="auto"/>
        </w:rPr>
        <w:t xml:space="preserve">), tax distributions or any scheduled payment, repurchase, or redemption of Indebtedness permitted by the terms of this Agreement, in each case to be consummated or made during the Excess Cash Flow Period of four consecutive fiscal quarters of the Company following the end of such Excess Cash Flow Period except to the extent intended to be financed with the proceeds of an incurrence or issuance of other long-term Indebtedness of the Company or its Restricted Subsidiaries (other than revolving Indebtedness and intercompany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the aggregate amount utilized to finance such Permitted Acquisitions, capital expenditures, acquisitions, Investments, Restricted Payments, tax distributions or any scheduled payment of Indebtedness permitted by the terms of this Agreement during such Excess Cash Flow Period of four consecutive fiscal quarters is less than the Contract Consideration or Planned Expenditures, as applicable, the amount of such shortfall shall be added to the calculation of Excess Cash Flow at the end of such Excess Cash Flow Period of four consecutive fiscal quarters;</w:t>
      </w:r>
    </w:p>
    <w:p>
      <w:pPr>
        <w:spacing w:after="0" w:line="193" w:lineRule="exact"/>
        <w:rPr>
          <w:sz w:val="20"/>
          <w:szCs w:val="20"/>
          <w:color w:val="auto"/>
        </w:rPr>
      </w:pPr>
    </w:p>
    <w:p>
      <w:pPr>
        <w:jc w:val="both"/>
        <w:ind w:left="1300" w:firstLine="227"/>
        <w:spacing w:after="0" w:line="295" w:lineRule="auto"/>
        <w:tabs>
          <w:tab w:leader="none" w:pos="2032"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cash taxes paid or tax reserves set aside or payable (without duplication) in such period to the extent they exceed the amount of tax expense deducted in determining Consolidated Net Income for such Excess Cash Flow Period;</w:t>
      </w:r>
    </w:p>
    <w:p>
      <w:pPr>
        <w:spacing w:after="0" w:line="151" w:lineRule="exact"/>
        <w:rPr>
          <w:rFonts w:ascii="Times New Roman" w:cs="Times New Roman" w:eastAsia="Times New Roman" w:hAnsi="Times New Roman"/>
          <w:sz w:val="19"/>
          <w:szCs w:val="19"/>
          <w:color w:val="auto"/>
        </w:rPr>
      </w:pPr>
    </w:p>
    <w:p>
      <w:pPr>
        <w:ind w:left="1300" w:firstLine="273"/>
        <w:spacing w:after="0" w:line="283" w:lineRule="auto"/>
        <w:tabs>
          <w:tab w:leader="none" w:pos="206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Consolidated Interest Expense actually paid or payable in cash by the Company or any Restricted Subsidiary during such Excess Cash Flow Period; and</w:t>
      </w:r>
    </w:p>
    <w:p>
      <w:pPr>
        <w:spacing w:after="0" w:line="146" w:lineRule="exact"/>
        <w:rPr>
          <w:rFonts w:ascii="Times New Roman" w:cs="Times New Roman" w:eastAsia="Times New Roman" w:hAnsi="Times New Roman"/>
          <w:sz w:val="20"/>
          <w:szCs w:val="20"/>
          <w:color w:val="auto"/>
        </w:rPr>
      </w:pPr>
    </w:p>
    <w:p>
      <w:pPr>
        <w:jc w:val="both"/>
        <w:ind w:left="1300" w:firstLine="733"/>
        <w:spacing w:after="0" w:line="253" w:lineRule="auto"/>
        <w:tabs>
          <w:tab w:leader="none" w:pos="2585"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cash payments by the Company and the Restricted Subsidiaries during such period in respect of (i) purchase price holdbacks, (ii) earn out obligations, and (iii) long-term liabilities not constituting Indebtedness, in each case, of the Company and the Restricted Subsidiaries to the extent (x) such payments are not expensed during such period or are not deducted in calculating Consolidated Net Income and (y) such cash payments were financed with internally generated cash flow of the Company or the Restricted Subsidiaries.</w:t>
      </w:r>
    </w:p>
    <w:p>
      <w:pPr>
        <w:spacing w:after="0" w:line="20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Cash Flow Period</w:t>
      </w:r>
      <w:r>
        <w:rPr>
          <w:rFonts w:ascii="Times New Roman" w:cs="Times New Roman" w:eastAsia="Times New Roman" w:hAnsi="Times New Roman"/>
          <w:sz w:val="22"/>
          <w:szCs w:val="22"/>
          <w:color w:val="auto"/>
        </w:rPr>
        <w:t>” means each fiscal year of the Company starting with the first full fiscal year ending after the Amendment No. 5 Effective Date.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has the meaning given thereto in the proviso to the definition of Collateral and Guarantee Requirement.</w:t>
      </w:r>
    </w:p>
    <w:p>
      <w:pPr>
        <w:spacing w:after="0" w:line="14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means any of the following Taxes imposed on or with respect to a Recipient or required to be withheld or deducted from payment to a Recipient, (a) Taxes imposed on or measured by net income (however denominated), franchise Taxes, and branch profits Taxes, in each case, (i) imposed as a result of such Recipient being organized under the laws of, or having its principal office or, in the case of any Lender, L/C Issuer or Swing Line Lender, its Lending Office, or the lending office of an L/C Issuer or Swing Line Lender, located in, the jurisdiction imposing such Tax (or any political subdivision thereof) or (ii) that are Other Connection Taxes, (b) in the case of a Lender, L/C Issuer or Swing Line Lender,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13" w:right="339" w:bottom="1440" w:gutter="0" w:footer="0" w:header="0"/>
        </w:sectPr>
      </w:pPr>
    </w:p>
    <w:bookmarkStart w:id="111" w:name="page112"/>
    <w:bookmarkEnd w:id="111"/>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withholding Taxes imposed on amounts payable to or for the account of such Lender, L/C Issuer or Swing Line Lender with respect to an applicable interest in a Loan, Commitment or Obligation pursuant to a law in effect on the date on which (i) such Lender, L/C Issuer or Swing Line Lender acquires such interest in the Loan or Commitment (other than pursuant to an assignment request by the Company under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xml:space="preserve">) or (ii) such Lender, L/C Issuer or Swing Line Lender changes its Lending Office or the lending office of an L/C Issuer or Swing Line Lender, except in each case to the extent that, pursuant to </w:t>
      </w:r>
      <w:r>
        <w:rPr>
          <w:rFonts w:ascii="Times New Roman" w:cs="Times New Roman" w:eastAsia="Times New Roman" w:hAnsi="Times New Roman"/>
          <w:sz w:val="21"/>
          <w:szCs w:val="21"/>
          <w:u w:val="single" w:color="auto"/>
          <w:color w:val="auto"/>
        </w:rPr>
        <w:t>Section 3.01(a)(ii)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and (d) any U.S. federal withholding Taxes imposed pursuant to FATCA.</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means that certain Credit Agreement dated as of August 1, 2019, as amended by Amendment No. 1, dated as of March 17, 2020, as amended by Amendment No. 2 (LIBOR Transition), dated as of December 10, 2021, as amended by Amendment No. 3, dated as of June 17, 2022, as amended by Amendment No. 4, dated as of April 10, 2026 and as further amended, modified, extended, restated, replaced or supplemented from time to time prior to the Amendment No. 5 Effective Date, among the Company, certain Subsidiaries of the Company party thereto, Bank of America, N.A., as administrative agent, and the lenders from time to time party thereto.</w:t>
      </w:r>
    </w:p>
    <w:p>
      <w:pPr>
        <w:spacing w:after="0" w:line="20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Revolving Credit Commitment</w:t>
      </w:r>
      <w:r>
        <w:rPr>
          <w:rFonts w:ascii="Times New Roman" w:cs="Times New Roman" w:eastAsia="Times New Roman" w:hAnsi="Times New Roman"/>
          <w:sz w:val="22"/>
          <w:szCs w:val="22"/>
          <w:color w:val="auto"/>
        </w:rPr>
        <w:t xml:space="preserve">” means any Class of Revolving Credit Commitments the maturity of which shall have been extended pursuant to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Revolving Loans</w:t>
      </w:r>
      <w:r>
        <w:rPr>
          <w:rFonts w:ascii="Times New Roman" w:cs="Times New Roman" w:eastAsia="Times New Roman" w:hAnsi="Times New Roman"/>
          <w:sz w:val="22"/>
          <w:szCs w:val="22"/>
          <w:color w:val="auto"/>
        </w:rPr>
        <w:t>” means any Revolving Loans made pursuant to the Extended Revolving Credit Commitments.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Term Loans</w:t>
      </w:r>
      <w:r>
        <w:rPr>
          <w:rFonts w:ascii="Times New Roman" w:cs="Times New Roman" w:eastAsia="Times New Roman" w:hAnsi="Times New Roman"/>
          <w:sz w:val="22"/>
          <w:szCs w:val="22"/>
          <w:color w:val="auto"/>
        </w:rPr>
        <w:t xml:space="preserve">” means any Class of Term Loans the maturity of which shall have been extended pursuant to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10.21(a)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Amendment</w:t>
      </w:r>
      <w:r>
        <w:rPr>
          <w:rFonts w:ascii="Times New Roman" w:cs="Times New Roman" w:eastAsia="Times New Roman" w:hAnsi="Times New Roman"/>
          <w:sz w:val="22"/>
          <w:szCs w:val="22"/>
          <w:color w:val="auto"/>
        </w:rPr>
        <w:t xml:space="preserve">” means an amendment to this Agreement (which may, at the option of the Applicable Facility Agent and the Borrower, be in the form of an amendment and restatement of this Agreement) among the Loan Parties, the applicable extending Lenders, the Applicable Facility Agent and, to the extent required by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 xml:space="preserve">, the L/C Issuer and/or the Swing Line Lenders implementing an Extension in accordance with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Offer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10.21(a)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Extraordinary Receipt</w:t>
      </w:r>
      <w:r>
        <w:rPr>
          <w:rFonts w:ascii="Times New Roman" w:cs="Times New Roman" w:eastAsia="Times New Roman" w:hAnsi="Times New Roman"/>
          <w:sz w:val="22"/>
          <w:szCs w:val="22"/>
          <w:color w:val="auto"/>
        </w:rPr>
        <w:t>” means any cash received by or paid to or for the account of any Person constituting proceeds of property or casualty insurance (other than proceeds of business interruption insurance to the extent such proceeds constitute compensation for lost earnings) or condemnation awards (and payments in lieu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22" w:right="339"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means either Term Facility or the Revolving Credit Facility, as the context may require.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Termination Date</w:t>
      </w:r>
      <w:r>
        <w:rPr>
          <w:rFonts w:ascii="Times New Roman" w:cs="Times New Roman" w:eastAsia="Times New Roman" w:hAnsi="Times New Roman"/>
          <w:sz w:val="22"/>
          <w:szCs w:val="22"/>
          <w:color w:val="auto"/>
        </w:rPr>
        <w:t>” means the date as of which all of the following shall have occurred: (a) the Aggregate Commitments have terminated, (b) all Obligations have been paid in full (other than (i) contingent indemnification obligations that are not yet due, (ii) obligations and liabilities under Secured Cash Management Agreements, Secured Hedge Agreements and Bilateral Foreign Loan Facilities and (iii) obligations under Letters of Credit that have been addressed in accordance with the ensuing clause (c)), and (c) all Letters of Credit have terminated or expired (other than Letters of Credit as to which other arrangements with respect thereto reasonably satisfactory to the Pro Rata Facilities Administrative Agent (to the extent the Pro Rata Facilities Administrative Agent is a party to such arrangements) and the L/C Issuer shall have been made).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with respect to any asset or property on any date of determination, the value of the consideration obtainable in a sale of such asset or property in an arm’s-length transaction between a willing seller and a willing buyer (as determined in good faith by the Company, whose determination will be conclusive for all purposes under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substantially comparable and not materially more onerous to comply with), any current or future regulations or official interpretations thereof, any agreements entered into pursuant to Section 1471(b)(1) of the Code and any intergovernmental agreement between a foreign country and the United States entered into in connection with the implementation of the foregoing.</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Federal Funds Rate as so determined would be less than zero, such rate shall be deemed to be zero for purposes of this Agreement.</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means the one or more fee letters entered into by the Company in connection with Amendment No. 4 and Amendment No. 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Covenant Adjustment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7.11(b)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 and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22" w:right="339" w:bottom="1440" w:gutter="0" w:footer="0" w:header="0"/>
        </w:sectPr>
      </w:pPr>
    </w:p>
    <w:bookmarkStart w:id="113" w:name="page114"/>
    <w:bookmarkEnd w:id="113"/>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Designated Borrower</w:t>
      </w:r>
      <w:r>
        <w:rPr>
          <w:rFonts w:ascii="Times New Roman" w:cs="Times New Roman" w:eastAsia="Times New Roman" w:hAnsi="Times New Roman"/>
          <w:sz w:val="22"/>
          <w:szCs w:val="22"/>
          <w:color w:val="auto"/>
        </w:rPr>
        <w:t>” means the Dutch Borrower and any other Designated Borrower that is not a Domestic Designated Borrower.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Guarantor</w:t>
      </w:r>
      <w:r>
        <w:rPr>
          <w:rFonts w:ascii="Times New Roman" w:cs="Times New Roman" w:eastAsia="Times New Roman" w:hAnsi="Times New Roman"/>
          <w:sz w:val="22"/>
          <w:szCs w:val="22"/>
          <w:color w:val="auto"/>
        </w:rPr>
        <w:t>” means any Foreign Subsidiary that the Company, in its discretion, may cause to be a Foreign Guarantor.</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Holding Company</w:t>
      </w:r>
      <w:r>
        <w:rPr>
          <w:rFonts w:ascii="Times New Roman" w:cs="Times New Roman" w:eastAsia="Times New Roman" w:hAnsi="Times New Roman"/>
          <w:sz w:val="22"/>
          <w:szCs w:val="22"/>
          <w:color w:val="auto"/>
        </w:rPr>
        <w:t>” means any (i) Domestic Subsidiary that has no material assets other than equity (or equity and debt) of one or more Foreign Subsidiaries that are CFCs, or (ii) Subsidiary that is a disregarded entity for U.S. federal income tax purposes and that is directly owned by a Loan Party or a Domestic Subsidiary of a Loan Party, and that has no material assets other than equity (or equity and debt) of one or more Foreign Subsidiaries that are CFCs.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Obligor</w:t>
      </w:r>
      <w:r>
        <w:rPr>
          <w:rFonts w:ascii="Times New Roman" w:cs="Times New Roman" w:eastAsia="Times New Roman" w:hAnsi="Times New Roman"/>
          <w:sz w:val="22"/>
          <w:szCs w:val="22"/>
          <w:color w:val="auto"/>
        </w:rPr>
        <w:t>” means a Loan Party that is a Foreign Subsidiary.</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Restricted Subsidiary that is organized under the laws of a jurisdiction other than the United States, a State thereof or the District of Columbia.</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FRB</w:t>
      </w:r>
      <w:r>
        <w:rPr>
          <w:rFonts w:ascii="Times New Roman" w:cs="Times New Roman" w:eastAsia="Times New Roman" w:hAnsi="Times New Roman"/>
          <w:sz w:val="22"/>
          <w:szCs w:val="22"/>
          <w:color w:val="auto"/>
        </w:rPr>
        <w:t>” means the Board of Governors of the Federal Reserve System of the United States.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means, at any time there is a Defaulting Lender, (a) with respect to the L/C Issuer, such Defaulting Lender’s Applicable Percentage of the Outstanding Amount of all outstanding L/C Obligations other than L/C Obligations as to which such Defaulting Lender’s participation obligation has been reallocated to other Lenders or Cash Collateralized in accordance with the terms hereof, and (b) with respect to the Swing Line Lenders, such Defaulting Lender’s Applicable Percentage of Swing Line Loans other than Swing Line Loans as to which such Defaulting Lender’s participation obligation has been reallocated to other Lenders in accordance with the terms hereof.</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Funding Indemnity Letter</w:t>
      </w:r>
      <w:r>
        <w:rPr>
          <w:rFonts w:ascii="Times New Roman" w:cs="Times New Roman" w:eastAsia="Times New Roman" w:hAnsi="Times New Roman"/>
          <w:sz w:val="21"/>
          <w:szCs w:val="21"/>
          <w:color w:val="auto"/>
        </w:rPr>
        <w:t>” means a funding indemnity letter in a form reasonably satisfactory to the Applicable Facility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9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22" w:right="339" w:bottom="1440" w:gutter="0" w:footer="0" w:header="0"/>
        </w:sectPr>
      </w:pPr>
    </w:p>
    <w:bookmarkStart w:id="114" w:name="page115"/>
    <w:bookmarkEnd w:id="114"/>
    <w:p>
      <w:pPr>
        <w:jc w:val="both"/>
        <w:spacing w:after="0" w:line="251" w:lineRule="auto"/>
        <w:rPr>
          <w:sz w:val="20"/>
          <w:szCs w:val="20"/>
          <w:color w:val="auto"/>
        </w:rPr>
      </w:pPr>
      <w:r>
        <w:rPr>
          <w:rFonts w:ascii="Times New Roman" w:cs="Times New Roman" w:eastAsia="Times New Roman" w:hAnsi="Times New Roman"/>
          <w:sz w:val="22"/>
          <w:szCs w:val="22"/>
          <w:color w:val="auto"/>
        </w:rPr>
        <w:t>Standards Board or such other principles as may be approved by a significant segment of the accounting profession in the United States, that are applicable to the circumstances as of the date of determination, consistently applied. “</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Administrative Agent</w:t>
      </w:r>
      <w:r>
        <w:rPr>
          <w:rFonts w:ascii="Times New Roman" w:cs="Times New Roman" w:eastAsia="Times New Roman" w:hAnsi="Times New Roman"/>
          <w:sz w:val="22"/>
          <w:szCs w:val="22"/>
          <w:color w:val="auto"/>
        </w:rPr>
        <w:t>” means Bank of America, N.A. together with its affiliates, as the general administrative agent for the Lenders under this Agreement and the other Loan Documents, together with any of its successors.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means, as to any Person, any (a) any obligation, contingent or otherwise, of such Person guaranteeing or having the economic effect of guaranteeing any Indebtedness or other obligation payable or performable by another Person (the “</w:t>
      </w:r>
      <w:r>
        <w:rPr>
          <w:rFonts w:ascii="Times New Roman" w:cs="Times New Roman" w:eastAsia="Times New Roman" w:hAnsi="Times New Roman"/>
          <w:sz w:val="21"/>
          <w:szCs w:val="21"/>
          <w:u w:val="single" w:color="auto"/>
          <w:color w:val="auto"/>
        </w:rPr>
        <w:t>primary obligor</w:t>
      </w:r>
      <w:r>
        <w:rPr>
          <w:rFonts w:ascii="Times New Roman" w:cs="Times New Roman" w:eastAsia="Times New Roman" w:hAnsi="Times New Roman"/>
          <w:sz w:val="21"/>
          <w:szCs w:val="21"/>
          <w:color w:val="auto"/>
        </w:rPr>
        <w:t>”) in any manner, whether directly or indirectly, and including any obligation of such Person, direct or indirect,</w:t>
      </w:r>
    </w:p>
    <w:p>
      <w:pPr>
        <w:spacing w:after="0" w:line="3" w:lineRule="exact"/>
        <w:rPr>
          <w:sz w:val="20"/>
          <w:szCs w:val="20"/>
          <w:color w:val="auto"/>
        </w:rPr>
      </w:pPr>
    </w:p>
    <w:p>
      <w:pPr>
        <w:jc w:val="both"/>
        <w:ind w:firstLine="8"/>
        <w:spacing w:after="0" w:line="245" w:lineRule="auto"/>
        <w:tabs>
          <w:tab w:leader="none" w:pos="26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as a verb has a corresponding meaning.</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xml:space="preserve">” means, collectively, (a) the Company, (b) each Domestic Designated Borrower, (c) each Material Domestic Subsidiary of the Company, (d) any other Domestic Subsidiary that is from time to time party to the Guaranty or any other agreement pursuant to which it guarantees the Obligations or any portion thereof (including any Domestic Subsidiary, if any, that the Company, in its discretion, may cause to be a Guarantor), and (e) any Foreign Guarantor, if any, that the Company, in its discretion, may cause to be a Guarantor pursuant to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22" w:right="339" w:bottom="1440" w:gutter="0" w:footer="0" w:header="0"/>
        </w:sectPr>
      </w:pPr>
    </w:p>
    <w:bookmarkStart w:id="115" w:name="page116"/>
    <w:bookmarkEnd w:id="115"/>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means, collectively, the Guaranty made by the Guarantors in favor of the Secured Parties,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together with each other guaranty and guaranty supplement delivered pursuant to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Bank</w:t>
      </w:r>
      <w:r>
        <w:rPr>
          <w:rFonts w:ascii="Times New Roman" w:cs="Times New Roman" w:eastAsia="Times New Roman" w:hAnsi="Times New Roman"/>
          <w:sz w:val="22"/>
          <w:szCs w:val="22"/>
          <w:color w:val="auto"/>
        </w:rPr>
        <w:t xml:space="preserve">” means any Person that either (a) at the time it enters into a Swap Contract required or permitted under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is a Lender or an Affiliate of a Lender or (b) is a party to a Swap Contract required or permitted under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at the time it (or its applicable Affiliate) becomes a Lender (either on the Amendment No. 4 Effective Date or thereafter as an Eligible Assignee), in each case in its capacity as a party to such Swap Contract.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international accounting standards within the meaning of IAS Regulation 1606/2002 to the extent applicable to the relevant financial statements delivered under or referred to herein.</w:t>
      </w:r>
    </w:p>
    <w:p>
      <w:pPr>
        <w:spacing w:after="0" w:line="15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Available Amount</w:t>
      </w:r>
      <w:r>
        <w:rPr>
          <w:rFonts w:ascii="Times New Roman" w:cs="Times New Roman" w:eastAsia="Times New Roman" w:hAnsi="Times New Roman"/>
          <w:sz w:val="21"/>
          <w:szCs w:val="21"/>
          <w:color w:val="auto"/>
        </w:rPr>
        <w:t xml:space="preserve">” means the sum of (a) the Incremental Fixed Amount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the Incremental Ratio Amount; provided, (i) that the Company may select utilization under clause (a) or (b) above in its sole discretion, (ii) Indebtedness under any Incremental Facility or Incremental Equivalent Debt may be incurred simultaneously under clause (a) or</w:t>
      </w:r>
    </w:p>
    <w:p>
      <w:pPr>
        <w:spacing w:after="0" w:line="2" w:lineRule="exact"/>
        <w:rPr>
          <w:sz w:val="20"/>
          <w:szCs w:val="20"/>
          <w:color w:val="auto"/>
        </w:rPr>
      </w:pPr>
    </w:p>
    <w:p>
      <w:pPr>
        <w:jc w:val="both"/>
        <w:ind w:firstLine="8"/>
        <w:spacing w:after="0" w:line="245" w:lineRule="auto"/>
        <w:tabs>
          <w:tab w:leader="none" w:pos="33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proceeds from any such incurrence may be utilized in a single transaction or series of related transactions by, unless the Company elects otherwise, first calculating and allocating the incurrence under clause (b) above and then calculating and allocating any excess under clause (a) and (iii) in the event that the Company incurs Indebtedness under clause (a) above and, subsequent to such incurrence, if all or any portion of such Indebtedness would be permitted to be incurred under clause (b) above based on such financial statements, such Indebtedness shall automatically be reclassified as having been incurred under clause (b) above and the Company’s availability under clause (a), shall be deemed restored to the extent of such reclassification; provided that borrowings under the Revolving Credit Facility or any other revolving credit facility if any, shall be included in such calculation.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Effective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2.16(c)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Equivalent Debt</w:t>
      </w:r>
      <w:r>
        <w:rPr>
          <w:rFonts w:ascii="Times New Roman" w:cs="Times New Roman" w:eastAsia="Times New Roman" w:hAnsi="Times New Roman"/>
          <w:sz w:val="22"/>
          <w:szCs w:val="22"/>
          <w:color w:val="auto"/>
        </w:rPr>
        <w:t>” means Indebtedness of the Company in an amount not to exceed the then available Incremental Available Amount consisting of the issuance of one or more series of notes (whether issued in a public offering, Rule 144A or other private placement or purchase or otherwise) or loans or any bridge financing in lieu of the foregoing; provided that any such Indebtedness shall (a) not be guaranteed by any Person which is not a Domestic Guarantor, (b) not be secured by any assets not constituting Collateral and, during a Collateral Release Period, shall be unsecured, (c) rank pari passu in right of payment with, or subordinated in right of payment to, the Facilities, any Incremental Facilities and any other Incremental Equivalent Debt, (d) be unsecured, or be secured on a subordinated basis to, or (solely in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22" w:right="339" w:bottom="1440" w:gutter="0" w:footer="0" w:header="0"/>
        </w:sectPr>
      </w:pPr>
    </w:p>
    <w:bookmarkStart w:id="116" w:name="page117"/>
    <w:bookmarkEnd w:id="116"/>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of notes or bridge financing) on a pari passu basis with, the Facilities, any Incremental Facilities and any other Incremental Equivalent Debt, (e) in the case of secured Indebtedness, be subject to a customary intercreditor agreement reasonably satisfactory to the General Administrative Agent, and (e) be subject to the applicable terms and conditions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2.16(a)(iv),</w:t>
      </w:r>
      <w:r>
        <w:rPr>
          <w:rFonts w:ascii="Times New Roman" w:cs="Times New Roman" w:eastAsia="Times New Roman" w:hAnsi="Times New Roman"/>
          <w:sz w:val="22"/>
          <w:szCs w:val="22"/>
          <w:color w:val="auto"/>
        </w:rPr>
        <w:t xml:space="preserve"> Section 2.16(a)(v)</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2.16(d)(i)(A)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with respect to an Incremental Term Loan,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“Incremental Facilities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Facility Amendment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Fixed Amount</w:t>
      </w:r>
      <w:r>
        <w:rPr>
          <w:rFonts w:ascii="Times New Roman" w:cs="Times New Roman" w:eastAsia="Times New Roman" w:hAnsi="Times New Roman"/>
          <w:sz w:val="22"/>
          <w:szCs w:val="22"/>
          <w:color w:val="auto"/>
        </w:rPr>
        <w:t>” means the sum of:</w:t>
      </w:r>
    </w:p>
    <w:p>
      <w:pPr>
        <w:spacing w:after="0" w:line="233" w:lineRule="exact"/>
        <w:rPr>
          <w:sz w:val="20"/>
          <w:szCs w:val="20"/>
          <w:color w:val="auto"/>
        </w:rPr>
      </w:pPr>
    </w:p>
    <w:p>
      <w:pPr>
        <w:ind w:left="1620" w:right="20" w:hanging="316"/>
        <w:spacing w:after="0" w:line="271" w:lineRule="auto"/>
        <w:tabs>
          <w:tab w:leader="none" w:pos="161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the greater of (i) $331,000,000 and (ii) 100% of Consolidated EBITDA for the most recently completed Measurement Period; </w:t>
      </w:r>
      <w:r>
        <w:rPr>
          <w:rFonts w:ascii="Times New Roman" w:cs="Times New Roman" w:eastAsia="Times New Roman" w:hAnsi="Times New Roman"/>
          <w:sz w:val="22"/>
          <w:szCs w:val="22"/>
          <w:i w:val="1"/>
          <w:iCs w:val="1"/>
          <w:color w:val="auto"/>
        </w:rPr>
        <w:t>plus</w:t>
      </w:r>
    </w:p>
    <w:p>
      <w:pPr>
        <w:spacing w:after="0" w:line="157" w:lineRule="exact"/>
        <w:rPr>
          <w:rFonts w:ascii="Times New Roman" w:cs="Times New Roman" w:eastAsia="Times New Roman" w:hAnsi="Times New Roman"/>
          <w:sz w:val="22"/>
          <w:szCs w:val="22"/>
          <w:color w:val="auto"/>
        </w:rPr>
      </w:pPr>
    </w:p>
    <w:p>
      <w:pPr>
        <w:jc w:val="both"/>
        <w:ind w:left="1620" w:hanging="316"/>
        <w:spacing w:after="0" w:line="248" w:lineRule="auto"/>
        <w:tabs>
          <w:tab w:leader="none" w:pos="161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(i) all voluntary prepayments, redemptions, defeasement, purchases or reductions of Term Loans, Incremental Term Loans, Incremental Equivalent Debt and all other Indebtedness (other than Indebtedness consisting of revolving credit facilities) secured by Liens on the Collateral that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Liens on the Collateral securing the Obligations (or, during a Collateral Release Period, that is secured by a Lien or unsecured), in each case including purchases of any Indebtedness by the Company or any of its Subsidiaries at or below par, in which case the amount of voluntary prepayments of such Indebtedness shall be deemed not to exceed the actual purchase price of such Indebtedness below par and (ii) all permanent commitment reductions in respect of the Revolving Credit Facility and all other Indebtedness consisting of revolving credit commitments secured by Liens on the Collateral that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Liens on the Collateral securing the Obligations (or, during a Collateral Release Period, that is secured by a Lien or unsecured) and other than, in each case under clauses (i) and (ii), from prepayments funded with proceeds of long-term Indebtedness.</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Ratio Amount</w:t>
      </w:r>
      <w:r>
        <w:rPr>
          <w:rFonts w:ascii="Times New Roman" w:cs="Times New Roman" w:eastAsia="Times New Roman" w:hAnsi="Times New Roman"/>
          <w:sz w:val="22"/>
          <w:szCs w:val="22"/>
          <w:color w:val="auto"/>
        </w:rPr>
        <w:t>” means an unlimited amount such that, after giving pro forma effect to such incurrence (including the use of proceeds thereof but without netting any proceeds from such incurrence) and any related transactions (and assuming that the full amount of the commitments in respect of the applicable Incremental Facilities are fully drawn but excluding any Incremental Facilities simultaneously incurred under the Incremental Fixed Amount), (a) in the case of any such Indebtedness that is secured by Liens on the Collateral that are pari passu with the Liens on the Collateral securing the Obligations (without regard to the control of remedies), the Consolidated First Lien Net Leverage Ratio shall not exceed 3.50:1.00, (b) in the case of any such Indebtedness that is secured by Liens on the Collateral that are junior to the Liens on the Collateral securing the Obligations, the Consolidated Secured Net Leverage Ratio shall not exceed 4.00:1.00 and (c) in the case of any such Indebtedness that is unsecured, (x) prior to a Financial Covenant Adjustment, the Consolidated Net Leverage Ratio shall be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22" w:right="339" w:bottom="1440" w:gutter="0" w:footer="0" w:header="0"/>
        </w:sectPr>
      </w:pPr>
    </w:p>
    <w:bookmarkStart w:id="117" w:name="page118"/>
    <w:bookmarkEnd w:id="117"/>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higher than 4.25 to 1.00 (or, to the extent the Company elects a Consolidated Net Leverage Ratio Increase in accordance with </w:t>
      </w:r>
      <w:r>
        <w:rPr>
          <w:rFonts w:ascii="Times New Roman" w:cs="Times New Roman" w:eastAsia="Times New Roman" w:hAnsi="Times New Roman"/>
          <w:sz w:val="22"/>
          <w:szCs w:val="22"/>
          <w:u w:val="single" w:color="auto"/>
          <w:color w:val="auto"/>
        </w:rPr>
        <w:t>Section 7.11(b)</w:t>
      </w:r>
      <w:r>
        <w:rPr>
          <w:rFonts w:ascii="Times New Roman" w:cs="Times New Roman" w:eastAsia="Times New Roman" w:hAnsi="Times New Roman"/>
          <w:sz w:val="22"/>
          <w:szCs w:val="22"/>
          <w:color w:val="auto"/>
        </w:rPr>
        <w:t xml:space="preserve">, 4.75 to 1.00); or (y) following a Financial Covenant Adjustment, the Consolidated Secured Net Leverage Ratio shall be no higher than 3.50 to 1.00 (or, to the extent the Company elects a Consolidated Secured Net Leverage Ratio Increase in accordance with </w:t>
      </w:r>
      <w:r>
        <w:rPr>
          <w:rFonts w:ascii="Times New Roman" w:cs="Times New Roman" w:eastAsia="Times New Roman" w:hAnsi="Times New Roman"/>
          <w:sz w:val="22"/>
          <w:szCs w:val="22"/>
          <w:u w:val="single" w:color="auto"/>
          <w:color w:val="auto"/>
        </w:rPr>
        <w:t>Section 7.11(b)</w:t>
      </w:r>
      <w:r>
        <w:rPr>
          <w:rFonts w:ascii="Times New Roman" w:cs="Times New Roman" w:eastAsia="Times New Roman" w:hAnsi="Times New Roman"/>
          <w:sz w:val="22"/>
          <w:szCs w:val="22"/>
          <w:color w:val="auto"/>
        </w:rPr>
        <w:t>, 4.00 to 1.00); provided, for the avoidance of doubt, that clauses (a) and (b) in this definition shall not be applicable during any Collateral Release Period.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as to any Person at a particular time, without duplication, all of the following, whether or not included as indebtedness or liabilities in accordance with GAAP:</w:t>
      </w:r>
    </w:p>
    <w:p>
      <w:pPr>
        <w:spacing w:after="0" w:line="171" w:lineRule="exact"/>
        <w:rPr>
          <w:sz w:val="20"/>
          <w:szCs w:val="20"/>
          <w:color w:val="auto"/>
        </w:rPr>
      </w:pPr>
    </w:p>
    <w:p>
      <w:pPr>
        <w:ind w:left="660" w:right="20" w:firstLine="644"/>
        <w:spacing w:after="0" w:line="271" w:lineRule="auto"/>
        <w:tabs>
          <w:tab w:leader="none" w:pos="18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for borrowed money and all obligations of such Person evidenced by bonds, debentures, notes, loan agreements or other similar instruments;</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6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of all direct or contingent obligations of such Person arising under letters of credit (including standby and commercial), bankers’ acceptances, bank guaranties, surety bonds and similar instruments;</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obligations of such Person under any Swap Contract;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5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purchase price of property or services (other than trade accounts payable in the ordinary course of business and, in each case, not past due for more than 90 days after the date on which the related invoices was originally payable, which date is for more than 90 days after the date the invoice was originally issued);</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1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67"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Attributable Indebtedness in respect of Capitalized Leases and Synthetic Lease Obligations of such</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w:t>
      </w:r>
    </w:p>
    <w:p>
      <w:pPr>
        <w:spacing w:after="0" w:line="19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in respect of Disqualified Equity Interests; and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Guarantees of such Person in respect of any of the foregoing.</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For the avoidance of doubt, Permitted Convertible Indebtedness shall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22" w:right="339" w:bottom="1440" w:gutter="0" w:footer="0" w:header="0"/>
        </w:sectPr>
      </w:pPr>
    </w:p>
    <w:bookmarkStart w:id="118" w:name="page119"/>
    <w:bookmarkEnd w:id="118"/>
    <w:p>
      <w:pPr>
        <w:jc w:val="both"/>
        <w:spacing w:after="0" w:line="271" w:lineRule="auto"/>
        <w:rPr>
          <w:sz w:val="20"/>
          <w:szCs w:val="20"/>
          <w:color w:val="auto"/>
        </w:rPr>
      </w:pPr>
      <w:r>
        <w:rPr>
          <w:rFonts w:ascii="Times New Roman" w:cs="Times New Roman" w:eastAsia="Times New Roman" w:hAnsi="Times New Roman"/>
          <w:sz w:val="22"/>
          <w:szCs w:val="22"/>
          <w:color w:val="auto"/>
        </w:rPr>
        <w:t>prior to the repurchase, conversion or payment thereof be valued at the full stated principal amount thereof and shall not include any reduction or appreciation in value of the shares and/or cash deliverable upon conversion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10.04(b)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2"/>
          <w:szCs w:val="22"/>
          <w:u w:val="single" w:color="auto"/>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Other Taxes.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Security Agreement</w:t>
      </w:r>
      <w:r>
        <w:rPr>
          <w:rFonts w:ascii="Times New Roman" w:cs="Times New Roman" w:eastAsia="Times New Roman" w:hAnsi="Times New Roman"/>
          <w:sz w:val="22"/>
          <w:szCs w:val="22"/>
          <w:color w:val="auto"/>
        </w:rPr>
        <w:t>” means an intellectual property security agreement, in form and substance reasonably satisfactory to the General Administrative Agent, as supplemented and joined from time to time by the execution and delivery of supplements and joinders as provided therein or otherwise reasonably acceptable to the General Administrative Agent.</w:t>
      </w:r>
    </w:p>
    <w:p>
      <w:pPr>
        <w:spacing w:after="0" w:line="17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xml:space="preserve">” means, (a) as to any Loan other than a Base Rate Loan, Swing Line Loan or an Alternative Currency Daily Rate Loan, the last day of each Interest Period applicable to such Loan and the Maturity Date of the Facility under which such Loan was made;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any Interest Period for such Loan exceeds three months, the respective dates that fall every three months after the beginning of such Interest Period shall also be Interest Payment Dates; and</w:t>
      </w:r>
    </w:p>
    <w:p>
      <w:pPr>
        <w:spacing w:after="0" w:line="1" w:lineRule="exact"/>
        <w:rPr>
          <w:sz w:val="20"/>
          <w:szCs w:val="20"/>
          <w:color w:val="auto"/>
        </w:rPr>
      </w:pPr>
    </w:p>
    <w:p>
      <w:pPr>
        <w:jc w:val="both"/>
        <w:ind w:firstLine="8"/>
        <w:spacing w:after="0" w:line="245" w:lineRule="auto"/>
        <w:tabs>
          <w:tab w:leader="none" w:pos="31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Base Rate Loan, Swing Line Loan or Alternative Currency Daily Rate Loan, the last Business Day of each March, June, September and December and the Maturity Date of the Facility under which such Loan was made (with Swing Line Loans being deemed made under the Revolving Credit Facility for purposes of this definition).</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 as to each Term SOFR Loan or Alternative Currency Term Rate Loan, the period commencing on the date such Term SOFR Loan or Alternative Currency Term Rate Loan is disbursed or converted to or continued as a Term SOFR Loan or Alternative Currency Term Rate Loan, as applicable, and ending on the date one, three or, other than with respect to Alternative Currency Term Rate Loans denominated in Canadian Dollars, six months thereafter (in each case with respect to Alternative Currency Term Rate Loans, subject to availability for the interest rate applicable to the relevant currency) as selected by the Company in its Committed Loan Notice, (b) [reserved] or (c) such other period that is twelve months or less requested by the Company and consented to by all the Appropriate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0" w:lineRule="exact"/>
        <w:rPr>
          <w:sz w:val="20"/>
          <w:szCs w:val="20"/>
          <w:color w:val="auto"/>
        </w:rPr>
      </w:pPr>
    </w:p>
    <w:p>
      <w:pPr>
        <w:jc w:val="both"/>
        <w:ind w:left="660" w:firstLine="644"/>
        <w:spacing w:after="0" w:line="252" w:lineRule="auto"/>
        <w:tabs>
          <w:tab w:leader="none" w:pos="173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would otherwise end on a day that is not a Business Day shall be extended to the next succeeding Business Day unless, in the case of a Term SOFR Loan or Alternative Currency Term Rate Loan, such Business Day falls in another calendar month, in which case such Interest Period shall end on the next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22" w:right="339" w:bottom="1440" w:gutter="0" w:footer="0" w:header="0"/>
        </w:sectPr>
      </w:pPr>
    </w:p>
    <w:bookmarkStart w:id="119" w:name="page120"/>
    <w:bookmarkEnd w:id="119"/>
    <w:p>
      <w:pPr>
        <w:jc w:val="both"/>
        <w:ind w:left="660" w:firstLine="644"/>
        <w:spacing w:after="0" w:line="256" w:lineRule="auto"/>
        <w:tabs>
          <w:tab w:leader="none" w:pos="180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pertaining to a Term SOFR Loan or Alternative Currency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For purposes of covenant compliance and calculating “Cumulative Available Amount,” the amount of any Investment shall be the amount actually invested, without adjustment for subsequent increases or decreases in the value of such Investments but reduced by the aggregate amount of any dividends, distributions, proceeds, including sale proceeds, payments, return of capital, or other cash amounts subsequently received by the Borrowers and Restricted Subsidiaries in respect of such Investments.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Rights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ISP</w:t>
      </w:r>
      <w:r>
        <w:rPr>
          <w:rFonts w:ascii="Times New Roman" w:cs="Times New Roman" w:eastAsia="Times New Roman" w:hAnsi="Times New Roman"/>
          <w:sz w:val="22"/>
          <w:szCs w:val="22"/>
          <w:color w:val="auto"/>
        </w:rPr>
        <w:t>” means the International Standby Practices, International Chamber of Commerce Publication No. 590 (or such later version thereof as may be in effect at the applicable time).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 Documents</w:t>
      </w:r>
      <w:r>
        <w:rPr>
          <w:rFonts w:ascii="Times New Roman" w:cs="Times New Roman" w:eastAsia="Times New Roman" w:hAnsi="Times New Roman"/>
          <w:sz w:val="22"/>
          <w:szCs w:val="22"/>
          <w:color w:val="auto"/>
        </w:rPr>
        <w:t>” means with respect to any Letter of Credit, the Letter of Credit Application, and any other document, agreement and instrument entered into by the L/C Issuer and the Company (or any Restricted Subsidiary) or in favor of the L/C Issuer and relating to such Letter of Credit.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JPM</w:t>
      </w:r>
      <w:r>
        <w:rPr>
          <w:rFonts w:ascii="Times New Roman" w:cs="Times New Roman" w:eastAsia="Times New Roman" w:hAnsi="Times New Roman"/>
          <w:sz w:val="22"/>
          <w:szCs w:val="22"/>
          <w:color w:val="auto"/>
        </w:rPr>
        <w:t>” means JPMorgan Chase Bank, N.A. and its successors.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Latest Maturity Date</w:t>
      </w:r>
      <w:r>
        <w:rPr>
          <w:rFonts w:ascii="Times New Roman" w:cs="Times New Roman" w:eastAsia="Times New Roman" w:hAnsi="Times New Roman"/>
          <w:sz w:val="22"/>
          <w:szCs w:val="22"/>
          <w:color w:val="auto"/>
        </w:rPr>
        <w:t>” means the latest of the Maturity Date for the Revolving Credit Facility, the Maturity Date for the Term B Facility, the Maturity Date for the U.S. Term Facility, the Maturity Date for the Euro Term Facility, any Incremental Term Loan Maturity Date applicable to existing Incremental Term Loans and any Refinancing Term Loans or Replacement Revolving Facility Commitments, as of any date of determination.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22" w:right="339" w:bottom="1440" w:gutter="0" w:footer="0" w:header="0"/>
        </w:sectPr>
      </w:pPr>
    </w:p>
    <w:bookmarkStart w:id="120" w:name="page121"/>
    <w:bookmarkEnd w:id="120"/>
    <w:p>
      <w:pPr>
        <w:jc w:val="both"/>
        <w:spacing w:after="0" w:line="271" w:lineRule="auto"/>
        <w:rPr>
          <w:sz w:val="20"/>
          <w:szCs w:val="20"/>
          <w:color w:val="auto"/>
        </w:rPr>
      </w:pPr>
      <w:r>
        <w:rPr>
          <w:rFonts w:ascii="Times New Roman" w:cs="Times New Roman" w:eastAsia="Times New Roman" w:hAnsi="Times New Roman"/>
          <w:sz w:val="22"/>
          <w:szCs w:val="22"/>
          <w:color w:val="auto"/>
        </w:rPr>
        <w:t>applicable administrative orders, directed duties, requests, licenses, authorizations and permits of, and agreements with, any Governmental Authority, in each case whether or not having the force of law.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LCT Election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1.03(d)(iii)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LCT Test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1.03(d)(iii)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Advance</w:t>
      </w:r>
      <w:r>
        <w:rPr>
          <w:rFonts w:ascii="Times New Roman" w:cs="Times New Roman" w:eastAsia="Times New Roman" w:hAnsi="Times New Roman"/>
          <w:sz w:val="22"/>
          <w:szCs w:val="22"/>
          <w:color w:val="auto"/>
        </w:rPr>
        <w:t>” means, with respect to each Revolving Credit Lender, such Lender’s funding of its participation in any L/C Borrowing in accordance with its Applicable Revolving Credit Percentage. All L/C Advances shall be denominated in Dollars.</w:t>
      </w:r>
    </w:p>
    <w:p>
      <w:pPr>
        <w:spacing w:after="0" w:line="17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Borrowing</w:t>
      </w:r>
      <w:r>
        <w:rPr>
          <w:rFonts w:ascii="Times New Roman" w:cs="Times New Roman" w:eastAsia="Times New Roman" w:hAnsi="Times New Roman"/>
          <w:sz w:val="22"/>
          <w:szCs w:val="22"/>
          <w:color w:val="auto"/>
        </w:rPr>
        <w:t>” means an extension of credit resulting from a drawing under any Letter of Credit which has not been reimbursed on the date when made or refinanced as a Revolving Credit Borrowing. All L/C Borrowings shall be denominated in Dollars.</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Credit Extension</w:t>
      </w:r>
      <w:r>
        <w:rPr>
          <w:rFonts w:ascii="Times New Roman" w:cs="Times New Roman" w:eastAsia="Times New Roman" w:hAnsi="Times New Roman"/>
          <w:sz w:val="22"/>
          <w:szCs w:val="22"/>
          <w:color w:val="auto"/>
        </w:rPr>
        <w:t>” means, with respect to any Letter of Credit, the issuance thereof or extension of the expiry date thereof, or the increase of the amount thereof.</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Issuer</w:t>
      </w:r>
      <w:r>
        <w:rPr>
          <w:rFonts w:ascii="Times New Roman" w:cs="Times New Roman" w:eastAsia="Times New Roman" w:hAnsi="Times New Roman"/>
          <w:sz w:val="22"/>
          <w:szCs w:val="22"/>
          <w:color w:val="auto"/>
        </w:rPr>
        <w:t>” means Bank of America in its capacity as issuer of Letters of Credit hereunder, or any successor issuer of Letters of Credit hereunder.</w:t>
      </w:r>
    </w:p>
    <w:p>
      <w:pPr>
        <w:spacing w:after="0" w:line="17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Obligations</w:t>
      </w:r>
      <w:r>
        <w:rPr>
          <w:rFonts w:ascii="Times New Roman" w:cs="Times New Roman" w:eastAsia="Times New Roman" w:hAnsi="Times New Roman"/>
          <w:sz w:val="22"/>
          <w:szCs w:val="22"/>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has the meaning specified in the introductory paragraph hereto and, as the context requires, includes the Swing Line Lenders.</w:t>
      </w:r>
    </w:p>
    <w:p>
      <w:pPr>
        <w:spacing w:after="0" w:line="1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Recipient Party</w:t>
      </w:r>
      <w:r>
        <w:rPr>
          <w:rFonts w:ascii="Times New Roman" w:cs="Times New Roman" w:eastAsia="Times New Roman" w:hAnsi="Times New Roman"/>
          <w:sz w:val="20"/>
          <w:szCs w:val="20"/>
          <w:color w:val="auto"/>
        </w:rPr>
        <w:t>” means collectively, the Lenders, the Swing Line Lender and the L/C Issuer.</w:t>
      </w:r>
    </w:p>
    <w:p>
      <w:pPr>
        <w:spacing w:after="0" w:line="2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means, as to any Lender, the office or offices of such Lender described as such in such Lender’s Administrative Questionnaire, or such other office or offices as a Lender may from time to time notify the Company and the Applicable Facility Agent, which office may include any Affiliate of such Lender or any domestic or foreign branch of such Lender or such Affiliate. Unless the context otherwise requires each reference to a Lender shall include its applicable Lending Office.</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hereunder, providing for the payment of cash upon the honoring of a presentation thereunder. A Letter of Credit may be a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22"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letter of credit or a standby letter of credit. All Letters of Credit may be issued in Dollars or in an Alternative Currency.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means an application and agreement for the issuance or amendment of a Letter of Credit in the form from time to time in use by the L/C Issuer.</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Expiration Date</w:t>
      </w:r>
      <w:r>
        <w:rPr>
          <w:rFonts w:ascii="Times New Roman" w:cs="Times New Roman" w:eastAsia="Times New Roman" w:hAnsi="Times New Roman"/>
          <w:sz w:val="22"/>
          <w:szCs w:val="22"/>
          <w:color w:val="auto"/>
        </w:rPr>
        <w:t>” means the day that is seven days prior to the Maturity Date then in effect for the Revolving Credit Facility (or, if such day is not a Business Day, the next preceding Business Day).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Sublimit</w:t>
      </w:r>
      <w:r>
        <w:rPr>
          <w:rFonts w:ascii="Times New Roman" w:cs="Times New Roman" w:eastAsia="Times New Roman" w:hAnsi="Times New Roman"/>
          <w:sz w:val="22"/>
          <w:szCs w:val="22"/>
          <w:color w:val="auto"/>
        </w:rPr>
        <w:t>” means an amount equal to $50,000,000. The Letter of Credit Sublimit is part of, and not in addition to, the Revolving Credit Facility.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Leverage Ratio Increase Period</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7.11(b)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Limited Condition Transaction</w:t>
      </w:r>
      <w:r>
        <w:rPr>
          <w:rFonts w:ascii="Times New Roman" w:cs="Times New Roman" w:eastAsia="Times New Roman" w:hAnsi="Times New Roman"/>
          <w:sz w:val="22"/>
          <w:szCs w:val="22"/>
          <w:color w:val="auto"/>
        </w:rPr>
        <w:t>” means (i) any Permitted Acquisition or other Investment permitted under this Agreement the consummation of which is not conditioned (under the applicable agreement) on the availability of, or on obtaining, third-party financing (as notified by the Company to the General Administrative Agent), (ii) any redemption, repurchase, defeasance, satisfaction and discharge or repayment of Indebtedness requiring notice in advance of such redemption, repurchase, defeasance, satisfaction and discharge or repayment or (iii) any Restricted Payment requiring irrevocable notice in advance thereof.</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xml:space="preserve">” means an extension of credit by a Lender to a Borrower under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 the form of a Term Loan, a Revolving Credit Loan or a Swing Line Loan.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xml:space="preserve">” means, collectively, this Agreement, Amendment No. 1, Amendment No. 2, Amendment No. 3, Amendment No. 4, Amendment No. 5, each Designated Borrower Request and Assumption Agreement, each Note, any agreement creating or perfecting rights in cash collateral pursuant to the provisions of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xml:space="preserve"> of this Agreement, the Guaranty, the Collateral Documents, each Engagement Letter, each Fee Letter and each Issuer Document.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collectively, the Company, each Guarantor and each Designated Borrower.</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Capitalization</w:t>
      </w:r>
      <w:r>
        <w:rPr>
          <w:rFonts w:ascii="Times New Roman" w:cs="Times New Roman" w:eastAsia="Times New Roman" w:hAnsi="Times New Roman"/>
          <w:sz w:val="22"/>
          <w:szCs w:val="22"/>
          <w:color w:val="auto"/>
        </w:rPr>
        <w:t xml:space="preserve">” means an amount equal to (a) the total number of issued and outstanding shares of common Equity Interests of the Company on the date of the declaration of a Restricted Payment permitted pursuant to </w:t>
      </w:r>
      <w:r>
        <w:rPr>
          <w:rFonts w:ascii="Times New Roman" w:cs="Times New Roman" w:eastAsia="Times New Roman" w:hAnsi="Times New Roman"/>
          <w:sz w:val="22"/>
          <w:szCs w:val="22"/>
          <w:u w:val="single" w:color="auto"/>
          <w:color w:val="auto"/>
        </w:rPr>
        <w:t>Section 7.06(h)</w:t>
      </w:r>
      <w:r>
        <w:rPr>
          <w:rFonts w:ascii="Times New Roman" w:cs="Times New Roman" w:eastAsia="Times New Roman" w:hAnsi="Times New Roman"/>
          <w:sz w:val="22"/>
          <w:szCs w:val="22"/>
          <w:color w:val="auto"/>
        </w:rPr>
        <w:t xml:space="preserve"> multiplied by (b) the arithmetic mean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22" w:right="339" w:bottom="1440" w:gutter="0" w:footer="0" w:header="0"/>
        </w:sectPr>
      </w:pPr>
    </w:p>
    <w:bookmarkStart w:id="122" w:name="page123"/>
    <w:bookmarkEnd w:id="122"/>
    <w:p>
      <w:pPr>
        <w:jc w:val="both"/>
        <w:spacing w:after="0" w:line="257" w:lineRule="auto"/>
        <w:rPr>
          <w:sz w:val="20"/>
          <w:szCs w:val="20"/>
          <w:color w:val="auto"/>
        </w:rPr>
      </w:pPr>
      <w:r>
        <w:rPr>
          <w:rFonts w:ascii="Times New Roman" w:cs="Times New Roman" w:eastAsia="Times New Roman" w:hAnsi="Times New Roman"/>
          <w:sz w:val="22"/>
          <w:szCs w:val="22"/>
          <w:color w:val="auto"/>
        </w:rPr>
        <w:t>of the closing prices per share of such common Equity Interests on the principal securities exchange on which such common Equity Interests are traded for the 30 consecutive trading days immediately preceding the date of declaration of such Restricted Payment.</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Acquisition</w:t>
      </w:r>
      <w:r>
        <w:rPr>
          <w:rFonts w:ascii="Times New Roman" w:cs="Times New Roman" w:eastAsia="Times New Roman" w:hAnsi="Times New Roman"/>
          <w:sz w:val="22"/>
          <w:szCs w:val="22"/>
          <w:color w:val="auto"/>
        </w:rPr>
        <w:t>” means an Acquisition where the aggregate consideration (including the amount of any earnout or other post-closing payment reasonably estimated to be payable) exceeds $200,000,000.</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a material adverse change in, or a material adverse effect upon, the operations, business, properties, or financial liabilities (actual or contingent) or condition (financial or otherwise) of the Company or the Company and its Subsidiaries taken as a whole; (b) a material impairment of the rights and remedies of the Administrative Agents or any Lender under any Loan Document, or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Commercial Tort Claim</w:t>
      </w:r>
      <w:r>
        <w:rPr>
          <w:rFonts w:ascii="Times New Roman" w:cs="Times New Roman" w:eastAsia="Times New Roman" w:hAnsi="Times New Roman"/>
          <w:sz w:val="22"/>
          <w:szCs w:val="22"/>
          <w:color w:val="auto"/>
        </w:rPr>
        <w:t>” means any commercial tort claim with respect to which any Domestic Obligor is a plaintiff or a beneficiary and that makes a claim for damages, or other claim for judgment, in an amount greater than or equal to $25,000,000.</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Deposit Account</w:t>
      </w:r>
      <w:r>
        <w:rPr>
          <w:rFonts w:ascii="Times New Roman" w:cs="Times New Roman" w:eastAsia="Times New Roman" w:hAnsi="Times New Roman"/>
          <w:sz w:val="22"/>
          <w:szCs w:val="22"/>
          <w:color w:val="auto"/>
        </w:rPr>
        <w:t>” means any deposit account of a Domestic Obligor that does not constitute an Excluded Asset and that has an average daily balance in excess of $10,000,000.</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Domestic Subsidiary</w:t>
      </w:r>
      <w:r>
        <w:rPr>
          <w:rFonts w:ascii="Times New Roman" w:cs="Times New Roman" w:eastAsia="Times New Roman" w:hAnsi="Times New Roman"/>
          <w:sz w:val="21"/>
          <w:szCs w:val="21"/>
          <w:color w:val="auto"/>
        </w:rPr>
        <w:t xml:space="preserve">” means each wholly-owned Domestic Subsidiary (other than a Foreign Holding Company) that individually represents greater than or equal to either (a) five percent (5%) of the consolidated total assets of the Company and its Domestic Subsidiaries or (b) five percent (5%) of the Consolidated EBITDA of the Company and its Domestic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the Material Domestic Subsidiaries, the Domestic Designated Borrowers and the Company on a combined basis do not represent at least eighty-five percent (85%) of the consolidated total assets of the Company and its Domestic Subsidiaries on a consolidated basis as of the end of the most recently ended fiscal year and Consolidated EBITDA of the Company and its Domestic Subsidiaries on a consolidated basis as of the end of the most recently ended fiscal year, then in such case the Company shall identify additional Domestic Subsidiaries (which, for the avoidance of doubt, may include non-wholly owned Domestic Subsidiaries to the extent necessary) to constitute Material Domestic Subsidiaries such that both of the foregoing 85% tests are satisfied. The determination of which subsidiaries constitute Material Domestic Subsidiaries shall be made (a) on the Amendment No. 4 Effective Date, (b) as provided in </w:t>
      </w:r>
      <w:r>
        <w:rPr>
          <w:rFonts w:ascii="Times New Roman" w:cs="Times New Roman" w:eastAsia="Times New Roman" w:hAnsi="Times New Roman"/>
          <w:sz w:val="21"/>
          <w:szCs w:val="21"/>
          <w:u w:val="single" w:color="auto"/>
          <w:color w:val="auto"/>
        </w:rPr>
        <w:t>Section 6.02(b)</w:t>
      </w:r>
      <w:r>
        <w:rPr>
          <w:rFonts w:ascii="Times New Roman" w:cs="Times New Roman" w:eastAsia="Times New Roman" w:hAnsi="Times New Roman"/>
          <w:sz w:val="21"/>
          <w:szCs w:val="21"/>
          <w:color w:val="auto"/>
        </w:rPr>
        <w:t xml:space="preserve"> in connection with the delivery of the annual audited financial statements pursuant to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and (c) upon the consummation of any Material Acquisition.</w:t>
      </w:r>
    </w:p>
    <w:p>
      <w:pPr>
        <w:spacing w:after="0" w:line="17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Intellectual Property</w:t>
      </w:r>
      <w:r>
        <w:rPr>
          <w:rFonts w:ascii="Times New Roman" w:cs="Times New Roman" w:eastAsia="Times New Roman" w:hAnsi="Times New Roman"/>
          <w:sz w:val="22"/>
          <w:szCs w:val="22"/>
          <w:color w:val="auto"/>
        </w:rPr>
        <w:t>” means exclusive licenses to any intellectual property that is material to the operation of the business of the Company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22" w:right="339" w:bottom="1440" w:gutter="0" w:footer="0" w:header="0"/>
        </w:sectPr>
      </w:pPr>
    </w:p>
    <w:bookmarkStart w:id="123" w:name="page124"/>
    <w:bookmarkEnd w:id="123"/>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Securities Account</w:t>
      </w:r>
      <w:r>
        <w:rPr>
          <w:rFonts w:ascii="Times New Roman" w:cs="Times New Roman" w:eastAsia="Times New Roman" w:hAnsi="Times New Roman"/>
          <w:sz w:val="22"/>
          <w:szCs w:val="22"/>
          <w:color w:val="auto"/>
        </w:rPr>
        <w:t>” means any securities account, securities entitlement account or similar account of a Loan Party (other than a Foreign Designated Borrower) with an average daily balance in an amount in excess of $5,000,000.</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means (in each case, subject to extension in accordance with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 xml:space="preserve">) (a) with respect to the Revolving Credit Facility, April 10, 2031, (b) with respect to the U.S. Term Facility, April 10, 2031, (c) with respect to the Euro Term Facility, April 10, 2031 and (d) with respect to the Term B Facility, October 1, 2033;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each case, if such date is not a Business Day, the Maturity Date shall be the next preceding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Measurement Period</w:t>
      </w:r>
      <w:r>
        <w:rPr>
          <w:rFonts w:ascii="Times New Roman" w:cs="Times New Roman" w:eastAsia="Times New Roman" w:hAnsi="Times New Roman"/>
          <w:sz w:val="22"/>
          <w:szCs w:val="22"/>
          <w:color w:val="auto"/>
        </w:rPr>
        <w:t xml:space="preserve">” means, at any date of determination, the most recently completed four fiscal quarters of the Company in respect of which financial statements for each fiscal quarter or fiscal year in such period have been or are required to be delivered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as applicable.</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Collateral Amount</w:t>
      </w:r>
      <w:r>
        <w:rPr>
          <w:rFonts w:ascii="Times New Roman" w:cs="Times New Roman" w:eastAsia="Times New Roman" w:hAnsi="Times New Roman"/>
          <w:sz w:val="22"/>
          <w:szCs w:val="22"/>
          <w:color w:val="auto"/>
        </w:rPr>
        <w:t>” means, at any time, (a) with respect to Cash Collateral consisting of cash or deposit account balances provided to reduce or eliminate Fronting Exposure during the existence of a Defaulting Lender, an amount equal to 105% of the Fronting Exposure of the L/C Issuer with respect to Letters of Credit issued and outstanding at such time,</w:t>
      </w:r>
    </w:p>
    <w:p>
      <w:pPr>
        <w:spacing w:after="0" w:line="3" w:lineRule="exact"/>
        <w:rPr>
          <w:sz w:val="20"/>
          <w:szCs w:val="20"/>
          <w:color w:val="auto"/>
        </w:rPr>
      </w:pPr>
    </w:p>
    <w:p>
      <w:pPr>
        <w:jc w:val="both"/>
        <w:ind w:firstLine="8"/>
        <w:spacing w:after="0" w:line="252" w:lineRule="auto"/>
        <w:tabs>
          <w:tab w:leader="none" w:pos="31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Cash Collateral consisting of cash or deposit account balances provided in accordance with the provisions of </w:t>
      </w:r>
      <w:r>
        <w:rPr>
          <w:rFonts w:ascii="Times New Roman" w:cs="Times New Roman" w:eastAsia="Times New Roman" w:hAnsi="Times New Roman"/>
          <w:sz w:val="22"/>
          <w:szCs w:val="22"/>
          <w:u w:val="single" w:color="auto"/>
          <w:color w:val="auto"/>
        </w:rPr>
        <w:t>Section 2.17(a)(i)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(a)(iii)</w:t>
      </w:r>
      <w:r>
        <w:rPr>
          <w:rFonts w:ascii="Times New Roman" w:cs="Times New Roman" w:eastAsia="Times New Roman" w:hAnsi="Times New Roman"/>
          <w:sz w:val="22"/>
          <w:szCs w:val="22"/>
          <w:color w:val="auto"/>
        </w:rPr>
        <w:t>, an amount equal to 105% of the Outstanding Amount of all L/C Obligations, and (c) otherwise, an amount determined by the Pro Rata Facilities Administrative Agent and the L/C Issuer in their sole discretion.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MNPI</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10.06(h)(iv)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MNPI Representation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10.06(h)(iv)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thereto.</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Multiple Employer Plan</w:t>
      </w:r>
      <w:r>
        <w:rPr>
          <w:rFonts w:ascii="Times New Roman" w:cs="Times New Roman" w:eastAsia="Times New Roman" w:hAnsi="Times New Roman"/>
          <w:sz w:val="22"/>
          <w:szCs w:val="22"/>
          <w:color w:val="auto"/>
        </w:rPr>
        <w:t>” means a Plan which has two or more contributing sponsors (including the Company or any ERISA Affiliate) at least two of whom are not under common control, as such a plan is described in Section 4064 of ERISA.</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left="660" w:firstLine="644"/>
        <w:spacing w:after="0" w:line="257" w:lineRule="auto"/>
        <w:tabs>
          <w:tab w:leader="none" w:pos="19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Disposition by any Loan Party or any of their Restricted Subsidiaries, or any Extraordinary Receipt received or paid to the account of any Loan Party or any of their Restricted Subsidiaries, the excess, if any, of (i) the sum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22" w:right="339" w:bottom="1440" w:gutter="0" w:footer="0" w:header="0"/>
        </w:sectPr>
      </w:pPr>
    </w:p>
    <w:bookmarkStart w:id="124" w:name="page125"/>
    <w:bookmarkEnd w:id="124"/>
    <w:p>
      <w:pPr>
        <w:jc w:val="both"/>
        <w:ind w:left="660"/>
        <w:spacing w:after="0" w:line="263" w:lineRule="auto"/>
        <w:rPr>
          <w:sz w:val="20"/>
          <w:szCs w:val="20"/>
          <w:color w:val="auto"/>
        </w:rPr>
      </w:pPr>
      <w:r>
        <w:rPr>
          <w:rFonts w:ascii="Times New Roman" w:cs="Times New Roman" w:eastAsia="Times New Roman" w:hAnsi="Times New Roman"/>
          <w:sz w:val="21"/>
          <w:szCs w:val="21"/>
          <w:color w:val="auto"/>
        </w:rPr>
        <w:t xml:space="preserve">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the reasonable and customary out-of-pocket expenses incurred by such Loan Party or such Restricted Subsidiary in connection with such transaction and (C) income taxes reasonably estimated to be actually payable within two years of the date of the relevant transaction as a result of any gain recognized in connection therewith;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amount of any estimated taxes pursuant to subclause (C) exceeds the amount of taxes actually required to be paid in cash in respect of such Disposition, the aggregate amount of such excess shall constitute Net Cash Proceeds; and</w:t>
      </w:r>
    </w:p>
    <w:p>
      <w:pPr>
        <w:spacing w:after="0" w:line="170" w:lineRule="exact"/>
        <w:rPr>
          <w:sz w:val="20"/>
          <w:szCs w:val="20"/>
          <w:color w:val="auto"/>
        </w:rPr>
      </w:pPr>
    </w:p>
    <w:p>
      <w:pPr>
        <w:jc w:val="both"/>
        <w:ind w:left="660" w:firstLine="644"/>
        <w:spacing w:after="0" w:line="266" w:lineRule="auto"/>
        <w:tabs>
          <w:tab w:leader="none" w:pos="182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incurrence or issuance of any Indebtedness by any Loan Party or any of their Restricted Subsidiaries, the excess of (i) the sum of the cash and Cash Equivalents received in connection with such transaction over</w:t>
      </w:r>
    </w:p>
    <w:p>
      <w:pPr>
        <w:spacing w:after="0" w:line="1" w:lineRule="exact"/>
        <w:rPr>
          <w:rFonts w:ascii="Times New Roman" w:cs="Times New Roman" w:eastAsia="Times New Roman" w:hAnsi="Times New Roman"/>
          <w:sz w:val="21"/>
          <w:szCs w:val="21"/>
          <w:color w:val="auto"/>
        </w:rPr>
      </w:pPr>
    </w:p>
    <w:p>
      <w:pPr>
        <w:ind w:left="660" w:right="20" w:hanging="4"/>
        <w:spacing w:after="0" w:line="248" w:lineRule="auto"/>
        <w:tabs>
          <w:tab w:leader="none" w:pos="9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underwriting discounts and commissions, and other reasonable and customary out-of-pocket expenses, incurred by such Loan Party or such Restricted Subsidiary in connection therewith.</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(b) has been approved by the Required Lenders, Required Revolving Lenders, Required Euro Term Lenders, Required U.S. Term Lenders, Required Pro Rata Facilities Lenders, or Required Term B Lenders, as applicable.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each Lender that is not a Defaulting Lender at such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Non-Extension Notice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2.03(b)(iii)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Non-SOFR Successor Rate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means a Term B Note, U.S. Term Note, a Euro Term Note or a Revolving Credit Note, as the context may require.</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NPL</w:t>
      </w:r>
      <w:r>
        <w:rPr>
          <w:rFonts w:ascii="Times New Roman" w:cs="Times New Roman" w:eastAsia="Times New Roman" w:hAnsi="Times New Roman"/>
          <w:sz w:val="22"/>
          <w:szCs w:val="22"/>
          <w:color w:val="auto"/>
        </w:rPr>
        <w:t>” means the National Priorities List under CERCLA.</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advances to, and debts, liabilities, obligations, covenants and duties of, any Loan Party or any Subsidiary arising under any Loan Document or otherwise with respect to any Loan, Letter of Credit, Bilateral Foreign Loan Facility,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22"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1"/>
          <w:szCs w:val="21"/>
          <w:color w:val="auto"/>
        </w:rPr>
        <w:t>such Person as the debtor in such proceeding, regardless of whether such interest and fees are allowed claims in such proceeding.</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United States Department of the Treasury.</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 Documents</w:t>
      </w:r>
      <w:r>
        <w:rPr>
          <w:rFonts w:ascii="Times New Roman" w:cs="Times New Roman" w:eastAsia="Times New Roman" w:hAnsi="Times New Roman"/>
          <w:sz w:val="22"/>
          <w:szCs w:val="22"/>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Secured Obligations</w:t>
      </w:r>
      <w:r>
        <w:rPr>
          <w:rFonts w:ascii="Times New Roman" w:cs="Times New Roman" w:eastAsia="Times New Roman" w:hAnsi="Times New Roman"/>
          <w:sz w:val="22"/>
          <w:szCs w:val="22"/>
          <w:color w:val="auto"/>
        </w:rPr>
        <w:t>” means all Obligations of any Loan Party or any Restricted Subsidiary arising under any Bilateral Foreign Loan Facility, Secured Cash Management Agreement or Secured Hedge Agreement.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Outbound Investment Rules</w:t>
      </w:r>
      <w:r>
        <w:rPr>
          <w:rFonts w:ascii="Times New Roman" w:cs="Times New Roman" w:eastAsia="Times New Roman" w:hAnsi="Times New Roman"/>
          <w:sz w:val="22"/>
          <w:szCs w:val="22"/>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Amount</w:t>
      </w:r>
      <w:r>
        <w:rPr>
          <w:rFonts w:ascii="Times New Roman" w:cs="Times New Roman" w:eastAsia="Times New Roman" w:hAnsi="Times New Roman"/>
          <w:sz w:val="22"/>
          <w:szCs w:val="22"/>
          <w:color w:val="auto"/>
        </w:rPr>
        <w:t>” means (a) with respect to Term Loans, Revolving Credit Loans and Swing Line Loans on any date, the Dollar Equivalent amount of the aggregate outstanding principal amount thereof after giving effect to any borrowings and prepayments or repayments of Term Loans, Revolving Credit Loans and Swing Line Loans, as the case may be, occurring on such date; and (b) with respect to any L/C Obligations on any date, the Dollar Equivalent amount of the aggregate outstanding amount of such L/C Obligations on such date after giving effect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22" w:right="339" w:bottom="1440" w:gutter="0" w:footer="0" w:header="0"/>
        </w:sectPr>
      </w:pPr>
    </w:p>
    <w:bookmarkStart w:id="126" w:name="page127"/>
    <w:bookmarkEnd w:id="126"/>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any L/C Credit Extension occurring on such date and any other changes in the aggregate amount of the L/C Obligations as of such date, including as a result of any reimbursements by the Company of Unreimbursed Amounts.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Rate</w:t>
      </w:r>
      <w:r>
        <w:rPr>
          <w:rFonts w:ascii="Times New Roman" w:cs="Times New Roman" w:eastAsia="Times New Roman" w:hAnsi="Times New Roman"/>
          <w:sz w:val="22"/>
          <w:szCs w:val="22"/>
          <w:color w:val="auto"/>
        </w:rPr>
        <w:t>” means, for any day, (a) with respect to any amount denominated in Dollars, the greater of (i) the Federal Funds Rate and (ii) an overnight rate determined by the Pro Rata Facilities Administrative Agent, the L/C Issuer, or the applicable Swing Line Lender, as the case may be, in accordance with banking industry rules on interbank compensation, and</w:t>
      </w:r>
    </w:p>
    <w:p>
      <w:pPr>
        <w:spacing w:after="0" w:line="1" w:lineRule="exact"/>
        <w:rPr>
          <w:sz w:val="20"/>
          <w:szCs w:val="20"/>
          <w:color w:val="auto"/>
        </w:rPr>
      </w:pPr>
    </w:p>
    <w:p>
      <w:pPr>
        <w:jc w:val="both"/>
        <w:ind w:firstLine="8"/>
        <w:spacing w:after="0" w:line="245" w:lineRule="auto"/>
        <w:tabs>
          <w:tab w:leader="none" w:pos="31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amount denominated in an Alternative Currency, an overnight rate determined by the Pro Rata Facilities Administrative Agent or the L/C Issuer, as the case may be, in accordance with banking industry rules on interbank compensation.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Member State</w:t>
      </w:r>
      <w:r>
        <w:rPr>
          <w:rFonts w:ascii="Times New Roman" w:cs="Times New Roman" w:eastAsia="Times New Roman" w:hAnsi="Times New Roman"/>
          <w:sz w:val="22"/>
          <w:szCs w:val="22"/>
          <w:color w:val="auto"/>
        </w:rPr>
        <w:t>” means any member state of the European Union that has the Euro as its lawful currency in accordance with legislation of the European Union relating to Economic and Monetary Union.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Funding Rules</w:t>
      </w:r>
      <w:r>
        <w:rPr>
          <w:rFonts w:ascii="Times New Roman" w:cs="Times New Roman" w:eastAsia="Times New Roman" w:hAnsi="Times New Roman"/>
          <w:sz w:val="22"/>
          <w:szCs w:val="22"/>
          <w:color w:val="auto"/>
        </w:rPr>
        <w:t>” means the rules of the Code and ERISA regarding minimum required contributions (including any installment payment thereof) to Pension Plans and set forth in Section 412, 430 and 436 of the Code and Sections 302 and 303 of ERISA.</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pension benefit plan (including a Multiple Employer Plan but excluding any Multiemployer Plan) that is maintained or is contributed to by the Company and any ERISA Affiliate and is either covered by Title IV of ERISA or is subject to the minimum funding standards under Section 412 of the Code.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means any Acquisition so long as:</w:t>
      </w:r>
    </w:p>
    <w:p>
      <w:pPr>
        <w:spacing w:after="0" w:line="220" w:lineRule="exact"/>
        <w:rPr>
          <w:sz w:val="20"/>
          <w:szCs w:val="20"/>
          <w:color w:val="auto"/>
        </w:rPr>
      </w:pPr>
    </w:p>
    <w:p>
      <w:pPr>
        <w:ind w:left="660" w:firstLine="644"/>
        <w:spacing w:after="0" w:line="271" w:lineRule="auto"/>
        <w:tabs>
          <w:tab w:leader="none" w:pos="187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acquiring Person and any such newly-created or acquired Restricted Subsidiary shall comply (or the Company shall cause compliance) with the requirements of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if applicable;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0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lines of business of the Person to be (or the property of which is to be) so purchased or otherwise acquired shall be substantially the same lines of business as one or more of the businesses of the Company and its Restricted Subsidiaries in the ordinary course or reasonably related thereto, except that the Company or applicable Restricted Subsidiary may also acquire some unrelated lines of business that such Borrower or applicable Restricted Subsidiary may dispose of following the Acquisition;</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6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purchase or other acquisition shall not include or result in any contingent liabilities that could reasonably be expected to be materially adverse to the business, financial condition or operations of the Company and its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22"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color w:val="auto"/>
        </w:rPr>
        <w:t>Subsidiaries, taken as a whole (as determined in good faith by the Company or such Restricted Subsidiary);</w:t>
      </w:r>
    </w:p>
    <w:p>
      <w:pPr>
        <w:spacing w:after="0" w:line="220" w:lineRule="exact"/>
        <w:rPr>
          <w:sz w:val="20"/>
          <w:szCs w:val="20"/>
          <w:color w:val="auto"/>
        </w:rPr>
      </w:pPr>
    </w:p>
    <w:p>
      <w:pPr>
        <w:jc w:val="both"/>
        <w:ind w:firstLine="644"/>
        <w:spacing w:after="0" w:line="261" w:lineRule="auto"/>
        <w:tabs>
          <w:tab w:leader="none" w:pos="1167"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giving effect to such Acquisition, (x) prior to a Financial Covenant Adjustment, the Consolidated Net Leverage Ratio (determined as of the most recently completed relevant period after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to such acquisition, any adjustments to adjusted Consolidated EBITDA made in connection therewith and any Indebtedness (including any Credit Extensions) incurred in connection therewith) shall be no higher than 4.25 to 1.00 (or, to the extent the Company elects a Consolidated Net Leverage Ratio Increase in accordance with </w:t>
      </w:r>
      <w:r>
        <w:rPr>
          <w:rFonts w:ascii="Times New Roman" w:cs="Times New Roman" w:eastAsia="Times New Roman" w:hAnsi="Times New Roman"/>
          <w:sz w:val="21"/>
          <w:szCs w:val="21"/>
          <w:u w:val="single" w:color="auto"/>
          <w:color w:val="auto"/>
        </w:rPr>
        <w:t>Section 7.11(b)</w:t>
      </w:r>
      <w:r>
        <w:rPr>
          <w:rFonts w:ascii="Times New Roman" w:cs="Times New Roman" w:eastAsia="Times New Roman" w:hAnsi="Times New Roman"/>
          <w:sz w:val="21"/>
          <w:szCs w:val="21"/>
          <w:color w:val="auto"/>
        </w:rPr>
        <w:t xml:space="preserve">, 4.75 to 1.00); or (y) following a Financial Covenant Adjustment, the Consolidated Secured Net Leverage Ratio (determined as of the most recently completed relevant period after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to such acquisition, any adjustments to adjusted Consolidated EBITDA made in connection therewith and any Indebtedness (including any Credit Extensions) incurred in connection therewith) shall be no higher than 3.50 to 1.00 (or, to the extent the Company elects a Consolidated Secured Net Leverage Ratio Increase in accordance with </w:t>
      </w:r>
      <w:r>
        <w:rPr>
          <w:rFonts w:ascii="Times New Roman" w:cs="Times New Roman" w:eastAsia="Times New Roman" w:hAnsi="Times New Roman"/>
          <w:sz w:val="21"/>
          <w:szCs w:val="21"/>
          <w:u w:val="single" w:color="auto"/>
          <w:color w:val="auto"/>
        </w:rPr>
        <w:t>Section 7.11(b)</w:t>
      </w:r>
      <w:r>
        <w:rPr>
          <w:rFonts w:ascii="Times New Roman" w:cs="Times New Roman" w:eastAsia="Times New Roman" w:hAnsi="Times New Roman"/>
          <w:sz w:val="21"/>
          <w:szCs w:val="21"/>
          <w:color w:val="auto"/>
        </w:rPr>
        <w:t xml:space="preserve">, 4.00 to 1.00);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Acquisition is a Limited Condition Transaction, this condition may be satisfied as of the applicable LCT Test Date;</w:t>
      </w:r>
    </w:p>
    <w:p>
      <w:pPr>
        <w:spacing w:after="0" w:line="175" w:lineRule="exact"/>
        <w:rPr>
          <w:rFonts w:ascii="Times New Roman" w:cs="Times New Roman" w:eastAsia="Times New Roman" w:hAnsi="Times New Roman"/>
          <w:sz w:val="21"/>
          <w:szCs w:val="21"/>
          <w:color w:val="auto"/>
        </w:rPr>
      </w:pPr>
    </w:p>
    <w:p>
      <w:pPr>
        <w:jc w:val="both"/>
        <w:ind w:firstLine="644"/>
        <w:spacing w:after="0" w:line="250" w:lineRule="auto"/>
        <w:tabs>
          <w:tab w:leader="none" w:pos="116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immediately before and immediately after giving pro forma effect to any such Acquisition, no Default shall have occurred and be continuing and (B) without limitation of clause (d) above, immediately after giving effect to such Acquisition and all related transactions (including any incurrence and repayment of Indebtedness), the Company and its Restricted Subsidiaries shall be in pro forma compliance with all of the other covenants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such compliance to be determined on the basis of the financial information most recently delivered to the General Administrative Agent and the Lenders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as though such Acquisition and all related transactions had been consummated as of the first day of the fiscal period covered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Acquisition is a Limited Condition Transaction, the conditions in (A) and (B) above may be satisfied as of the applicable LCT Test Date;</w:t>
      </w:r>
    </w:p>
    <w:p>
      <w:pPr>
        <w:spacing w:after="0" w:line="179" w:lineRule="exact"/>
        <w:rPr>
          <w:rFonts w:ascii="Times New Roman" w:cs="Times New Roman" w:eastAsia="Times New Roman" w:hAnsi="Times New Roman"/>
          <w:sz w:val="22"/>
          <w:szCs w:val="22"/>
          <w:color w:val="auto"/>
        </w:rPr>
      </w:pPr>
    </w:p>
    <w:p>
      <w:pPr>
        <w:ind w:firstLine="644"/>
        <w:spacing w:after="0" w:line="271" w:lineRule="auto"/>
        <w:tabs>
          <w:tab w:leader="none" w:pos="114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shall be consensual and shall have been approved by the subject Person’s board of directors or similar governing body or the requisite holders of such capital stock or other Equity Interests; and</w:t>
      </w:r>
    </w:p>
    <w:p>
      <w:pPr>
        <w:spacing w:after="0" w:line="157" w:lineRule="exact"/>
        <w:rPr>
          <w:rFonts w:ascii="Times New Roman" w:cs="Times New Roman" w:eastAsia="Times New Roman" w:hAnsi="Times New Roman"/>
          <w:sz w:val="22"/>
          <w:szCs w:val="22"/>
          <w:color w:val="auto"/>
        </w:rPr>
      </w:pPr>
    </w:p>
    <w:p>
      <w:pPr>
        <w:jc w:val="both"/>
        <w:ind w:firstLine="644"/>
        <w:spacing w:after="0" w:line="250" w:lineRule="auto"/>
        <w:tabs>
          <w:tab w:leader="none" w:pos="121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Acquisition where the aggregate consideration (including the amount of any earnout or other post-closing payment reasonably estimated to be payable) exceeds $100,000,000, the Company shall have delivered to the General Administrative Agent (i) no less than ten Business Days prior to the date on which any such Acquisition is to be consummated (or such later date as may be approved by the General Administrative Agent), written notice of such Acquisition, which notice shall include the proposed closing date of such Acquisition and whether such Permitted Acquisition is a Limited Condition Transaction and (ii) at least five Business Days prior to the date on which any such Acquisition is to be consummated (or such later date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0580"/>
          </w:cols>
          <w:pgMar w:left="980" w:top="1422" w:right="339" w:bottom="1440" w:gutter="0" w:footer="0" w:header="0"/>
        </w:sectPr>
      </w:pPr>
    </w:p>
    <w:bookmarkStart w:id="128" w:name="page129"/>
    <w:bookmarkEnd w:id="128"/>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may be approved by the General Administrative Agent), a certificate of a Responsible Officer, in form and substance reasonably satisfactory to the General Administrative Agent and the Required Lenders, certifying that all of the foregoing requirements have been satisfied or will be satisfied on or prior to the consummation of such Acquisition.</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Bond Hedge Transaction</w:t>
      </w:r>
      <w:r>
        <w:rPr>
          <w:rFonts w:ascii="Times New Roman" w:cs="Times New Roman" w:eastAsia="Times New Roman" w:hAnsi="Times New Roman"/>
          <w:sz w:val="22"/>
          <w:szCs w:val="22"/>
          <w:color w:val="auto"/>
        </w:rPr>
        <w:t xml:space="preserve">” means any call or capped call option (or substantively equivalent Swap Contract) relating to the Company’s common stock (or other securities or property following a merger event, reclassification or other change of the common stock of the Company) purchased by the Company in connection with the issuance of any Permitted Convertible Indebtedness to hedge obligations to deliver shares of the Company’s common stock under such Permitted Convertible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terms, conditions and covenants of each such transaction shall be such as are customary for transactions of such type (as determined by the board of directors of the Company, or a committee thereof, in good faith);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that the purchase price for such Permitted Bond Hedge Transaction does not exceed the net proceeds received by the Company or any Restricted Subsidiary from the sale of such Permitted Convertible Indebtedness issued in connection with the Permitted Bond Hedge Transaction.</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Convertible Indebtedness</w:t>
      </w:r>
      <w:r>
        <w:rPr>
          <w:rFonts w:ascii="Times New Roman" w:cs="Times New Roman" w:eastAsia="Times New Roman" w:hAnsi="Times New Roman"/>
          <w:sz w:val="22"/>
          <w:szCs w:val="22"/>
          <w:color w:val="auto"/>
        </w:rPr>
        <w:t>” means senior, unsecured Indebtedness of the Company or any Restricted Subsidiary that is convertible into shares of common stock of the Company (or other securities or property following a merger event, reclassification or other change of the common stock of the Company), cash or a combination thereof (such amount of cash determined by reference to the price of the Company’s common stock or such other securities or property), and cash in lieu of fractional shares of common stock of the Company.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Earlier Maturity Debt</w:t>
      </w:r>
      <w:r>
        <w:rPr>
          <w:rFonts w:ascii="Times New Roman" w:cs="Times New Roman" w:eastAsia="Times New Roman" w:hAnsi="Times New Roman"/>
          <w:sz w:val="22"/>
          <w:szCs w:val="22"/>
          <w:color w:val="auto"/>
        </w:rPr>
        <w:t>” means Indebtedness incurred, at the option of the Company, with a weighted average life to maturity shorter than the longest remaining weighted average life to maturity of any Term Loans in effect at the time such Indebtedness is incurred and/or a maturity date that is earlier than the Latest Maturity Date at the time such Indebtedness is incurred in an aggregate principal amount for all such Indebtedness incurred or issued in reliance on this definition not to exceed the greater of $83.0 million and 25% of Consolidated EBITDA as of the most recently ended Measurement Period.</w:t>
      </w:r>
    </w:p>
    <w:p>
      <w:pPr>
        <w:spacing w:after="0" w:line="17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Post-Closing Reorganization</w:t>
      </w:r>
      <w:r>
        <w:rPr>
          <w:rFonts w:ascii="Times New Roman" w:cs="Times New Roman" w:eastAsia="Times New Roman" w:hAnsi="Times New Roman"/>
          <w:sz w:val="19"/>
          <w:szCs w:val="19"/>
          <w:color w:val="auto"/>
        </w:rPr>
        <w:t xml:space="preserve">” means any reorganizations and other activities solely between and among the Company and its Restricted Subsidiaries entered into on or after the date hereof in order to create a logical and tax-efficient organization so long as (a) such Permitted Post-Closing Reorganization is not materially adverse to the Lenders (as determined by the Company in good faith), (b) after giving effect to such Permitted Post-Closing Reorganization, the Domestic Obligors continue to have access to all material assets necessary to carry out their businesses consistent with practice prior to such Permitted Post-Closing Reorganization, (c) the Permitted Post-Closing Reorganization and the related transactions, taken as a whole, are fair and reasonable to the Domestic Obligors and (d) after giving effect to the Permitted Post-Closing Reorganization, the Company and its Restricted Subsidiaries otherwise comply with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as such provisions apply to the conditions and circumstances after giving effect to the Permitted Post-Closing Reorganization. For the avoidance of doubt, in connection with a Permitted Post-Closing Reorganization, (1) the Company may request, and in accordance with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 xml:space="preserve"> the General Administrative Agent shall, release guarantees by Foreign Subsidiaries that may have previously been designated as Guarantors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 the Company and its Restricted Subsidiaries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22" w:right="339" w:bottom="1440" w:gutter="0" w:footer="0" w:header="0"/>
        </w:sectPr>
      </w:pPr>
    </w:p>
    <w:bookmarkStart w:id="129" w:name="page130"/>
    <w:bookmarkEnd w:id="129"/>
    <w:p>
      <w:pPr>
        <w:jc w:val="both"/>
        <w:spacing w:after="0" w:line="283" w:lineRule="auto"/>
        <w:rPr>
          <w:sz w:val="20"/>
          <w:szCs w:val="20"/>
          <w:color w:val="auto"/>
        </w:rPr>
      </w:pPr>
      <w:r>
        <w:rPr>
          <w:rFonts w:ascii="Times New Roman" w:cs="Times New Roman" w:eastAsia="Times New Roman" w:hAnsi="Times New Roman"/>
          <w:sz w:val="20"/>
          <w:szCs w:val="20"/>
          <w:color w:val="auto"/>
        </w:rPr>
        <w:t>not transfer assets to an Unrestricted Subsidiary as part of a Permitted Post-Closing Reorganization, which is intended to involve transactions only among the Company and its Restricted Subsidiaries.</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benefit plan within the meaning of Section 3(3) of ERISA (including a Pension Plan but excluding any Multiemployer Plan), maintained for employees of the Company or any ERISA Affiliate or any such Plan to which the Company or any ERISA Affiliate is required to contribute on behalf of any of its employees.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of Reorganization</w:t>
      </w:r>
      <w:r>
        <w:rPr>
          <w:rFonts w:ascii="Times New Roman" w:cs="Times New Roman" w:eastAsia="Times New Roman" w:hAnsi="Times New Roman"/>
          <w:sz w:val="22"/>
          <w:szCs w:val="22"/>
          <w:color w:val="auto"/>
        </w:rPr>
        <w:t>” has the meaning specified in Section 10.06(g)(iii).</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Facilities</w:t>
      </w:r>
      <w:r>
        <w:rPr>
          <w:rFonts w:ascii="Times New Roman" w:cs="Times New Roman" w:eastAsia="Times New Roman" w:hAnsi="Times New Roman"/>
          <w:sz w:val="22"/>
          <w:szCs w:val="22"/>
          <w:color w:val="auto"/>
        </w:rPr>
        <w:t>” means the Revolving Credit Facility, U.S. Term Facility and Euro Term Facility.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Facilities Administrative Agent</w:t>
      </w:r>
      <w:r>
        <w:rPr>
          <w:rFonts w:ascii="Times New Roman" w:cs="Times New Roman" w:eastAsia="Times New Roman" w:hAnsi="Times New Roman"/>
          <w:sz w:val="22"/>
          <w:szCs w:val="22"/>
          <w:color w:val="auto"/>
        </w:rPr>
        <w:t>” means Bank of America, N.A., together with its affiliates, as the pro rata facilities administrative agent for the Revolving Lenders, Swingline Lender, U.S. Term Loan Lenders and Euro Term Loan Lenders, under this Agreement and the other Loan Documents, together with any of its successors.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Total Outstandings</w:t>
      </w:r>
      <w:r>
        <w:rPr>
          <w:rFonts w:ascii="Times New Roman" w:cs="Times New Roman" w:eastAsia="Times New Roman" w:hAnsi="Times New Roman"/>
          <w:sz w:val="22"/>
          <w:szCs w:val="22"/>
          <w:color w:val="auto"/>
        </w:rPr>
        <w:t>” means the aggregate Outstanding Amount of all Loans under the Pro Rata Facilities and all L/C Obligations.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specified in Section 10.23(b).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has the meaning specified in Section 10.23.</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Bridge Facility</w:t>
      </w:r>
      <w:r>
        <w:rPr>
          <w:rFonts w:ascii="Times New Roman" w:cs="Times New Roman" w:eastAsia="Times New Roman" w:hAnsi="Times New Roman"/>
          <w:sz w:val="22"/>
          <w:szCs w:val="22"/>
          <w:color w:val="auto"/>
        </w:rPr>
        <w:t xml:space="preserve">” means any customary bridge facility which, subject to customary conditions, automatically converts into or is required to be exchanged for Indebtedness that satisfies all applicable maturity and weighted average life limitations under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Equity Interests</w:t>
      </w:r>
      <w:r>
        <w:rPr>
          <w:rFonts w:ascii="Times New Roman" w:cs="Times New Roman" w:eastAsia="Times New Roman" w:hAnsi="Times New Roman"/>
          <w:sz w:val="22"/>
          <w:szCs w:val="22"/>
          <w:color w:val="auto"/>
        </w:rPr>
        <w:t>” means Equity Interests of the Company other than Disqualified Equity Interests.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Notes Offering</w:t>
      </w:r>
      <w:r>
        <w:rPr>
          <w:rFonts w:ascii="Times New Roman" w:cs="Times New Roman" w:eastAsia="Times New Roman" w:hAnsi="Times New Roman"/>
          <w:sz w:val="22"/>
          <w:szCs w:val="22"/>
          <w:color w:val="auto"/>
        </w:rPr>
        <w:t>” means any offering of unsecured debt securities (including Permitted Convertible Indebtedness) by the Company, the gross proceeds of which equal at least $300,000,000 in the aggregate; provided that it is understood that two separate offerings of Permitted Convertible Indebtedness the gross proceeds of which are less than $300,000,000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1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color w:val="auto"/>
        </w:rPr>
        <w:t>individually but at least $300,000,000 in the aggregate shall constitute a Qualified Notes Offering.</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Rate Determination Date</w:t>
      </w:r>
      <w:r>
        <w:rPr>
          <w:rFonts w:ascii="Times New Roman" w:cs="Times New Roman" w:eastAsia="Times New Roman" w:hAnsi="Times New Roman"/>
          <w:sz w:val="22"/>
          <w:szCs w:val="22"/>
          <w:color w:val="auto"/>
        </w:rPr>
        <w:t>” means two (2) Business Days prior to the commencement of such Interest Period (or such other day as is generally treated as the rate fixing day by market practice in such interbank market, as determined by the Pro Rata Facilities Administrative Agent; provided that to the extent such market practice is not administratively feasible for the Pro Rata Facilities Administrative Agent, then the “Rate Determination Date” means such other day as otherwise reasonably determined by the Pro Rata Facilities Administrative Agent).</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Ratings Release Trigger Event</w:t>
      </w:r>
      <w:r>
        <w:rPr>
          <w:rFonts w:ascii="Times New Roman" w:cs="Times New Roman" w:eastAsia="Times New Roman" w:hAnsi="Times New Roman"/>
          <w:sz w:val="22"/>
          <w:szCs w:val="22"/>
          <w:color w:val="auto"/>
        </w:rPr>
        <w:t>” shall be deemed to have occurred while two of the following have occurred and are continuing: (A) the corporate family rating of the Company and its Subsidiaries from Moody’s is Baa3 or better (with a stable outlook or better), (B) the corporate rating of the Company and its Subsidiaries from S&amp;P is BBB- or better (with a stable outlook or better) or (C) the corporate rating of the Company and its Subsidiaries from Fitch is BBB- or better (with a stable outlook or better). In the event that any rating agency changes its rating system, the referenced ratings shall be the ratings equivalent to the above-denominated ratings prior to giving effect to such change, as reasonably determined by the General Administrative Agent.</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an Administrative Agent, any Lender, the L/C Issuer or any other recipient of any payment to be made by or on account of any obligation of any Loan Party hereunder.</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w:t>
      </w:r>
      <w:r>
        <w:rPr>
          <w:rFonts w:ascii="Times New Roman" w:cs="Times New Roman" w:eastAsia="Times New Roman" w:hAnsi="Times New Roman"/>
          <w:sz w:val="22"/>
          <w:szCs w:val="22"/>
          <w:color w:val="auto"/>
        </w:rPr>
        <w:t>” means the payment in full of all outstanding amounts and the termination of all commitments under the Existing Credit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Effective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2.21(a)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Term Loans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2.21(a)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Rejection Notice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2.05(b)(vii)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discharge, deposit, disposal, leaking, pumping, pouring, dumping, emptying, injection or leaching into the Environment, or into, from or through any building, structure or facility.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Rate</w:t>
      </w:r>
      <w:r>
        <w:rPr>
          <w:rFonts w:ascii="Times New Roman" w:cs="Times New Roman" w:eastAsia="Times New Roman" w:hAnsi="Times New Roman"/>
          <w:sz w:val="22"/>
          <w:szCs w:val="22"/>
          <w:color w:val="auto"/>
        </w:rPr>
        <w:t>” means with respect to any Credit Extension denominated in (a) Dollars, Term SOFR, (b) Sterling, SONIA, (c) Euros, EURIBOR or ESTR, as applicable, (d) Canadian Dollars, the Term CORRA Rate, (e) Yen, TIBOR and (f) Australian Dollars, BBSY,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22" w:right="339" w:bottom="1440" w:gutter="0" w:footer="0" w:header="0"/>
        </w:sectPr>
      </w:pPr>
    </w:p>
    <w:bookmarkStart w:id="131" w:name="page132"/>
    <w:bookmarkEnd w:id="13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Removal Effective Date</w:t>
      </w:r>
      <w:r>
        <w:rPr>
          <w:rFonts w:ascii="Times New Roman" w:cs="Times New Roman" w:eastAsia="Times New Roman" w:hAnsi="Times New Roman"/>
          <w:sz w:val="22"/>
          <w:szCs w:val="22"/>
          <w:color w:val="auto"/>
        </w:rPr>
        <w:t>” has the meaning specified in Section 9.06(b).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Revolving Facilities</w:t>
      </w:r>
      <w:r>
        <w:rPr>
          <w:rFonts w:ascii="Times New Roman" w:cs="Times New Roman" w:eastAsia="Times New Roman" w:hAnsi="Times New Roman"/>
          <w:sz w:val="22"/>
          <w:szCs w:val="22"/>
          <w:color w:val="auto"/>
        </w:rPr>
        <w:t xml:space="preserve">” has the meaning specified in Section </w:t>
      </w:r>
      <w:r>
        <w:rPr>
          <w:rFonts w:ascii="Times New Roman" w:cs="Times New Roman" w:eastAsia="Times New Roman" w:hAnsi="Times New Roman"/>
          <w:sz w:val="22"/>
          <w:szCs w:val="22"/>
          <w:u w:val="single" w:color="auto"/>
          <w:color w:val="auto"/>
        </w:rPr>
        <w:t>2.21(c)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Revolving Facility Commitments</w:t>
      </w:r>
      <w:r>
        <w:rPr>
          <w:rFonts w:ascii="Times New Roman" w:cs="Times New Roman" w:eastAsia="Times New Roman" w:hAnsi="Times New Roman"/>
          <w:sz w:val="22"/>
          <w:szCs w:val="22"/>
          <w:color w:val="auto"/>
        </w:rPr>
        <w:t xml:space="preserve">” has the meaning specified in Section </w:t>
      </w:r>
      <w:r>
        <w:rPr>
          <w:rFonts w:ascii="Times New Roman" w:cs="Times New Roman" w:eastAsia="Times New Roman" w:hAnsi="Times New Roman"/>
          <w:sz w:val="22"/>
          <w:szCs w:val="22"/>
          <w:u w:val="single" w:color="auto"/>
          <w:color w:val="auto"/>
        </w:rPr>
        <w:t>2.21(c)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Revolving Loans</w:t>
      </w:r>
      <w:r>
        <w:rPr>
          <w:rFonts w:ascii="Times New Roman" w:cs="Times New Roman" w:eastAsia="Times New Roman" w:hAnsi="Times New Roman"/>
          <w:sz w:val="22"/>
          <w:szCs w:val="22"/>
          <w:color w:val="auto"/>
        </w:rPr>
        <w:t xml:space="preserve">” has the meaning specified in Section </w:t>
      </w:r>
      <w:r>
        <w:rPr>
          <w:rFonts w:ascii="Times New Roman" w:cs="Times New Roman" w:eastAsia="Times New Roman" w:hAnsi="Times New Roman"/>
          <w:sz w:val="22"/>
          <w:szCs w:val="22"/>
          <w:u w:val="single" w:color="auto"/>
          <w:color w:val="auto"/>
        </w:rPr>
        <w:t>2.21(c)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other than events for which the 30 day notice period has been waived.</w:t>
      </w:r>
    </w:p>
    <w:p>
      <w:pPr>
        <w:spacing w:after="0" w:line="14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Repricing Event</w:t>
      </w:r>
      <w:r>
        <w:rPr>
          <w:rFonts w:ascii="Times New Roman" w:cs="Times New Roman" w:eastAsia="Times New Roman" w:hAnsi="Times New Roman"/>
          <w:sz w:val="20"/>
          <w:szCs w:val="20"/>
          <w:color w:val="auto"/>
        </w:rPr>
        <w:t>” means with respect to the Term B Loans (i) any prepayment or repayment of Term B Loans with the proceeds of, or any conversion of Term B Loans into, any new or replacement tranche of term loans bearing interest with an All-In-Rate less than the All-In-Rate applicable to the Term B Loans prepaid, repaid or replaced or (ii) any amendment (including pursuant to a replacement term loan) to the Term B Loans which reduces the All-In-Rate applicable to any Term B Loans, in each case except for a reduction in connection with (a) a Change of Control or (b) a Permitted Acquisition.</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Request for Credit Extension</w:t>
      </w:r>
      <w:r>
        <w:rPr>
          <w:rFonts w:ascii="Times New Roman" w:cs="Times New Roman" w:eastAsia="Times New Roman" w:hAnsi="Times New Roman"/>
          <w:sz w:val="22"/>
          <w:szCs w:val="22"/>
          <w:color w:val="auto"/>
        </w:rPr>
        <w:t>” means (a) with respect to a Borrowing, conversion or continuation of Term Loans or Revolving Credit Loans, a Committed Loan Notice, (b) with respect to an L/C Credit Extension, a Letter of Credit Application, and (c) with respect to a Swing Line Loan, a Swing Line Loan Notice.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Euro Term Lenders</w:t>
      </w:r>
      <w:r>
        <w:rPr>
          <w:rFonts w:ascii="Times New Roman" w:cs="Times New Roman" w:eastAsia="Times New Roman" w:hAnsi="Times New Roman"/>
          <w:sz w:val="22"/>
          <w:szCs w:val="22"/>
          <w:color w:val="auto"/>
        </w:rPr>
        <w:t xml:space="preserve">” means, as of any date of determination, Euro Term Lenders holding more than 50% of the Euro Term Facility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portion of the Euro Term Facility held by any Defaulting Lender shall be excluded for purposes of making a determination of Required Euro Term Lenders.</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at any time, Lenders holding more than 50% of the sum of the (a) Total Outstandings (with the aggregate amount of each Revolving Credit Lender’s risk participation and funded participation in L/C Obligations and Swing Line Loans being deemed “held” by such Revolving Credit Lender for purposes of this definition) and (b) aggregate unused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8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Pro Rata Facilities Lenders</w:t>
      </w:r>
      <w:r>
        <w:rPr>
          <w:rFonts w:ascii="Times New Roman" w:cs="Times New Roman" w:eastAsia="Times New Roman" w:hAnsi="Times New Roman"/>
          <w:sz w:val="21"/>
          <w:szCs w:val="21"/>
          <w:color w:val="auto"/>
        </w:rPr>
        <w:t xml:space="preserve">” means, at any time, Lenders holding more than 50% of the sum of (a) the Pro Rata Total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portion of the U.S. Term Facility and Euro Term Facility held by any Defaulting Lender shall be excluded for purposes of making a determination of Required Pro Rata Facilities Lenders and (ii) the unused Revolving Credit Commitment of, and the portion of the Total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71" w:lineRule="auto"/>
        <w:rPr>
          <w:sz w:val="20"/>
          <w:szCs w:val="20"/>
          <w:color w:val="auto"/>
        </w:rPr>
      </w:pPr>
      <w:r>
        <w:rPr>
          <w:rFonts w:ascii="Times New Roman" w:cs="Times New Roman" w:eastAsia="Times New Roman" w:hAnsi="Times New Roman"/>
          <w:sz w:val="22"/>
          <w:szCs w:val="22"/>
          <w:color w:val="auto"/>
        </w:rPr>
        <w:t>Outstandings held or deemed held by, any Defaulting Lender shall be excluded for purposes of making a determination of Required Pro Rata Facilities Lenders.</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Revolving Lenders</w:t>
      </w:r>
      <w:r>
        <w:rPr>
          <w:rFonts w:ascii="Times New Roman" w:cs="Times New Roman" w:eastAsia="Times New Roman" w:hAnsi="Times New Roman"/>
          <w:sz w:val="22"/>
          <w:szCs w:val="22"/>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unused Revolving Credit Commitment of, and the portion of the Total Revolving Credit Outstandings held or deemed held by, any Defaulting Lender shall be excluded for purposes of making a determination of Required Revolving Lenders.</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Term B Lenders</w:t>
      </w:r>
      <w:r>
        <w:rPr>
          <w:rFonts w:ascii="Times New Roman" w:cs="Times New Roman" w:eastAsia="Times New Roman" w:hAnsi="Times New Roman"/>
          <w:sz w:val="22"/>
          <w:szCs w:val="22"/>
          <w:color w:val="auto"/>
        </w:rPr>
        <w:t>” means, as of any date of determination, Term B Lenders holding more than 50% of the Term B Facility on such date; provided that the portion of the Term B Facility held by any Defaulting Lender shall be excluded for purposes of making a determination of Required Term B Lenders.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U.S. Term Lenders</w:t>
      </w:r>
      <w:r>
        <w:rPr>
          <w:rFonts w:ascii="Times New Roman" w:cs="Times New Roman" w:eastAsia="Times New Roman" w:hAnsi="Times New Roman"/>
          <w:sz w:val="22"/>
          <w:szCs w:val="22"/>
          <w:color w:val="auto"/>
        </w:rPr>
        <w:t xml:space="preserve">” means, as of any date of determination, Term Lenders holding more than 50% of the U.S. Term Facility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portion of the U.S. Term Facility held by any Defaulting Lender shall be excluded for purposes of making a determination of Required U.S. Term Lenders.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Rescindable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2.12(b)(ii)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Resignation Effective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9.06(a)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(a) the chief executive officer, president, chief financial officer, corporate secretary, general counsel, treasurer, assistant treasurer or controller, director or management board member of a Loan Party, or any other Person designated by the Board of the applicable Loan Party, (b) solely for purposes of the delivery of incumbency certificates pursuant to Section 2 of Amendment No. 4, the secretary or any assistant secretary of a Loan Party and (c) solely for purposes of notices given pursuant to Article II, any other officer or employee of the applicable Loan Party so designated by any of the foregoing officers in a notice to the applicable Administrative Agent or any other officer or employee of the applicable Loan Party designated in or pursuant to an agreement between the applicable Loan Party and the applicable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with respect to any capital stock or other Equity Interest of any Person or any of its Restricted Subsidiaries, or any payment (whether in cash, securities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21" w:right="339" w:bottom="1440" w:gutter="0" w:footer="0" w:header="0"/>
        </w:sectPr>
      </w:pPr>
    </w:p>
    <w:bookmarkStart w:id="133" w:name="page134"/>
    <w:bookmarkEnd w:id="133"/>
    <w:p>
      <w:pPr>
        <w:jc w:val="both"/>
        <w:spacing w:after="0" w:line="256" w:lineRule="auto"/>
        <w:rPr>
          <w:sz w:val="20"/>
          <w:szCs w:val="20"/>
          <w:color w:val="auto"/>
        </w:rPr>
      </w:pPr>
      <w:r>
        <w:rPr>
          <w:rFonts w:ascii="Times New Roman" w:cs="Times New Roman" w:eastAsia="Times New Roman" w:hAnsi="Times New Roman"/>
          <w:sz w:val="22"/>
          <w:szCs w:val="22"/>
          <w:color w:val="auto"/>
        </w:rPr>
        <w:t>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of any thereof), or any option, warrant or other right to acquire any such dividend or other distribution or payment, but excluding any intercompany payment made to a Loan 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means any Subsidiary of the Company that is not an Unrestricted Subsidiary.</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Revaluation Date</w:t>
      </w:r>
      <w:r>
        <w:rPr>
          <w:rFonts w:ascii="Times New Roman" w:cs="Times New Roman" w:eastAsia="Times New Roman" w:hAnsi="Times New Roman"/>
          <w:sz w:val="21"/>
          <w:szCs w:val="21"/>
          <w:color w:val="auto"/>
        </w:rPr>
        <w:t xml:space="preserve">” means (a) with respect to any Loan, each of the following: (i) each date of a Borrowing of an Alternative Currency Loan or Euro Swing Line Rate Loan,(ii) with respect to an Alternative Currency Daily Rate Loan, each Interest Payment Date, (iii) each date of a continuation of an Alternative Currency Term Rate Loan pursuant to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and</w:t>
      </w:r>
    </w:p>
    <w:p>
      <w:pPr>
        <w:spacing w:after="0" w:line="2" w:lineRule="exact"/>
        <w:rPr>
          <w:sz w:val="20"/>
          <w:szCs w:val="20"/>
          <w:color w:val="auto"/>
        </w:rPr>
      </w:pPr>
    </w:p>
    <w:p>
      <w:pPr>
        <w:jc w:val="both"/>
        <w:ind w:firstLine="8"/>
        <w:spacing w:after="0" w:line="257" w:lineRule="auto"/>
        <w:tabs>
          <w:tab w:leader="none" w:pos="393"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additional dates as the Pro Rata Facilities Administrative Agent shall determine or the Required Pro Rata Facilities Lenders shall require (including, without limitation, in connection with any payment or repayment of Loans); and (b) with respect to any Letter of Credit, each of the following: (i) each date of issuance of a Letter of Credit denominated in an Alternative Currency, (ii) each date of an amendment of any such Letter of Credit having the effect of increasing the amount thereof,</w:t>
      </w:r>
    </w:p>
    <w:p>
      <w:pPr>
        <w:spacing w:after="0" w:line="3" w:lineRule="exact"/>
        <w:rPr>
          <w:rFonts w:ascii="Times New Roman" w:cs="Times New Roman" w:eastAsia="Times New Roman" w:hAnsi="Times New Roman"/>
          <w:sz w:val="21"/>
          <w:szCs w:val="21"/>
          <w:color w:val="auto"/>
        </w:rPr>
      </w:pPr>
    </w:p>
    <w:p>
      <w:pPr>
        <w:jc w:val="both"/>
        <w:ind w:firstLine="8"/>
        <w:spacing w:after="0" w:line="252" w:lineRule="auto"/>
        <w:tabs>
          <w:tab w:leader="none" w:pos="3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date of any payment by the L/C Issuer under any Letter of Credit denominated in an Alternative Currency and (iv) such additional dates as the Pro Rata Facilities Administrative Agent or the L/C Issuer shall determine or the Required Pro Rata Facilities Lenders shall require.</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Borrowing</w:t>
      </w:r>
      <w:r>
        <w:rPr>
          <w:rFonts w:ascii="Times New Roman" w:cs="Times New Roman" w:eastAsia="Times New Roman" w:hAnsi="Times New Roman"/>
          <w:sz w:val="22"/>
          <w:szCs w:val="22"/>
          <w:color w:val="auto"/>
        </w:rPr>
        <w:t xml:space="preserve">” means a borrowing consisting of simultaneous Revolving Credit Loans of the same Type and, in the case of Term SOFR Loans or Alternative Currency Term Rate Loans, having the same Interest Period made by each of the Revolving Credit Lenders pursuant to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Commitment</w:t>
      </w:r>
      <w:r>
        <w:rPr>
          <w:rFonts w:ascii="Times New Roman" w:cs="Times New Roman" w:eastAsia="Times New Roman" w:hAnsi="Times New Roman"/>
          <w:sz w:val="22"/>
          <w:szCs w:val="22"/>
          <w:color w:val="auto"/>
        </w:rPr>
        <w:t xml:space="preserve">” means, as to each Revolving Credit Lender, its obligation to (a) make Revolving Credit Loans to the Company pursuant to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under the caption “Revolving Credit Commitment” or opposite such caption in the Assignment and Assumption pursuant to which such Lender becomes a party hereto, as applicable, as such amount may be adjusted from time to time in accordance with this Agreement.</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Exposure</w:t>
      </w:r>
      <w:r>
        <w:rPr>
          <w:rFonts w:ascii="Times New Roman" w:cs="Times New Roman" w:eastAsia="Times New Roman" w:hAnsi="Times New Roman"/>
          <w:sz w:val="22"/>
          <w:szCs w:val="22"/>
          <w:color w:val="auto"/>
        </w:rPr>
        <w:t>” means, as to any Lender at any time, the aggregate principal amount at such time of its outstanding Revolving Credit Loans and such Lender’s participation in L/C Obligations and Swing Line Loans at such time.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Facility</w:t>
      </w:r>
      <w:r>
        <w:rPr>
          <w:rFonts w:ascii="Times New Roman" w:cs="Times New Roman" w:eastAsia="Times New Roman" w:hAnsi="Times New Roman"/>
          <w:sz w:val="22"/>
          <w:szCs w:val="22"/>
          <w:color w:val="auto"/>
        </w:rPr>
        <w:t>” means, at any time, the aggregate amount of the Revolving Credit Lenders’ Revolving Credit Commitments at such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Increase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21" w:right="33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Increase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2.16(d)(ii)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Lender</w:t>
      </w:r>
      <w:r>
        <w:rPr>
          <w:rFonts w:ascii="Times New Roman" w:cs="Times New Roman" w:eastAsia="Times New Roman" w:hAnsi="Times New Roman"/>
          <w:sz w:val="22"/>
          <w:szCs w:val="22"/>
          <w:color w:val="auto"/>
        </w:rPr>
        <w:t>” means, at any time, any Lender that has a Revolving Credit Commitment at such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Note</w:t>
      </w:r>
      <w:r>
        <w:rPr>
          <w:rFonts w:ascii="Times New Roman" w:cs="Times New Roman" w:eastAsia="Times New Roman" w:hAnsi="Times New Roman"/>
          <w:sz w:val="22"/>
          <w:szCs w:val="22"/>
          <w:color w:val="auto"/>
        </w:rPr>
        <w:t xml:space="preserve">” means a promissory note made by the Borrowers in favor of a Revolving Credit Lender evidencing Revolving Credit Loans or Swing Line Loans, as the case may be, made by such Revolving Credit Lender, substantially in the form of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xml:space="preserve">” means </w:t>
      </w:r>
      <w:r>
        <w:rPr>
          <w:rFonts w:ascii="Arial" w:cs="Arial" w:eastAsia="Arial" w:hAnsi="Arial"/>
          <w:sz w:val="22"/>
          <w:szCs w:val="22"/>
          <w:color w:val="auto"/>
        </w:rPr>
        <w:t>Standard &amp; Poor’s Rating Services, a Standard &amp; Poor’s Financial Services LLC business</w:t>
      </w:r>
      <w:r>
        <w:rPr>
          <w:rFonts w:ascii="Times New Roman" w:cs="Times New Roman" w:eastAsia="Times New Roman" w:hAnsi="Times New Roman"/>
          <w:sz w:val="22"/>
          <w:szCs w:val="22"/>
          <w:color w:val="auto"/>
        </w:rPr>
        <w:t>, and any successor thereto.</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Sale and Leaseback Transaction</w:t>
      </w:r>
      <w:r>
        <w:rPr>
          <w:rFonts w:ascii="Times New Roman" w:cs="Times New Roman" w:eastAsia="Times New Roman" w:hAnsi="Times New Roman"/>
          <w:sz w:val="21"/>
          <w:szCs w:val="21"/>
          <w:color w:val="auto"/>
        </w:rPr>
        <w:t>” means, with respect to any Loan Party or any Restricted Subsidiary, any arrangement, directly or indirectly, with any Person whereby such Loan Party or such Restricted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Same Day Funds</w:t>
      </w:r>
      <w:r>
        <w:rPr>
          <w:rFonts w:ascii="Times New Roman" w:cs="Times New Roman" w:eastAsia="Times New Roman" w:hAnsi="Times New Roman"/>
          <w:sz w:val="22"/>
          <w:szCs w:val="22"/>
          <w:color w:val="auto"/>
        </w:rPr>
        <w:t>” means (a) with respect to disbursements and payments in Dollars, immediately available funds, and</w:t>
      </w:r>
    </w:p>
    <w:p>
      <w:pPr>
        <w:spacing w:after="0" w:line="28" w:lineRule="exact"/>
        <w:rPr>
          <w:sz w:val="20"/>
          <w:szCs w:val="20"/>
          <w:color w:val="auto"/>
        </w:rPr>
      </w:pPr>
    </w:p>
    <w:p>
      <w:pPr>
        <w:jc w:val="both"/>
        <w:ind w:firstLine="8"/>
        <w:spacing w:after="0" w:line="252" w:lineRule="auto"/>
        <w:tabs>
          <w:tab w:leader="none" w:pos="30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disbursements and payments in an Alternative Currency, same day or other funds as may be determined by the Pro Rata Facilities Administrative Agent or the L/C Issuer, as the case may be, to be customary in the place of disbursement or payment for the settlement of international banking transactions in the relevant Alternative Currency.</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any applicable sanction administered or enforced by the United States Government (including without limitation, OFAC), the United Nations Security Council, the European Union, His Majesty’s Treasury (“</w:t>
      </w:r>
      <w:r>
        <w:rPr>
          <w:rFonts w:ascii="Times New Roman" w:cs="Times New Roman" w:eastAsia="Times New Roman" w:hAnsi="Times New Roman"/>
          <w:sz w:val="22"/>
          <w:szCs w:val="22"/>
          <w:u w:val="single" w:color="auto"/>
          <w:color w:val="auto"/>
        </w:rPr>
        <w:t>HMT</w:t>
      </w:r>
      <w:r>
        <w:rPr>
          <w:rFonts w:ascii="Times New Roman" w:cs="Times New Roman" w:eastAsia="Times New Roman" w:hAnsi="Times New Roman"/>
          <w:sz w:val="22"/>
          <w:szCs w:val="22"/>
          <w:color w:val="auto"/>
        </w:rPr>
        <w:t>”), Hong Kong Monetary Authority or other relevant sanctions authority.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Unavailability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3.03(c)(ii)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or any Governmental Authority succeeding to any of its principal functions.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Filing Date</w:t>
      </w:r>
      <w:r>
        <w:rPr>
          <w:rFonts w:ascii="Times New Roman" w:cs="Times New Roman" w:eastAsia="Times New Roman" w:hAnsi="Times New Roman"/>
          <w:sz w:val="22"/>
          <w:szCs w:val="22"/>
          <w:color w:val="auto"/>
        </w:rPr>
        <w:t>” means (i) the date that the relevant financial statements of the Company are required to be filed with the SEC pursuant to the Securities Exchange Act of 1934 or (ii) if the Company is no longer a SEC reporting company, the date the relevant financial statements of the Company would be required to be filed with the SEC if the Company were a reporting company and not an “accelerated filer” within the meaning of Rule 12b-2 of the Securities Exchange Act of 1934.</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Cash Management Agreement</w:t>
      </w:r>
      <w:r>
        <w:rPr>
          <w:rFonts w:ascii="Times New Roman" w:cs="Times New Roman" w:eastAsia="Times New Roman" w:hAnsi="Times New Roman"/>
          <w:sz w:val="22"/>
          <w:szCs w:val="22"/>
          <w:color w:val="auto"/>
        </w:rPr>
        <w:t>” means any Cash Management Agreement that is entered into by and between any Loan Party or any Restricted Subsidiary of a Loan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21" w:right="339" w:bottom="1440" w:gutter="0" w:footer="0" w:header="0"/>
        </w:sectPr>
      </w:pPr>
    </w:p>
    <w:bookmarkStart w:id="135" w:name="page136"/>
    <w:bookmarkEnd w:id="135"/>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any Cash Management Bank and designated by the Company in a writing to the General Administrative Agent as a Secured Cash Management Agreement.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Hedge Agreement</w:t>
      </w:r>
      <w:r>
        <w:rPr>
          <w:rFonts w:ascii="Times New Roman" w:cs="Times New Roman" w:eastAsia="Times New Roman" w:hAnsi="Times New Roman"/>
          <w:sz w:val="22"/>
          <w:szCs w:val="22"/>
          <w:color w:val="auto"/>
        </w:rPr>
        <w:t xml:space="preserve">” means any Swap Contract required or permitted under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that is entered into by and between any Loan Party or any Restricted Subsidiary of a Loan Party and any Hedge Bank and designated by the Company in a writing to the General Administrative Agent as a Secured Hedge Agreement.</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xml:space="preserve">” means, collectively, the Administrative Agents, the Lenders, the L/C Issuer, the Hedge Banks, the Cash Management Banks, the Bilateral Foreign Facility Lenders, each co-agent or sub-agent appointed by any Administrative Agent from time to time pursuant to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and the other Persons the Obligations owing to which are or are purported to be secured by the Collateral under the terms of the Collateral Documents.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and Pledge Agreement</w:t>
      </w:r>
      <w:r>
        <w:rPr>
          <w:rFonts w:ascii="Times New Roman" w:cs="Times New Roman" w:eastAsia="Times New Roman" w:hAnsi="Times New Roman"/>
          <w:sz w:val="22"/>
          <w:szCs w:val="22"/>
          <w:color w:val="auto"/>
        </w:rPr>
        <w:t>” means that certain Security and Pledge Agreement dated as of the Closing Date by the Company and other Domestic Loan Parties to the General Administrative Agent for the benefit of the Secured Parties, as supplemented or joined from time to time by the execution and delivery of supplements and joinders as provided therein or as otherwise reasonably acceptable to the General Administrative Agent.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Subsidiary</w:t>
      </w:r>
      <w:r>
        <w:rPr>
          <w:rFonts w:ascii="Times New Roman" w:cs="Times New Roman" w:eastAsia="Times New Roman" w:hAnsi="Times New Roman"/>
          <w:sz w:val="22"/>
          <w:szCs w:val="22"/>
          <w:color w:val="auto"/>
        </w:rPr>
        <w:t>” means (a) each Restricted Subsidiary that is or is required to be a Loan Party and (b) each other Restricted Subsidiary that individually represents at least two percent (2%) of the Consolidated EBITDA of the Company and its Restricted Subsidiaries on a consolidated basis or at least two percent (2%) of the consolidated total assets of the Company and its Restricted Subsidiaries on a consolidated basis.</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the Secured Overnight Financing Rate as administered by the Federal Reserve Bank of New York (or a successor Administrator).</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as the administrator of SOFR, or any successor administrator of SOFR designated by the Federal Reserve Bank of New York or other Person acting as the SOFR Administrator at such time that is satisfactory to the Applicable Facility Agent.</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Daily Floating Rate</w:t>
      </w:r>
      <w:r>
        <w:rPr>
          <w:rFonts w:ascii="Times New Roman" w:cs="Times New Roman" w:eastAsia="Times New Roman" w:hAnsi="Times New Roman"/>
          <w:sz w:val="22"/>
          <w:szCs w:val="22"/>
          <w:color w:val="auto"/>
        </w:rPr>
        <w:t>” means for any interest calculation with respect to a SOFR Daily Floating Rate Loan on any date, a fluctuating rate of interest, which can change on each Business Day, equal to the Term SOFR Screen Rate with a term equivalent to one (1) month beginning on that date; provided, that if the rate is not published prior to 11:00 a.m. on such determination date then SOFR Daily Floating Rate means the Term SOFR Screen Rate on the first (1st) U.S. Government Securities Business Day immediately prior thereto; provided that if the SOFR Daily Floating Rate shall be less than zero, such rate shall be deemed zero for purposes of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Daily Floating Rate Borrowing</w:t>
      </w:r>
      <w:r>
        <w:rPr>
          <w:rFonts w:ascii="Times New Roman" w:cs="Times New Roman" w:eastAsia="Times New Roman" w:hAnsi="Times New Roman"/>
          <w:sz w:val="22"/>
          <w:szCs w:val="22"/>
          <w:color w:val="auto"/>
        </w:rPr>
        <w:t>” means any Borrowing comprised of SOFR Daily Floating Rate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21"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Daily Floating Rate Loan</w:t>
      </w:r>
      <w:r>
        <w:rPr>
          <w:rFonts w:ascii="Times New Roman" w:cs="Times New Roman" w:eastAsia="Times New Roman" w:hAnsi="Times New Roman"/>
          <w:sz w:val="22"/>
          <w:szCs w:val="22"/>
          <w:color w:val="auto"/>
        </w:rPr>
        <w:t>” means a Loan that bears interest based on the SOFR Daily Floating Rate.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Scheduled Unavailability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3.03(b)(ii)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Successor Rate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mean, with respect to any Person on any date of determination, that on such date (a) the sum of the liabilities (including contingent liabilities) of such Person and its Subsidiaries, on a consolidated basis, does not exceed the present fair saleable value of the assets of such Person and its Subsidiaries, on a consolidated basis, (b) the fair value of the property of such Person and its Subsidiaries, on a consolidated basis, is greater than the total amount of liabilities (including contingent liabilities) of such Person and its Subsidiaries, on a consolidated basis, (c) the capital of such Person and its Subsidiaries, on a consolidated basis, is not unreasonably small in relation to their business as contemplated on the Amendment No. 4 Effective Date, and (d) such Person and its Subsidiaries, on a consolidated basis, have not incurred and do not intend to incur, or believe that they will incur, debts including current obligations beyond their ability to pay such debts as they become due (whether at maturity or otherwise).</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w:t>
      </w:r>
      <w:r>
        <w:rPr>
          <w:rFonts w:ascii="Times New Roman" w:cs="Times New Roman" w:eastAsia="Times New Roman" w:hAnsi="Times New Roman"/>
          <w:sz w:val="22"/>
          <w:szCs w:val="22"/>
          <w:color w:val="auto"/>
        </w:rPr>
        <w:t xml:space="preserve">” means, with respect to any applicable determination date, the Sterling Overnight Index Average Reference Rate published on the fourth Business Day preceding such date on the applicable Reuters screen page (or such other commercially available source providing such quotations as may be designated by the Pro Rata Facilities Administrative Agent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if such determination date is not a Business Day, SONIA means such rate that applied on the first Business Day immediately prior thereto.</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Notice Currency</w:t>
      </w:r>
      <w:r>
        <w:rPr>
          <w:rFonts w:ascii="Times New Roman" w:cs="Times New Roman" w:eastAsia="Times New Roman" w:hAnsi="Times New Roman"/>
          <w:sz w:val="22"/>
          <w:szCs w:val="22"/>
          <w:color w:val="auto"/>
        </w:rPr>
        <w:t>” means at any time an Alternative Currency, other than the currency of a country that is a member of the Organization for Economic Cooperation and Development at such time located in North America or Europe.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Default</w:t>
      </w:r>
      <w:r>
        <w:rPr>
          <w:rFonts w:ascii="Times New Roman" w:cs="Times New Roman" w:eastAsia="Times New Roman" w:hAnsi="Times New Roman"/>
          <w:sz w:val="22"/>
          <w:szCs w:val="22"/>
          <w:color w:val="auto"/>
        </w:rPr>
        <w:t xml:space="preserve">” shall mean an Event of Default arising under either or both of </w:t>
      </w:r>
      <w:r>
        <w:rPr>
          <w:rFonts w:ascii="Times New Roman" w:cs="Times New Roman" w:eastAsia="Times New Roman" w:hAnsi="Times New Roman"/>
          <w:sz w:val="22"/>
          <w:szCs w:val="22"/>
          <w:u w:val="single" w:color="auto"/>
          <w:color w:val="auto"/>
        </w:rPr>
        <w:t>Sections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8.01(f)</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Representations</w:t>
      </w:r>
      <w:r>
        <w:rPr>
          <w:rFonts w:ascii="Times New Roman" w:cs="Times New Roman" w:eastAsia="Times New Roman" w:hAnsi="Times New Roman"/>
          <w:sz w:val="22"/>
          <w:szCs w:val="22"/>
          <w:color w:val="auto"/>
        </w:rPr>
        <w:t xml:space="preserve">” means the representations and warranties set forth in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5.01(b)(ii)</w:t>
      </w:r>
      <w:r>
        <w:rPr>
          <w:rFonts w:ascii="Times New Roman" w:cs="Times New Roman" w:eastAsia="Times New Roman" w:hAnsi="Times New Roman"/>
          <w:sz w:val="22"/>
          <w:szCs w:val="22"/>
          <w:color w:val="auto"/>
        </w:rPr>
        <w:t xml:space="preserve"> (solely as it relates to corporate or organizational power or authority), </w:t>
      </w:r>
      <w:r>
        <w:rPr>
          <w:rFonts w:ascii="Times New Roman" w:cs="Times New Roman" w:eastAsia="Times New Roman" w:hAnsi="Times New Roman"/>
          <w:sz w:val="22"/>
          <w:szCs w:val="22"/>
          <w:u w:val="single" w:color="auto"/>
          <w:color w:val="auto"/>
        </w:rPr>
        <w:t>Section 5.02(a)</w:t>
      </w:r>
      <w:r>
        <w:rPr>
          <w:rFonts w:ascii="Times New Roman" w:cs="Times New Roman" w:eastAsia="Times New Roman" w:hAnsi="Times New Roman"/>
          <w:sz w:val="22"/>
          <w:szCs w:val="22"/>
          <w:color w:val="auto"/>
        </w:rPr>
        <w:t xml:space="preserve"> (solely with respect to the Loan Documents), </w:t>
      </w:r>
      <w:r>
        <w:rPr>
          <w:rFonts w:ascii="Times New Roman" w:cs="Times New Roman" w:eastAsia="Times New Roman" w:hAnsi="Times New Roman"/>
          <w:sz w:val="22"/>
          <w:szCs w:val="22"/>
          <w:u w:val="single" w:color="auto"/>
          <w:color w:val="auto"/>
        </w:rPr>
        <w:t>Section 5.02(c)</w:t>
      </w:r>
      <w:r>
        <w:rPr>
          <w:rFonts w:ascii="Times New Roman" w:cs="Times New Roman" w:eastAsia="Times New Roman" w:hAnsi="Times New Roman"/>
          <w:sz w:val="22"/>
          <w:szCs w:val="22"/>
          <w:color w:val="auto"/>
        </w:rPr>
        <w:t xml:space="preserve"> (but only with respect to the Loan Documents and also with respect to no conflicts with or consents under any applicable Laws, where such conflict or failure to obtain such consent could reasonably be expected to have a Material Adverse Effect),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5.24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Transaction</w:t>
      </w:r>
      <w:r>
        <w:rPr>
          <w:rFonts w:ascii="Times New Roman" w:cs="Times New Roman" w:eastAsia="Times New Roman" w:hAnsi="Times New Roman"/>
          <w:sz w:val="22"/>
          <w:szCs w:val="22"/>
          <w:color w:val="auto"/>
        </w:rPr>
        <w:t>” means (a) any Investment that results in a Person becoming a Restricted Subsidiary, (b) any designation of a Subsidiary as a Restricted Subsidiary or an Unrestricted Subsidiary, (c) any Acquisition that constitutes a Material Acquisition or a Permitted Acquisition, (d) any Disposition that results in a Restricted Subsidiary ceasing to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21" w:right="339" w:bottom="1440" w:gutter="0" w:footer="0" w:header="0"/>
        </w:sectPr>
      </w:pPr>
    </w:p>
    <w:bookmarkStart w:id="137" w:name="page138"/>
    <w:bookmarkEnd w:id="137"/>
    <w:p>
      <w:pPr>
        <w:jc w:val="both"/>
        <w:spacing w:after="0" w:line="256" w:lineRule="auto"/>
        <w:rPr>
          <w:sz w:val="20"/>
          <w:szCs w:val="20"/>
          <w:color w:val="auto"/>
        </w:rPr>
      </w:pPr>
      <w:r>
        <w:rPr>
          <w:rFonts w:ascii="Times New Roman" w:cs="Times New Roman" w:eastAsia="Times New Roman" w:hAnsi="Times New Roman"/>
          <w:sz w:val="22"/>
          <w:szCs w:val="22"/>
          <w:color w:val="auto"/>
        </w:rPr>
        <w:t>Subsidiary of the Company or (e) any other Acquisition, incurrence or repayment of Indebtedness (other than Indebtedness incurred or repaid under any revolving credit facility in the ordinary course of business for working capital purposes without any adjustment to the commitments thereunder), Restricted Payment or other event that by the terms of this Agreement requires a test to be calculated for “</w:t>
      </w:r>
      <w:r>
        <w:rPr>
          <w:rFonts w:ascii="Times New Roman" w:cs="Times New Roman" w:eastAsia="Times New Roman" w:hAnsi="Times New Roman"/>
          <w:sz w:val="22"/>
          <w:szCs w:val="22"/>
          <w:i w:val="1"/>
          <w:iCs w:val="1"/>
          <w:color w:val="auto"/>
        </w:rPr>
        <w:t>pro forma compliance</w:t>
      </w:r>
      <w:r>
        <w:rPr>
          <w:rFonts w:ascii="Times New Roman" w:cs="Times New Roman" w:eastAsia="Times New Roman" w:hAnsi="Times New Roman"/>
          <w:sz w:val="22"/>
          <w:szCs w:val="22"/>
          <w:color w:val="auto"/>
        </w:rPr>
        <w:t>” or on a “</w:t>
      </w:r>
      <w:r>
        <w:rPr>
          <w:rFonts w:ascii="Times New Roman" w:cs="Times New Roman" w:eastAsia="Times New Roman" w:hAnsi="Times New Roman"/>
          <w:sz w:val="22"/>
          <w:szCs w:val="22"/>
          <w:i w:val="1"/>
          <w:iCs w:val="1"/>
          <w:color w:val="auto"/>
        </w:rPr>
        <w:t>pro forma basis</w:t>
      </w:r>
      <w:r>
        <w:rPr>
          <w:rFonts w:ascii="Times New Roman" w:cs="Times New Roman" w:eastAsia="Times New Roman" w:hAnsi="Times New Roman"/>
          <w:sz w:val="22"/>
          <w:szCs w:val="22"/>
          <w:color w:val="auto"/>
        </w:rPr>
        <w:t>” or after giving “</w:t>
      </w:r>
      <w:r>
        <w:rPr>
          <w:rFonts w:ascii="Times New Roman" w:cs="Times New Roman" w:eastAsia="Times New Roman" w:hAnsi="Times New Roman"/>
          <w:sz w:val="22"/>
          <w:szCs w:val="22"/>
          <w:i w:val="1"/>
          <w:iCs w:val="1"/>
          <w:color w:val="auto"/>
        </w:rPr>
        <w:t>pro forma effect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Sterling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lawful currency of the United Kingdom.</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Transaction</w:t>
      </w:r>
      <w:r>
        <w:rPr>
          <w:rFonts w:ascii="Times New Roman" w:cs="Times New Roman" w:eastAsia="Times New Roman" w:hAnsi="Times New Roman"/>
          <w:sz w:val="22"/>
          <w:szCs w:val="22"/>
          <w:color w:val="auto"/>
        </w:rPr>
        <w:t>” has the meaning specified in Section 1.03(d)(iii).</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or to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shall refer to a Subsidiary or Subsidiaries of the Company.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Successor Rate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has the meaning specified in Section 10.23.</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Termination Value</w:t>
      </w:r>
      <w:r>
        <w:rPr>
          <w:rFonts w:ascii="Times New Roman" w:cs="Times New Roman" w:eastAsia="Times New Roman" w:hAnsi="Times New Roman"/>
          <w:sz w:val="22"/>
          <w:szCs w:val="22"/>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21" w:right="339" w:bottom="1440" w:gutter="0" w:footer="0" w:header="0"/>
        </w:sectPr>
      </w:pPr>
    </w:p>
    <w:bookmarkStart w:id="138" w:name="page139"/>
    <w:bookmarkEnd w:id="138"/>
    <w:p>
      <w:pPr>
        <w:jc w:val="both"/>
        <w:spacing w:after="0" w:line="271" w:lineRule="auto"/>
        <w:rPr>
          <w:sz w:val="20"/>
          <w:szCs w:val="20"/>
          <w:color w:val="auto"/>
        </w:rPr>
      </w:pPr>
      <w:r>
        <w:rPr>
          <w:rFonts w:ascii="Times New Roman" w:cs="Times New Roman" w:eastAsia="Times New Roman" w:hAnsi="Times New Roman"/>
          <w:sz w:val="22"/>
          <w:szCs w:val="22"/>
          <w:color w:val="auto"/>
        </w:rPr>
        <w:t>other readily available quotations provided by any recognized dealer in such Swap Contracts (which may include a Lender or any Affiliate of a Lender).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SWIFT</w:t>
      </w:r>
      <w:r>
        <w:rPr>
          <w:rFonts w:ascii="Times New Roman" w:cs="Times New Roman" w:eastAsia="Times New Roman" w:hAnsi="Times New Roman"/>
          <w:sz w:val="22"/>
          <w:szCs w:val="22"/>
          <w:color w:val="auto"/>
        </w:rPr>
        <w:t>” has the meaning specified in Section 2.03(f).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Borrowing</w:t>
      </w:r>
      <w:r>
        <w:rPr>
          <w:rFonts w:ascii="Times New Roman" w:cs="Times New Roman" w:eastAsia="Times New Roman" w:hAnsi="Times New Roman"/>
          <w:sz w:val="22"/>
          <w:szCs w:val="22"/>
          <w:color w:val="auto"/>
        </w:rPr>
        <w:t xml:space="preserve">” means a borrowing of a Swing Line Loan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Lender</w:t>
      </w:r>
      <w:r>
        <w:rPr>
          <w:rFonts w:ascii="Times New Roman" w:cs="Times New Roman" w:eastAsia="Times New Roman" w:hAnsi="Times New Roman"/>
          <w:sz w:val="22"/>
          <w:szCs w:val="22"/>
          <w:color w:val="auto"/>
        </w:rPr>
        <w:t>” means, collectively, (a) the U.S. Swing Line Lender, and (b) the Euro Swing Line Lender, or one or more other branches or Affiliates of Bank of America, or any successor swing line lender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Loan Notice</w:t>
      </w:r>
      <w:r>
        <w:rPr>
          <w:rFonts w:ascii="Times New Roman" w:cs="Times New Roman" w:eastAsia="Times New Roman" w:hAnsi="Times New Roman"/>
          <w:sz w:val="22"/>
          <w:szCs w:val="22"/>
          <w:color w:val="auto"/>
        </w:rPr>
        <w:t xml:space="preserve">” means a notice of a Swing Line Borrowing pursuant to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which shall be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or such other form as approved by the Pro Rata Facilities Administrative Agent (including any form on an electronic platform or electronic transmission system as shall be approved by the Pro Rata Facilities Administrative Agent), appropriately completed and signed by a Responsible Officer of the applicable Borrower.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Sublimit</w:t>
      </w:r>
      <w:r>
        <w:rPr>
          <w:rFonts w:ascii="Times New Roman" w:cs="Times New Roman" w:eastAsia="Times New Roman" w:hAnsi="Times New Roman"/>
          <w:sz w:val="22"/>
          <w:szCs w:val="22"/>
          <w:color w:val="auto"/>
        </w:rPr>
        <w:t xml:space="preserve">” means an amount equal to the lesser of (a) $80,000,000 and (b) the Revolving Credit Facility;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otherwise agreed between the Company and the Swing Line Lenders, the aggregate amount of Swing Line Loans outstanding in Dollars shall not exceed $60,000,000 and the aggregate amount outstanding in Euros shall not exceed the Alternative Currency Equivalent of $20,000,000. The Swing Line Sublimit is part of, and not in addition to, the Revolving Credit Facility.</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Syndication Agents</w:t>
      </w:r>
      <w:r>
        <w:rPr>
          <w:rFonts w:ascii="Times New Roman" w:cs="Times New Roman" w:eastAsia="Times New Roman" w:hAnsi="Times New Roman"/>
          <w:sz w:val="22"/>
          <w:szCs w:val="22"/>
          <w:color w:val="auto"/>
        </w:rPr>
        <w:t>” means, collectively, JPMorgan Chase Bank, N.A., PNC Bank, National Association, Wells Fargo, National Association, Citibank, N.A., Citizens Bank, N.A., TD Bank, N.A., U.S. Bank National Association and The Huntington National Bank, in their capacities as co-syndication agents.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Synthetic Lease Obligation</w:t>
      </w:r>
      <w:r>
        <w:rPr>
          <w:rFonts w:ascii="Times New Roman" w:cs="Times New Roman" w:eastAsia="Times New Roman" w:hAnsi="Times New Roman"/>
          <w:sz w:val="22"/>
          <w:szCs w:val="22"/>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TARGET2</w:t>
      </w:r>
      <w:r>
        <w:rPr>
          <w:rFonts w:ascii="Times New Roman" w:cs="Times New Roman" w:eastAsia="Times New Roman" w:hAnsi="Times New Roman"/>
          <w:sz w:val="22"/>
          <w:szCs w:val="22"/>
          <w:color w:val="auto"/>
        </w:rPr>
        <w:t>” means the Trans-European Automated Real-time Gross Settlement Express Transfer payment system which utilizes a single shared platform and which was launched on November 19, 2007.</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Day</w:t>
      </w:r>
      <w:r>
        <w:rPr>
          <w:rFonts w:ascii="Times New Roman" w:cs="Times New Roman" w:eastAsia="Times New Roman" w:hAnsi="Times New Roman"/>
          <w:sz w:val="22"/>
          <w:szCs w:val="22"/>
          <w:color w:val="auto"/>
        </w:rPr>
        <w:t>” means any day on which TARGET2 (or, if such payment system ceases to be operative, such other payment system, if any, determined by the Pro Rata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color w:val="auto"/>
        </w:rPr>
        <w:t>Administrative Agent to be a suitable replacement) is open for the settlement of payments in Euro.</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 Borrowing</w:t>
      </w:r>
      <w:r>
        <w:rPr>
          <w:rFonts w:ascii="Times New Roman" w:cs="Times New Roman" w:eastAsia="Times New Roman" w:hAnsi="Times New Roman"/>
          <w:sz w:val="22"/>
          <w:szCs w:val="22"/>
          <w:color w:val="auto"/>
        </w:rPr>
        <w:t>” means a borrowing consisting of simultaneous Term B Loans of the same Type and, in the case of Term SOFR Loans, having the same Interest Period made by each of the Term B Lenders pursuant to Section 2.01(d).</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 Commitment</w:t>
      </w:r>
      <w:r>
        <w:rPr>
          <w:rFonts w:ascii="Times New Roman" w:cs="Times New Roman" w:eastAsia="Times New Roman" w:hAnsi="Times New Roman"/>
          <w:sz w:val="22"/>
          <w:szCs w:val="22"/>
          <w:color w:val="auto"/>
        </w:rPr>
        <w:t>” means, as to each Term B Lender, its obligation to make Term B Loans to the Company pursuant to Section 2.01(d) in an aggregate principal amount at any one time outstanding not to exceed the amount set forth opposite such Term B Lender’s name on Schedule 2.01 under the caption “Term B Commitment” or opposite such caption in the Assignment and Assumption pursuant to which such Term B Lender becomes a party hereto, as applicable, as such amount may be adjusted from time to time in accordance with this Agreement.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 Facility</w:t>
      </w:r>
      <w:r>
        <w:rPr>
          <w:rFonts w:ascii="Times New Roman" w:cs="Times New Roman" w:eastAsia="Times New Roman" w:hAnsi="Times New Roman"/>
          <w:sz w:val="22"/>
          <w:szCs w:val="22"/>
          <w:color w:val="auto"/>
        </w:rPr>
        <w:t>” means, at any time, (a) on or prior to the Amendment No. 5 Effective Date, the aggregate amount of the Term B Commitments at such time and (b) thereafter, the aggregate principal amount of the Term B Loans of all Term B Lenders outstanding at such time.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 Lender</w:t>
      </w:r>
      <w:r>
        <w:rPr>
          <w:rFonts w:ascii="Times New Roman" w:cs="Times New Roman" w:eastAsia="Times New Roman" w:hAnsi="Times New Roman"/>
          <w:sz w:val="22"/>
          <w:szCs w:val="22"/>
          <w:color w:val="auto"/>
        </w:rPr>
        <w:t>” means (a) at any time on or prior to the Amendment No. 5 Effective Date, any Lender that has a Term B Commitment at such time and (b) at any time after the Amendment No. 5 Effective Date, any Lender that holds Term B Loans at such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 Loan</w:t>
      </w:r>
      <w:r>
        <w:rPr>
          <w:rFonts w:ascii="Times New Roman" w:cs="Times New Roman" w:eastAsia="Times New Roman" w:hAnsi="Times New Roman"/>
          <w:sz w:val="22"/>
          <w:szCs w:val="22"/>
          <w:color w:val="auto"/>
        </w:rPr>
        <w:t>” means an advance made by any Term B Lender under the Term B Facility.</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 Note</w:t>
      </w:r>
      <w:r>
        <w:rPr>
          <w:rFonts w:ascii="Times New Roman" w:cs="Times New Roman" w:eastAsia="Times New Roman" w:hAnsi="Times New Roman"/>
          <w:sz w:val="22"/>
          <w:szCs w:val="22"/>
          <w:color w:val="auto"/>
        </w:rPr>
        <w:t>” means a promissory note made by the Company in favor of a Term B Lender evidencing Term B Loans made by such Term B Lender, substantially in the form of Exhibit C-4.</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Borrowing</w:t>
      </w:r>
      <w:r>
        <w:rPr>
          <w:rFonts w:ascii="Times New Roman" w:cs="Times New Roman" w:eastAsia="Times New Roman" w:hAnsi="Times New Roman"/>
          <w:sz w:val="22"/>
          <w:szCs w:val="22"/>
          <w:color w:val="auto"/>
        </w:rPr>
        <w:t>” means either a U.S. Term Borrowing, a Euro Term Borrowing or a Term B Borrowing.</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Commitment</w:t>
      </w:r>
      <w:r>
        <w:rPr>
          <w:rFonts w:ascii="Times New Roman" w:cs="Times New Roman" w:eastAsia="Times New Roman" w:hAnsi="Times New Roman"/>
          <w:sz w:val="22"/>
          <w:szCs w:val="22"/>
          <w:color w:val="auto"/>
        </w:rPr>
        <w:t>” means either a U.S. Term Commitment, a Euro Term Commitment or Term B Commitment.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Facilities</w:t>
      </w:r>
      <w:r>
        <w:rPr>
          <w:rFonts w:ascii="Times New Roman" w:cs="Times New Roman" w:eastAsia="Times New Roman" w:hAnsi="Times New Roman"/>
          <w:sz w:val="22"/>
          <w:szCs w:val="22"/>
          <w:color w:val="auto"/>
        </w:rPr>
        <w:t>” means, at any time, the U.S. Term Facility, the Euro Term Facility and Term B Facility.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Lender</w:t>
      </w:r>
      <w:r>
        <w:rPr>
          <w:rFonts w:ascii="Times New Roman" w:cs="Times New Roman" w:eastAsia="Times New Roman" w:hAnsi="Times New Roman"/>
          <w:sz w:val="22"/>
          <w:szCs w:val="22"/>
          <w:color w:val="auto"/>
        </w:rPr>
        <w:t>” means, at any time, a U.S. Term Lender, a Euro Term Lender or a Term B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21" w:right="339" w:bottom="1440" w:gutter="0" w:footer="0" w:header="0"/>
        </w:sectPr>
      </w:pPr>
    </w:p>
    <w:bookmarkStart w:id="140" w:name="page141"/>
    <w:bookmarkEnd w:id="140"/>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B Administrative Agent</w:t>
      </w:r>
      <w:r>
        <w:rPr>
          <w:rFonts w:ascii="Times New Roman" w:cs="Times New Roman" w:eastAsia="Times New Roman" w:hAnsi="Times New Roman"/>
          <w:sz w:val="22"/>
          <w:szCs w:val="22"/>
          <w:color w:val="auto"/>
        </w:rPr>
        <w:t>” means JPMorgan Chase Bank, N.A., together with its affiliates, as the term loan b administrative agent for the Term B Lenders, under this Agreement and the other Loan Documents, together with any of its successors.</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means a U.S. Term Loan, a Euro Term Loan, a Term B Loan, an Incremental Term Loan, or a Refinancing Term Loan.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Increase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left="660" w:firstLine="644"/>
        <w:spacing w:after="0" w:line="253" w:lineRule="auto"/>
        <w:tabs>
          <w:tab w:leader="none" w:pos="195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rate is not published prior to 11:00 a.m. on such determination date then Term SOFR means the Term SOFR Screen Rate on the first U.S. Government Securities Business Day immediately prior thereto; and</w:t>
      </w:r>
    </w:p>
    <w:p>
      <w:pPr>
        <w:spacing w:after="0" w:line="178"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interest calculation with respect to a Base Rate Loan on any date, the rate per annum equal to the Term SOFR Screen Rate with a term of one month commencing that day;</w:t>
      </w:r>
    </w:p>
    <w:p>
      <w:pPr>
        <w:spacing w:after="0" w:line="17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Term SOFR determined in accordance with either of the foregoing provisions (a) or (b) of this definition would otherwise be less than zero, the Term SOFR shall be deemed zero for purposes of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Loan</w:t>
      </w:r>
      <w:r>
        <w:rPr>
          <w:rFonts w:ascii="Times New Roman" w:cs="Times New Roman" w:eastAsia="Times New Roman" w:hAnsi="Times New Roman"/>
          <w:sz w:val="22"/>
          <w:szCs w:val="22"/>
          <w:color w:val="auto"/>
        </w:rPr>
        <w:t>” means a Loan that bears interest at a rate based on clause (a) of the definition of Term SOFR.</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Screen Rate</w:t>
      </w:r>
      <w:r>
        <w:rPr>
          <w:rFonts w:ascii="Times New Roman" w:cs="Times New Roman" w:eastAsia="Times New Roman" w:hAnsi="Times New Roman"/>
          <w:sz w:val="22"/>
          <w:szCs w:val="22"/>
          <w:color w:val="auto"/>
        </w:rPr>
        <w:t>” means the forward-looking SOFR term rate administered by the CME (or any successor administrator satisfactory to the Applicable Facility Agent) and published on the applicable Reuters screen page (or such other commercially available source providing such quotations as may be designated by the Applicable Facility Agent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Threshold Amount</w:t>
      </w:r>
      <w:r>
        <w:rPr>
          <w:rFonts w:ascii="Times New Roman" w:cs="Times New Roman" w:eastAsia="Times New Roman" w:hAnsi="Times New Roman"/>
          <w:sz w:val="22"/>
          <w:szCs w:val="22"/>
          <w:color w:val="auto"/>
        </w:rPr>
        <w:t>” means $75,000,000.</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Credit Exposure</w:t>
      </w:r>
      <w:r>
        <w:rPr>
          <w:rFonts w:ascii="Times New Roman" w:cs="Times New Roman" w:eastAsia="Times New Roman" w:hAnsi="Times New Roman"/>
          <w:sz w:val="22"/>
          <w:szCs w:val="22"/>
          <w:color w:val="auto"/>
        </w:rPr>
        <w:t>” means, as to any Lender at any time, the aggregate amount of Total Revolving Credit Exposure and Total Term Loan Exposure of such Lender at such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Outstandings</w:t>
      </w:r>
      <w:r>
        <w:rPr>
          <w:rFonts w:ascii="Times New Roman" w:cs="Times New Roman" w:eastAsia="Times New Roman" w:hAnsi="Times New Roman"/>
          <w:sz w:val="22"/>
          <w:szCs w:val="22"/>
          <w:color w:val="auto"/>
        </w:rPr>
        <w:t>” means the aggregate Outstanding Amount of all Loans and all L/C Obligations.</w:t>
      </w:r>
    </w:p>
    <w:p>
      <w:pPr>
        <w:spacing w:after="0" w:line="21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Credit Exposure</w:t>
      </w:r>
      <w:r>
        <w:rPr>
          <w:rFonts w:ascii="Times New Roman" w:cs="Times New Roman" w:eastAsia="Times New Roman" w:hAnsi="Times New Roman"/>
          <w:sz w:val="20"/>
          <w:szCs w:val="20"/>
          <w:color w:val="auto"/>
        </w:rPr>
        <w:t>” means, as to any Revolving Credit Lender at any time, the unused Revolving Credit Commitments and the Revolving Credit Exposure of such Revolving Credit Lender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21" w:right="339" w:bottom="1440" w:gutter="0" w:footer="0" w:header="0"/>
        </w:sectPr>
      </w:pPr>
    </w:p>
    <w:bookmarkStart w:id="141" w:name="page142"/>
    <w:bookmarkEnd w:id="141"/>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Revolving Credit Outstandings</w:t>
      </w:r>
      <w:r>
        <w:rPr>
          <w:rFonts w:ascii="Times New Roman" w:cs="Times New Roman" w:eastAsia="Times New Roman" w:hAnsi="Times New Roman"/>
          <w:sz w:val="22"/>
          <w:szCs w:val="22"/>
          <w:color w:val="auto"/>
        </w:rPr>
        <w:t>” means the aggregate Outstanding Amount of all Revolving Credit Loans, Swing Line Loans and L/C Obligations.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Term Loan Exposure</w:t>
      </w:r>
      <w:r>
        <w:rPr>
          <w:rFonts w:ascii="Times New Roman" w:cs="Times New Roman" w:eastAsia="Times New Roman" w:hAnsi="Times New Roman"/>
          <w:sz w:val="22"/>
          <w:szCs w:val="22"/>
          <w:color w:val="auto"/>
        </w:rPr>
        <w:t>” means, as to any Term Lender at any time, the unused Term Commitments (if any) and the Outstanding Amount of all Term Loans of such Term Lender at such time.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Date</w:t>
      </w:r>
      <w:r>
        <w:rPr>
          <w:rFonts w:ascii="Times New Roman" w:cs="Times New Roman" w:eastAsia="Times New Roman" w:hAnsi="Times New Roman"/>
          <w:sz w:val="22"/>
          <w:szCs w:val="22"/>
          <w:color w:val="auto"/>
        </w:rPr>
        <w:t>” has the meaning specified in Section 10.06(g).</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collectively, (a) the Refinancing, (b) the entering into of Amendment No. 4 and making of Credit Extensions on the Amendment No. 4 Effective Date and (c) the payment of fees, commissions, transaction costs and expenses incurred in connection with each of the foregoing.</w:t>
      </w:r>
    </w:p>
    <w:p>
      <w:pPr>
        <w:spacing w:after="0" w:line="18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Type</w:t>
      </w:r>
      <w:r>
        <w:rPr>
          <w:rFonts w:ascii="Times New Roman" w:cs="Times New Roman" w:eastAsia="Times New Roman" w:hAnsi="Times New Roman"/>
          <w:sz w:val="21"/>
          <w:szCs w:val="21"/>
          <w:color w:val="auto"/>
        </w:rPr>
        <w:t>” means, with respect to a Loan, its character as a Base Rate Loan, a Term SOFR Loan, an Alternative Currency Daily Rate Loan, an Alternative Currency Term Rate Loan, a SOFR Daily Floating Rate Loan or a Euro Swing Line Rate Loan.</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in effect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in effect from time to time in such other jurisdiction for purposes of the provisions hereof relating to such perfection, effect of perfection or non-perfection or priority.</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UCP</w:t>
      </w:r>
      <w:r>
        <w:rPr>
          <w:rFonts w:ascii="Times New Roman" w:cs="Times New Roman" w:eastAsia="Times New Roman" w:hAnsi="Times New Roman"/>
          <w:sz w:val="22"/>
          <w:szCs w:val="22"/>
          <w:color w:val="auto"/>
        </w:rPr>
        <w:t>” means, with respect to any Letter of Credit, the Uniform Customs and Practice for Documentary Credits, International Chamber of Commerce (“</w:t>
      </w:r>
      <w:r>
        <w:rPr>
          <w:rFonts w:ascii="Times New Roman" w:cs="Times New Roman" w:eastAsia="Times New Roman" w:hAnsi="Times New Roman"/>
          <w:sz w:val="22"/>
          <w:szCs w:val="22"/>
          <w:u w:val="single" w:color="auto"/>
          <w:color w:val="auto"/>
        </w:rPr>
        <w:t>ICC</w:t>
      </w:r>
      <w:r>
        <w:rPr>
          <w:rFonts w:ascii="Times New Roman" w:cs="Times New Roman" w:eastAsia="Times New Roman" w:hAnsi="Times New Roman"/>
          <w:sz w:val="22"/>
          <w:szCs w:val="22"/>
          <w:color w:val="auto"/>
        </w:rPr>
        <w:t>”) Publication No. 600 (or such later version thereof as may be in effect at the time of issuance).</w:t>
      </w:r>
    </w:p>
    <w:p>
      <w:pPr>
        <w:spacing w:after="0" w:line="15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8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Unaudited Financial Statements</w:t>
      </w:r>
      <w:r>
        <w:rPr>
          <w:rFonts w:ascii="Times New Roman" w:cs="Times New Roman" w:eastAsia="Times New Roman" w:hAnsi="Times New Roman"/>
          <w:sz w:val="21"/>
          <w:szCs w:val="21"/>
          <w:color w:val="auto"/>
        </w:rPr>
        <w:t>” means the unaudited consolidated balance sheets of the Company and its consolidated Subsidiaries as at the end of, and related statements of income and cash flows of the Company and its consolidated Subsidiaries for, each fiscal quarter (other than the fourth fiscal quarter of any fiscal year) of the Company and its consolidated Subsidiaries ended after December 31, 2025 and ended at least 45 days before the Amendment No. 4 Effective Date.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21" w:right="339" w:bottom="1440" w:gutter="0" w:footer="0" w:header="0"/>
        </w:sectPr>
      </w:pPr>
    </w:p>
    <w:bookmarkStart w:id="142" w:name="page143"/>
    <w:bookmarkEnd w:id="14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Unreimbursed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w:t>
      </w:r>
      <w:r>
        <w:rPr>
          <w:rFonts w:ascii="Times New Roman" w:cs="Times New Roman" w:eastAsia="Times New Roman" w:hAnsi="Times New Roman"/>
          <w:sz w:val="22"/>
          <w:szCs w:val="22"/>
          <w:color w:val="auto"/>
        </w:rPr>
        <w:t xml:space="preserve">” means any Subsidiary of the Company designated by the Company as an Unrestricted Subsidiary in accordance with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 xml:space="preserve"> (until such time, if ever, that such Subsidiary is re-designated as a Restricted Subsidiary in accordance with </w:t>
      </w:r>
      <w:r>
        <w:rPr>
          <w:rFonts w:ascii="Times New Roman" w:cs="Times New Roman" w:eastAsia="Times New Roman" w:hAnsi="Times New Roman"/>
          <w:sz w:val="22"/>
          <w:szCs w:val="22"/>
          <w:u w:val="single" w:color="auto"/>
          <w:color w:val="auto"/>
        </w:rPr>
        <w:t>Section 2.14(b)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Loan Party be an Unrestricted Subsidiary.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Borrower</w:t>
      </w:r>
      <w:r>
        <w:rPr>
          <w:rFonts w:ascii="Times New Roman" w:cs="Times New Roman" w:eastAsia="Times New Roman" w:hAnsi="Times New Roman"/>
          <w:sz w:val="22"/>
          <w:szCs w:val="22"/>
          <w:color w:val="auto"/>
        </w:rPr>
        <w:t>” means a Borrower that is a U.S. Person.</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“United States Person” as defined in Section 7701(a)(30)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10.23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Swing Line Lender</w:t>
      </w:r>
      <w:r>
        <w:rPr>
          <w:rFonts w:ascii="Times New Roman" w:cs="Times New Roman" w:eastAsia="Times New Roman" w:hAnsi="Times New Roman"/>
          <w:sz w:val="22"/>
          <w:szCs w:val="22"/>
          <w:color w:val="auto"/>
        </w:rPr>
        <w:t>” means Bank of America, or one or more other branches or Affiliates of Bank of America, in its capacity as provider of Swing Line Loans denominated in U.S. Dollars, or any successor swing line lender hereunder or any successor swing line lender of Swing Line Loans denominated in U.S. Dollars hereunder.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3.01(e)(ii)(B)(3)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Term Borrowing</w:t>
      </w:r>
      <w:r>
        <w:rPr>
          <w:rFonts w:ascii="Times New Roman" w:cs="Times New Roman" w:eastAsia="Times New Roman" w:hAnsi="Times New Roman"/>
          <w:sz w:val="21"/>
          <w:szCs w:val="21"/>
          <w:color w:val="auto"/>
        </w:rPr>
        <w:t xml:space="preserve">” means a borrowing consisting of simultaneous U.S. Term Loans of the same Type and, in the case of Term SOFR Loans, having the same Interest Period made by each of the U.S. Term Lenders pursuant to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Term Commitment</w:t>
      </w:r>
      <w:r>
        <w:rPr>
          <w:rFonts w:ascii="Times New Roman" w:cs="Times New Roman" w:eastAsia="Times New Roman" w:hAnsi="Times New Roman"/>
          <w:sz w:val="22"/>
          <w:szCs w:val="22"/>
          <w:color w:val="auto"/>
        </w:rPr>
        <w:t xml:space="preserve">” means, as to each U.S. Term Lender, its obligation to make U.S. Term Loans to the Company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in an aggregate principal amount at any one time outstanding not to exceed the amount set forth opposite such U.S. Term Lender’s name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under the caption “U.S. Term Commitment” or opposite such caption in the Assignment and Assumption pursuant to which such U.S. Term Lender becomes a party hereto, as applicable, as such amount may be adjusted from time to time in accordance with this Agreement. </w:t>
      </w:r>
      <w:r>
        <w:rPr>
          <w:rFonts w:ascii="Times New Roman" w:cs="Times New Roman" w:eastAsia="Times New Roman" w:hAnsi="Times New Roman"/>
          <w:sz w:val="19"/>
          <w:szCs w:val="19"/>
          <w:color w:val="auto"/>
        </w:rPr>
        <w:t>As of the Amendment No. 5 Effective Date,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aggregate principal amount of U.S. Term Commitments is $0.</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Term Facility</w:t>
      </w:r>
      <w:r>
        <w:rPr>
          <w:rFonts w:ascii="Times New Roman" w:cs="Times New Roman" w:eastAsia="Times New Roman" w:hAnsi="Times New Roman"/>
          <w:sz w:val="22"/>
          <w:szCs w:val="22"/>
          <w:color w:val="auto"/>
        </w:rPr>
        <w:t>” means, at any time, (a) on or prior to the Amendment No. 4 Effective Date, the aggregate amount of the U.S. Term Commitments at such time and (b) thereafter, the aggregate principal amount of the U.S. Term Loans of all U.S. Term Lenders outstanding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21" w:right="339" w:bottom="1440" w:gutter="0" w:footer="0" w:header="0"/>
        </w:sectPr>
      </w:pPr>
    </w:p>
    <w:bookmarkStart w:id="143" w:name="page144"/>
    <w:bookmarkEnd w:id="143"/>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Term Lender</w:t>
      </w:r>
      <w:r>
        <w:rPr>
          <w:rFonts w:ascii="Times New Roman" w:cs="Times New Roman" w:eastAsia="Times New Roman" w:hAnsi="Times New Roman"/>
          <w:sz w:val="22"/>
          <w:szCs w:val="22"/>
          <w:color w:val="auto"/>
        </w:rPr>
        <w:t>” means (a) at any time on or prior to the Amendment No. 4 Effective Date, any Lender that has a U.S. Term Commitment at such time and (b) at any time after the Amendment No. 4 Effective Date, any Lender that holds U.S. Term Loans at such time.</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Term Loan</w:t>
      </w:r>
      <w:r>
        <w:rPr>
          <w:rFonts w:ascii="Times New Roman" w:cs="Times New Roman" w:eastAsia="Times New Roman" w:hAnsi="Times New Roman"/>
          <w:sz w:val="22"/>
          <w:szCs w:val="22"/>
          <w:color w:val="auto"/>
        </w:rPr>
        <w:t>” means an advance made by any U.S. Term Lender under the U.S. Term Facility. As of the Amendment No. 5 Effective Date, the aggregate principal amount of U.S. Term Loans is $0.</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Term Note</w:t>
      </w:r>
      <w:r>
        <w:rPr>
          <w:rFonts w:ascii="Times New Roman" w:cs="Times New Roman" w:eastAsia="Times New Roman" w:hAnsi="Times New Roman"/>
          <w:sz w:val="22"/>
          <w:szCs w:val="22"/>
          <w:color w:val="auto"/>
        </w:rPr>
        <w:t xml:space="preserve">” means a promissory note made by the Company in favor of a U.S. Term Lender evidencing U.S. Term Loans made by such U.S. Term Lender, substantially in the form of </w:t>
      </w: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Yen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lawful currency of Japan.</w:t>
      </w:r>
    </w:p>
    <w:p>
      <w:pPr>
        <w:spacing w:after="0" w:line="22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Other Interpretive Provisions</w:t>
      </w:r>
      <w:r>
        <w:rPr>
          <w:rFonts w:ascii="Times New Roman" w:cs="Times New Roman" w:eastAsia="Times New Roman" w:hAnsi="Times New Roman"/>
          <w:sz w:val="19"/>
          <w:szCs w:val="19"/>
          <w:color w:val="auto"/>
        </w:rPr>
        <w:t>. With reference to this Agreement and each other Loan Document, unless otherwise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specified herein or in such other Loan Document:</w:t>
      </w:r>
    </w:p>
    <w:p>
      <w:pPr>
        <w:spacing w:after="0" w:line="1" w:lineRule="exact"/>
        <w:rPr>
          <w:sz w:val="20"/>
          <w:szCs w:val="20"/>
          <w:color w:val="auto"/>
        </w:rPr>
      </w:pPr>
    </w:p>
    <w:p>
      <w:pPr>
        <w:ind w:left="1300" w:hanging="644"/>
        <w:spacing w:after="0"/>
        <w:tabs>
          <w:tab w:leader="none" w:pos="13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3" w:lineRule="exact"/>
        <w:rPr>
          <w:rFonts w:ascii="Times New Roman" w:cs="Times New Roman" w:eastAsia="Times New Roman" w:hAnsi="Times New Roman"/>
          <w:sz w:val="22"/>
          <w:szCs w:val="22"/>
          <w:color w:val="auto"/>
        </w:rPr>
      </w:pPr>
    </w:p>
    <w:p>
      <w:pPr>
        <w:jc w:val="both"/>
        <w:ind w:firstLine="656"/>
        <w:spacing w:after="0" w:line="260" w:lineRule="auto"/>
        <w:tabs>
          <w:tab w:leader="none" w:pos="1291"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36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21" w:right="339" w:bottom="1440" w:gutter="0" w:footer="0" w:header="0"/>
        </w:sectPr>
      </w:pPr>
    </w:p>
    <w:bookmarkStart w:id="144" w:name="page145"/>
    <w:bookmarkEnd w:id="144"/>
    <w:p>
      <w:pPr>
        <w:jc w:val="both"/>
        <w:spacing w:after="0" w:line="253" w:lineRule="auto"/>
        <w:rPr>
          <w:sz w:val="20"/>
          <w:szCs w:val="20"/>
          <w:color w:val="auto"/>
        </w:rPr>
      </w:pPr>
      <w:r>
        <w:rPr>
          <w:rFonts w:ascii="Times New Roman" w:cs="Times New Roman" w:eastAsia="Times New Roman" w:hAnsi="Times New Roman"/>
          <w:sz w:val="22"/>
          <w:szCs w:val="22"/>
          <w:color w:val="auto"/>
        </w:rPr>
        <w:t>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22"/>
          <w:szCs w:val="22"/>
          <w:u w:val="single" w:color="auto"/>
          <w:color w:val="auto"/>
        </w:rPr>
        <w:t>asset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shall be construed to have the same meaning and effect and to refer to any and all tangible and intangible assets and properties, including cash, securities, accounts and contract rights.</w:t>
      </w:r>
    </w:p>
    <w:p>
      <w:pPr>
        <w:spacing w:after="0" w:line="179" w:lineRule="exact"/>
        <w:rPr>
          <w:sz w:val="20"/>
          <w:szCs w:val="20"/>
          <w:color w:val="auto"/>
        </w:rPr>
      </w:pPr>
    </w:p>
    <w:p>
      <w:pPr>
        <w:ind w:firstLine="656"/>
        <w:spacing w:after="0" w:line="295" w:lineRule="auto"/>
        <w:tabs>
          <w:tab w:leader="none" w:pos="129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computation of periods of time from a specified date to a later specified date, the word “</w:t>
      </w:r>
      <w:r>
        <w:rPr>
          <w:rFonts w:ascii="Times New Roman" w:cs="Times New Roman" w:eastAsia="Times New Roman" w:hAnsi="Times New Roman"/>
          <w:sz w:val="21"/>
          <w:szCs w:val="21"/>
          <w:u w:val="single" w:color="auto"/>
          <w:color w:val="auto"/>
        </w:rPr>
        <w:t>from</w:t>
      </w:r>
      <w:r>
        <w:rPr>
          <w:rFonts w:ascii="Times New Roman" w:cs="Times New Roman" w:eastAsia="Times New Roman" w:hAnsi="Times New Roman"/>
          <w:sz w:val="21"/>
          <w:szCs w:val="21"/>
          <w:color w:val="auto"/>
        </w:rPr>
        <w:t>” means “</w:t>
      </w:r>
      <w:r>
        <w:rPr>
          <w:rFonts w:ascii="Times New Roman" w:cs="Times New Roman" w:eastAsia="Times New Roman" w:hAnsi="Times New Roman"/>
          <w:sz w:val="21"/>
          <w:szCs w:val="21"/>
          <w:u w:val="single" w:color="auto"/>
          <w:color w:val="auto"/>
        </w:rPr>
        <w:t>from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and including</w:t>
      </w:r>
      <w:r>
        <w:rPr>
          <w:rFonts w:ascii="Times New Roman" w:cs="Times New Roman" w:eastAsia="Times New Roman" w:hAnsi="Times New Roman"/>
          <w:sz w:val="21"/>
          <w:szCs w:val="21"/>
          <w:color w:val="auto"/>
        </w:rPr>
        <w:t>;” the words “</w:t>
      </w:r>
      <w:r>
        <w:rPr>
          <w:rFonts w:ascii="Times New Roman" w:cs="Times New Roman" w:eastAsia="Times New Roman" w:hAnsi="Times New Roman"/>
          <w:sz w:val="21"/>
          <w:szCs w:val="21"/>
          <w:u w:val="single" w:color="auto"/>
          <w:color w:val="auto"/>
        </w:rPr>
        <w:t>to</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until</w:t>
      </w:r>
      <w:r>
        <w:rPr>
          <w:rFonts w:ascii="Times New Roman" w:cs="Times New Roman" w:eastAsia="Times New Roman" w:hAnsi="Times New Roman"/>
          <w:sz w:val="21"/>
          <w:szCs w:val="21"/>
          <w:color w:val="auto"/>
        </w:rPr>
        <w:t>” each mean “</w:t>
      </w:r>
      <w:r>
        <w:rPr>
          <w:rFonts w:ascii="Times New Roman" w:cs="Times New Roman" w:eastAsia="Times New Roman" w:hAnsi="Times New Roman"/>
          <w:sz w:val="21"/>
          <w:szCs w:val="21"/>
          <w:u w:val="single" w:color="auto"/>
          <w:color w:val="auto"/>
        </w:rPr>
        <w:t>to but excluding</w:t>
      </w:r>
      <w:r>
        <w:rPr>
          <w:rFonts w:ascii="Times New Roman" w:cs="Times New Roman" w:eastAsia="Times New Roman" w:hAnsi="Times New Roman"/>
          <w:sz w:val="21"/>
          <w:szCs w:val="21"/>
          <w:color w:val="auto"/>
        </w:rPr>
        <w:t>;” and the word “</w:t>
      </w:r>
      <w:r>
        <w:rPr>
          <w:rFonts w:ascii="Times New Roman" w:cs="Times New Roman" w:eastAsia="Times New Roman" w:hAnsi="Times New Roman"/>
          <w:sz w:val="21"/>
          <w:szCs w:val="21"/>
          <w:u w:val="single" w:color="auto"/>
          <w:color w:val="auto"/>
        </w:rPr>
        <w:t>through</w:t>
      </w:r>
      <w:r>
        <w:rPr>
          <w:rFonts w:ascii="Times New Roman" w:cs="Times New Roman" w:eastAsia="Times New Roman" w:hAnsi="Times New Roman"/>
          <w:sz w:val="21"/>
          <w:szCs w:val="21"/>
          <w:color w:val="auto"/>
        </w:rPr>
        <w:t>” means “</w:t>
      </w:r>
      <w:r>
        <w:rPr>
          <w:rFonts w:ascii="Times New Roman" w:cs="Times New Roman" w:eastAsia="Times New Roman" w:hAnsi="Times New Roman"/>
          <w:sz w:val="21"/>
          <w:szCs w:val="21"/>
          <w:u w:val="single" w:color="auto"/>
          <w:color w:val="auto"/>
        </w:rPr>
        <w:t>to and including</w:t>
      </w:r>
      <w:r>
        <w:rPr>
          <w:rFonts w:ascii="Times New Roman" w:cs="Times New Roman" w:eastAsia="Times New Roman" w:hAnsi="Times New Roman"/>
          <w:sz w:val="21"/>
          <w:szCs w:val="21"/>
          <w:color w:val="auto"/>
        </w:rPr>
        <w:t>.”</w:t>
      </w:r>
    </w:p>
    <w:p>
      <w:pPr>
        <w:spacing w:after="0" w:line="135" w:lineRule="exact"/>
        <w:rPr>
          <w:rFonts w:ascii="Times New Roman" w:cs="Times New Roman" w:eastAsia="Times New Roman" w:hAnsi="Times New Roman"/>
          <w:sz w:val="21"/>
          <w:szCs w:val="21"/>
          <w:color w:val="auto"/>
        </w:rPr>
      </w:pPr>
    </w:p>
    <w:p>
      <w:pPr>
        <w:ind w:right="20" w:firstLine="656"/>
        <w:spacing w:after="0" w:line="284" w:lineRule="auto"/>
        <w:tabs>
          <w:tab w:leader="none" w:pos="129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headings herein and in the other Loan Documents are included for convenience of reference only and shall not affect the interpretation of this Agreement or any other Loan Document.</w:t>
      </w:r>
    </w:p>
    <w:p>
      <w:pPr>
        <w:spacing w:after="0" w:line="14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u w:val="single" w:color="auto"/>
          <w:color w:val="auto"/>
        </w:rPr>
        <w:t>Accounting Terms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1" w:lineRule="auto"/>
        <w:tabs>
          <w:tab w:leader="none" w:pos="129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described in clause </w:t>
      </w:r>
      <w:r>
        <w:rPr>
          <w:rFonts w:ascii="Times New Roman" w:cs="Times New Roman" w:eastAsia="Times New Roman" w:hAnsi="Times New Roman"/>
          <w:sz w:val="19"/>
          <w:szCs w:val="19"/>
          <w:color w:val="auto"/>
        </w:rPr>
        <w:t>(a)</w:t>
      </w:r>
      <w:r>
        <w:rPr>
          <w:rFonts w:ascii="Times New Roman" w:cs="Times New Roman" w:eastAsia="Times New Roman" w:hAnsi="Times New Roman"/>
          <w:sz w:val="22"/>
          <w:szCs w:val="22"/>
          <w:color w:val="auto"/>
        </w:rPr>
        <w:t xml:space="preserve"> of such definition,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xml:space="preserve"> as otherwise specifically prescribed herein, including, for the avoidance of doubt,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 xml:space="preserve"> (but subject to clause </w:t>
      </w:r>
      <w:r>
        <w:rPr>
          <w:rFonts w:ascii="Times New Roman" w:cs="Times New Roman" w:eastAsia="Times New Roman" w:hAnsi="Times New Roman"/>
          <w:sz w:val="19"/>
          <w:szCs w:val="19"/>
          <w:color w:val="auto"/>
        </w:rPr>
        <w:t>(ii)</w:t>
      </w:r>
      <w:r>
        <w:rPr>
          <w:rFonts w:ascii="Times New Roman" w:cs="Times New Roman" w:eastAsia="Times New Roman" w:hAnsi="Times New Roman"/>
          <w:sz w:val="22"/>
          <w:szCs w:val="22"/>
          <w:color w:val="auto"/>
        </w:rPr>
        <w:t xml:space="preserve"> below).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w:t>
      </w:r>
    </w:p>
    <w:p>
      <w:pPr>
        <w:spacing w:after="0" w:line="183"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GAAP</w:t>
      </w:r>
      <w:r>
        <w:rPr>
          <w:rFonts w:ascii="Times New Roman" w:cs="Times New Roman" w:eastAsia="Times New Roman" w:hAnsi="Times New Roman"/>
          <w:sz w:val="22"/>
          <w:szCs w:val="22"/>
          <w:color w:val="auto"/>
        </w:rPr>
        <w:t xml:space="preserve">. If at any time any change in GAAP (including the adoption of IFRS) or any change otherwise permitted by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 xml:space="preserve">, would affect the computation of any financial ratio or requirement set forth in any Loan Document, and either the Company or (x) in the case of any financial ratio or requirement applicable only to a financial covenant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(or any defined term used therein) or clause (ii) of the definition of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21" w:right="339" w:bottom="1440" w:gutter="0" w:footer="0" w:header="0"/>
        </w:sectPr>
      </w:pPr>
    </w:p>
    <w:bookmarkStart w:id="145" w:name="page146"/>
    <w:bookmarkEnd w:id="145"/>
    <w:p>
      <w:pPr>
        <w:jc w:val="both"/>
        <w:spacing w:after="0" w:line="248" w:lineRule="auto"/>
        <w:rPr>
          <w:sz w:val="20"/>
          <w:szCs w:val="20"/>
          <w:color w:val="auto"/>
        </w:rPr>
      </w:pPr>
      <w:r>
        <w:rPr>
          <w:rFonts w:ascii="Times New Roman" w:cs="Times New Roman" w:eastAsia="Times New Roman" w:hAnsi="Times New Roman"/>
          <w:sz w:val="22"/>
          <w:szCs w:val="22"/>
          <w:color w:val="auto"/>
        </w:rPr>
        <w:t>Rate,” the Required Pro Rata Facilities Lenders and (y) in the case of any other financial ratio or requirement, the Required Lenders shall so request, the Applicable Facility Agent(s), the applicable Lenders and the Company shall negotiate in good faith to amend such ratio or requirement to preserve the original intent thereof in light of such change in GAAP or such other change (subject to the approval of the Required Pro Rata Facilities Lenders or the Required Lenders, as applicable); provided that, until so amended, (A) such ratio or requirement shall continue to be computed in accordance with the accounting treatment prior to such change therein and (B) the Company shall provide to the Administrative Agents and the Lenders financial statements and other documents required under this Agreement or as reasonably requested hereunder setting forth a reconciliation between calculations of such ratio or requirement made before and after giving effect to such change in GAAP or otherwise. Without limiting the foregoing, leases shall continue to be classified and accounted for on a basis consistent with that reflected in the Audited Financial Statements described in clause (a) of such definition for all purposes of this Agreement, notwithstanding any change in GAAP relating thereto, unless the parties hereto shall enter into a mutually acceptable amendment addressing such changes, as provided for above.</w:t>
      </w:r>
    </w:p>
    <w:p>
      <w:pPr>
        <w:spacing w:after="0" w:line="184" w:lineRule="exact"/>
        <w:rPr>
          <w:sz w:val="20"/>
          <w:szCs w:val="20"/>
          <w:color w:val="auto"/>
        </w:rPr>
      </w:pPr>
    </w:p>
    <w:p>
      <w:pPr>
        <w:jc w:val="both"/>
        <w:ind w:firstLine="656"/>
        <w:spacing w:after="0" w:line="256" w:lineRule="auto"/>
        <w:tabs>
          <w:tab w:leader="none" w:pos="129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Consolidation of Variable Interest Entities</w:t>
      </w:r>
      <w:r>
        <w:rPr>
          <w:rFonts w:ascii="Times New Roman" w:cs="Times New Roman" w:eastAsia="Times New Roman" w:hAnsi="Times New Roman"/>
          <w:sz w:val="22"/>
          <w:szCs w:val="22"/>
          <w:color w:val="auto"/>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Forma Calculations; Limited Condition Transactions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4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calculating the Consolidated Interest Coverage Ratio, the Consolidated Net Leverage Ratio, the Consolidated First Lien Net Leverage Ratio and the Consolidated Secured Net Leverage Ratio, Specified Transactions (and the incurrence or repayment of any Indebtedness in connection therewith) that have been made (A) during the period in respect of which such calculations are required to be made or (B) in the case of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calculation required by this Agreement, subsequent to such period and prior to or simultaneously with the event for which the calculation of any such ratio is made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(solely with respect to determining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compliance for such event, and not for other purposes (including pricing)) shall be calculated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assuming that all such Specified Transactions (and any increase or decrease in Consolidated EBITDA and the component financial definitions used in either of the foregoing attributable to any Specified Transaction) had occurred on the first day of the Measurement Period in respect of which such calculations are required to be made. If since the beginning of any applicable Measurement Period any Person that subsequently became a Restricted Subsidiary or was merged, amalgamated or consolidated with or into the Company or any of its Restricted Subsidiaries since the beginning of such Measurement Period shall have made any Specified Transaction that would have required adjustment pursuant to this </w:t>
      </w:r>
      <w:r>
        <w:rPr>
          <w:rFonts w:ascii="Times New Roman" w:cs="Times New Roman" w:eastAsia="Times New Roman" w:hAnsi="Times New Roman"/>
          <w:sz w:val="22"/>
          <w:szCs w:val="22"/>
          <w:u w:val="single" w:color="auto"/>
          <w:color w:val="auto"/>
        </w:rPr>
        <w:t>Section 1.03(d)</w:t>
      </w:r>
      <w:r>
        <w:rPr>
          <w:rFonts w:ascii="Times New Roman" w:cs="Times New Roman" w:eastAsia="Times New Roman" w:hAnsi="Times New Roman"/>
          <w:sz w:val="22"/>
          <w:szCs w:val="22"/>
          <w:color w:val="auto"/>
        </w:rPr>
        <w:t>, then the Consolidated Interest Coverage Ratio, the Consolidated Net Leverage Ratio, the Consolidated First Lien Net 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21" w:right="339" w:bottom="1440" w:gutter="0" w:footer="0" w:header="0"/>
        </w:sectPr>
      </w:pPr>
    </w:p>
    <w:bookmarkStart w:id="146" w:name="page147"/>
    <w:bookmarkEnd w:id="146"/>
    <w:p>
      <w:pPr>
        <w:spacing w:after="0" w:line="275" w:lineRule="auto"/>
        <w:rPr>
          <w:sz w:val="20"/>
          <w:szCs w:val="20"/>
          <w:color w:val="auto"/>
        </w:rPr>
      </w:pPr>
      <w:r>
        <w:rPr>
          <w:rFonts w:ascii="Times New Roman" w:cs="Times New Roman" w:eastAsia="Times New Roman" w:hAnsi="Times New Roman"/>
          <w:sz w:val="22"/>
          <w:szCs w:val="22"/>
          <w:color w:val="auto"/>
        </w:rPr>
        <w:t xml:space="preserve">Ratio and the Consolidated Secured Net Leverage Ratio shall be calculated to give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thereto in accordance with this </w:t>
      </w:r>
      <w:r>
        <w:rPr>
          <w:rFonts w:ascii="Times New Roman" w:cs="Times New Roman" w:eastAsia="Times New Roman" w:hAnsi="Times New Roman"/>
          <w:sz w:val="22"/>
          <w:szCs w:val="22"/>
          <w:u w:val="single" w:color="auto"/>
          <w:color w:val="auto"/>
        </w:rPr>
        <w:t>Section 1.03(d)</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4"/>
        <w:spacing w:after="0" w:line="251" w:lineRule="auto"/>
        <w:tabs>
          <w:tab w:leader="none" w:pos="129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is to be given to a Specified Transaction, the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calculations shall be made in good faith by a Responsible Officer and in a manner reasonably acceptable to (x) in the case of calculations applicable only to a financial covenant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(or any defined term used therein) or clause (ii) of the definition of “Applicable Rate,” the Pro Rata Facilities Administrative Agent and (y) in the case of any other calculation, the Administrative Agents, subject, in the case of any Permitted Acquisition, to the General Administrative Agent’s receipt of (x) the most recent financial statements with respect to the acquired Person or business prepared by such acquired Person or the seller thereof and (y) to the extent available, the most recent audited and interim unaudited financial statements with respect to the acquired Person.</w:t>
      </w:r>
    </w:p>
    <w:p>
      <w:pPr>
        <w:spacing w:after="0" w:line="182" w:lineRule="exact"/>
        <w:rPr>
          <w:rFonts w:ascii="Times New Roman" w:cs="Times New Roman" w:eastAsia="Times New Roman" w:hAnsi="Times New Roman"/>
          <w:sz w:val="22"/>
          <w:szCs w:val="22"/>
          <w:color w:val="auto"/>
        </w:rPr>
      </w:pPr>
    </w:p>
    <w:p>
      <w:pPr>
        <w:jc w:val="both"/>
        <w:ind w:firstLine="644"/>
        <w:spacing w:after="0" w:line="248" w:lineRule="auto"/>
        <w:tabs>
          <w:tab w:leader="none" w:pos="129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action being taken in connection with a Limited Condition Transaction, for purposes of (i) determining compliance with any provision of this Agreement which requires the calculation of any financial ratio or test, (ii) determining the accuracy of representations and warranties in Article V and/or whether a Default or Event of Default shall have occurred and be continuing under Article VIII (including satisfying conditions dependent on the absence of a breach of a representation, warranty, Default, or Event of Default), (iii) testing availability under baskets set forth in this Agreement (including baskets measured as a percentage of Consolidated EBITDA), or (iv) testing availability of borrowings under the Revolving Credit Facility to finance a Limited Condition Transaction and satisfying any conditions thereto, in each case, at the option of the Company (the Company’s election to exercise such option in connection with any Limited Condition Transaction, an “</w:t>
      </w:r>
      <w:r>
        <w:rPr>
          <w:rFonts w:ascii="Times New Roman" w:cs="Times New Roman" w:eastAsia="Times New Roman" w:hAnsi="Times New Roman"/>
          <w:sz w:val="22"/>
          <w:szCs w:val="22"/>
          <w:u w:val="single" w:color="auto"/>
          <w:color w:val="auto"/>
        </w:rPr>
        <w:t>LCT Election</w:t>
      </w:r>
      <w:r>
        <w:rPr>
          <w:rFonts w:ascii="Times New Roman" w:cs="Times New Roman" w:eastAsia="Times New Roman" w:hAnsi="Times New Roman"/>
          <w:sz w:val="22"/>
          <w:szCs w:val="22"/>
          <w:color w:val="auto"/>
        </w:rPr>
        <w:t>”), the date of determination of whether any such action is permitted hereunder (each such date described in clauses (A), (B) and (C) below, an “</w:t>
      </w:r>
      <w:r>
        <w:rPr>
          <w:rFonts w:ascii="Times New Roman" w:cs="Times New Roman" w:eastAsia="Times New Roman" w:hAnsi="Times New Roman"/>
          <w:sz w:val="22"/>
          <w:szCs w:val="22"/>
          <w:u w:val="single" w:color="auto"/>
          <w:color w:val="auto"/>
        </w:rPr>
        <w:t>LCT Test Date</w:t>
      </w:r>
      <w:r>
        <w:rPr>
          <w:rFonts w:ascii="Times New Roman" w:cs="Times New Roman" w:eastAsia="Times New Roman" w:hAnsi="Times New Roman"/>
          <w:sz w:val="22"/>
          <w:szCs w:val="22"/>
          <w:color w:val="auto"/>
        </w:rPr>
        <w:t>”) shall be deemed, in each case, to be at the option of the Company</w:t>
      </w:r>
    </w:p>
    <w:p>
      <w:pPr>
        <w:spacing w:after="0" w:line="188" w:lineRule="exact"/>
        <w:rPr>
          <w:rFonts w:ascii="Times New Roman" w:cs="Times New Roman" w:eastAsia="Times New Roman" w:hAnsi="Times New Roman"/>
          <w:sz w:val="22"/>
          <w:szCs w:val="22"/>
          <w:color w:val="auto"/>
        </w:rPr>
      </w:pPr>
    </w:p>
    <w:p>
      <w:pPr>
        <w:jc w:val="both"/>
        <w:ind w:left="640" w:firstLine="652"/>
        <w:spacing w:after="0" w:line="250" w:lineRule="auto"/>
        <w:tabs>
          <w:tab w:leader="none" w:pos="1925"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acquisition, Investment or other similar Limited Condition Transaction (including with respect to any Indebtedness contemplated or incurred in connection therewith) (other than as described in clauses (B) or (C) below) (i) the date the definitive agreement for such transaction is entered into (or the date of the effectiveness of any documentation or agreement with a substantially similar effect as a binding acquisition agreement), (ii) at the time that binding commitments to provide any Indebtedness contemplated or incurred in connection therewith are provided or at the time such Indebtedness is incurred or (iii) at the time of the consummation of the relevant transaction,</w:t>
      </w:r>
    </w:p>
    <w:p>
      <w:pPr>
        <w:spacing w:after="0" w:line="180" w:lineRule="exact"/>
        <w:rPr>
          <w:rFonts w:ascii="Times New Roman" w:cs="Times New Roman" w:eastAsia="Times New Roman" w:hAnsi="Times New Roman"/>
          <w:sz w:val="22"/>
          <w:szCs w:val="22"/>
          <w:color w:val="auto"/>
        </w:rPr>
      </w:pPr>
    </w:p>
    <w:p>
      <w:pPr>
        <w:jc w:val="both"/>
        <w:ind w:left="640" w:firstLine="652"/>
        <w:spacing w:after="0" w:line="263" w:lineRule="auto"/>
        <w:tabs>
          <w:tab w:leader="none" w:pos="1927"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irrevocable Restricted Payment or similar Limited Condition Transaction (including with respect to any Indebtedness contemplated or incurred in connection therewith), (i) at the time such Restricted Payment or similar Limited Condition Transaction is declared, (ii) at the time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0580"/>
          </w:cols>
          <w:pgMar w:left="980" w:top="1417" w:right="339" w:bottom="1440" w:gutter="0" w:footer="0" w:header="0"/>
        </w:sectPr>
      </w:pPr>
    </w:p>
    <w:bookmarkStart w:id="147" w:name="page148"/>
    <w:bookmarkEnd w:id="147"/>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binding commitments to provide any Indebtedness contemplated or incurred in connection therewith are provided or at the time such Indebtedness is incurred or (iii) at the time of the making of such Restricted Payment or Limited Condition Transaction, and/or</w:t>
      </w:r>
    </w:p>
    <w:p>
      <w:pPr>
        <w:spacing w:after="0" w:line="186" w:lineRule="exact"/>
        <w:rPr>
          <w:sz w:val="20"/>
          <w:szCs w:val="20"/>
          <w:color w:val="auto"/>
        </w:rPr>
      </w:pPr>
    </w:p>
    <w:p>
      <w:pPr>
        <w:jc w:val="both"/>
        <w:ind w:left="640" w:firstLine="652"/>
        <w:spacing w:after="0" w:line="265" w:lineRule="auto"/>
        <w:tabs>
          <w:tab w:leader="none" w:pos="1927"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irrevocable redemption, repurchase, defeasance, satisfaction or repayment of Indebtedness or similar Limited Condition Transaction (including with respect to any Indebtedness contemplated or incurred in connection therewith) (i) at the time of delivery of notice with respect to such repurchase, repayment or similar Limited Condition Transaction, (ii) at the time that binding commitments to provide any Indebtedness contemplated or incurred in connection therewith are provided or at the time such Indebtedness is incurred or (iii) at the time of the making of such repurchase, repayment or Limited Condition Transaction, and</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in each case, if, after giving pro forma effect to the Limited Condition Transaction as if such Limited Condition Transaction occurred at the beginning of the most recent Measurement Period ending prior to the LCT Test Date, the Company or any of its Restricted Subsidiaries could have been permitted to take such action on the relevant LCT Test Date in compliance with such ratio, representation, warranty, absence of Defaults or Events of Default, test or basket, such ratio, representation, warranty, absence of Defaults or Events of Default, test or basket shall be deemed to have been complied with. For the avoidance of doubt, if the Company has made an LCT Election and, following the LCT Test Date, any of the ratios, tests or baskets for which compliance was determined or tested as of the LCT Test Date could have failed to have been satisfied as a result of fluctuations in any such ratio, test or basket, including due to fluctuations in Consolidated EBITDA, following the LCT Test Date but at or prior to (y) the consummation of the relevant Limited Condition Transaction or (z) the date that the definitive agreement for such Limited Condition Transaction terminates or expires without consummation of the Limited Condition Transaction, in each case, such baskets, tests or ratios will not be deemed to have failed to have been satisfied as a result of such fluctuations. If the Company has made an LCT Election for any Limited Condition Transaction, then in connection with any event or transaction occurring after the relevant LCT Test Date and prior to the earlier of the date on which such Limited Condition Transaction is consummated or the date that the definitive agreement or date for redemption, repurchase, defeasance, satisfaction and discharge, repayment or consummation of such Limited Condition Transaction specified in an irrevocable notice for such Limited Condition Transaction is terminated or expires, as applicable, without consummation of such Limited Condition Transaction (a “</w:t>
      </w:r>
      <w:r>
        <w:rPr>
          <w:rFonts w:ascii="Times New Roman" w:cs="Times New Roman" w:eastAsia="Times New Roman" w:hAnsi="Times New Roman"/>
          <w:sz w:val="21"/>
          <w:szCs w:val="21"/>
          <w:u w:val="single" w:color="auto"/>
          <w:color w:val="auto"/>
        </w:rPr>
        <w:t>Subsequent Transaction</w:t>
      </w:r>
      <w:r>
        <w:rPr>
          <w:rFonts w:ascii="Times New Roman" w:cs="Times New Roman" w:eastAsia="Times New Roman" w:hAnsi="Times New Roman"/>
          <w:sz w:val="21"/>
          <w:szCs w:val="21"/>
          <w:color w:val="auto"/>
        </w:rPr>
        <w:t>”) in connection with which a ratio, test or basket availability calculation must be made on a pro forma basis or giving pro forma effect to such Subsequent Transaction, for purposes of determining whether such ratio, test or basket availability has been complied with under this Agreement, any such ratio, test or basket shall be required to be satisfied on a pro forma basis assuming such Limited Condition Transaction and other transactions in connection therewith have been consummated until such time as the applicable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0580"/>
          </w:cols>
          <w:pgMar w:left="980" w:top="1421" w:right="3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22"/>
          <w:szCs w:val="22"/>
          <w:color w:val="auto"/>
        </w:rPr>
        <w:t>Condition Transaction has actually closed or the definitive agreement with respect thereto has been terminated.</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Rounding</w:t>
      </w:r>
      <w:r>
        <w:rPr>
          <w:rFonts w:ascii="Times New Roman" w:cs="Times New Roman" w:eastAsia="Times New Roman" w:hAnsi="Times New Roman"/>
          <w:sz w:val="19"/>
          <w:szCs w:val="19"/>
          <w:color w:val="auto"/>
        </w:rPr>
        <w:t>. Any financial ratios required to be maintained by the Company pursuant to this Agreement shall be calculated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Exchange Rates; Currency Equivalents</w:t>
      </w:r>
      <w:r>
        <w:rPr>
          <w:rFonts w:ascii="Times New Roman" w:cs="Times New Roman" w:eastAsia="Times New Roman" w:hAnsi="Times New Roman"/>
          <w:sz w:val="19"/>
          <w:szCs w:val="19"/>
          <w:color w:val="auto"/>
        </w:rPr>
        <w:t>. (a) The Applicable Facility Agent shall determine the Dollar Equivalent amounts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 Credit Extensions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calculating financial covenants hereunder or with respect to amounts under the Euro Term Loan, or except as otherwise provided herein, the applicable amount of any currency (other than Dollars) for purposes of the Loan Documents shall be such Dollar Equivalent amount as so determined by the Applicable Facility Agent.</w:t>
      </w:r>
    </w:p>
    <w:p>
      <w:pPr>
        <w:spacing w:after="0" w:line="1" w:lineRule="exact"/>
        <w:rPr>
          <w:sz w:val="20"/>
          <w:szCs w:val="20"/>
          <w:color w:val="auto"/>
        </w:rPr>
      </w:pPr>
    </w:p>
    <w:p>
      <w:pPr>
        <w:jc w:val="both"/>
        <w:ind w:firstLine="656"/>
        <w:spacing w:after="0" w:line="248" w:lineRule="auto"/>
        <w:tabs>
          <w:tab w:leader="none" w:pos="129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in this Agreement in connection with a Borrowing, conversion, continuation or prepayment of an Alternative Currency Loan or Euro Swing Line Rate Loan, an amount, such as a required minimum or multiple amount, is expressed in Dollars, but such Borrowing or Loan is denominated in an Alternative Currency, such amount shall be the relevant Alternative Currency Equivalent of such Dollar amount (rounded to the nearest unit of such Alternative Currency, with 0.5 of a unit being rounded upward), as determined by the Applicable Facility Agent.</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Additional Alternative Currencies</w:t>
      </w:r>
      <w:r>
        <w:rPr>
          <w:rFonts w:ascii="Times New Roman" w:cs="Times New Roman" w:eastAsia="Times New Roman" w:hAnsi="Times New Roman"/>
          <w:sz w:val="19"/>
          <w:szCs w:val="19"/>
          <w:color w:val="auto"/>
        </w:rPr>
        <w:t>. (a) The Company may from time to time request that Revolving Credit Loans be made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as Alternative Currency Loans in a currency other than those specifically listed in the definition of “Alternative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requested currency is an Eligible Currency. Any such request shall be subject to the approval of the Pro Rata Facilities Administrative Agent and the Revolving Credit Lenders.</w:t>
      </w:r>
    </w:p>
    <w:p>
      <w:pPr>
        <w:ind w:left="1300" w:hanging="644"/>
        <w:spacing w:after="0"/>
        <w:tabs>
          <w:tab w:leader="none" w:pos="130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request shall be made to the Pro Rata Facilities Administrative Agent not later than 11:00 a.m., twenty</w:t>
      </w:r>
    </w:p>
    <w:p>
      <w:pPr>
        <w:spacing w:after="0" w:line="21" w:lineRule="exact"/>
        <w:rPr>
          <w:rFonts w:ascii="Times New Roman" w:cs="Times New Roman" w:eastAsia="Times New Roman" w:hAnsi="Times New Roman"/>
          <w:sz w:val="22"/>
          <w:szCs w:val="22"/>
          <w:color w:val="auto"/>
        </w:rPr>
      </w:pPr>
    </w:p>
    <w:p>
      <w:pPr>
        <w:jc w:val="both"/>
        <w:ind w:firstLine="8"/>
        <w:spacing w:after="0" w:line="262" w:lineRule="auto"/>
        <w:tabs>
          <w:tab w:leader="none" w:pos="418"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prior to the date of the desired Revolving Credit Borrowing in such proposed currency (or such other time or date as may be agreed by the Pro Rata Facilities Administrative Agent, in its sole discretion). The Pro Rata Facilities Administrative Agent shall promptly notify each Revolving Credit Lender thereof. Each Revolving Credit Lender shall notify the Administrative Agent, not later than 11:00 a.m., ten (10) Business Days after receipt of such request whether it consents, in its sole discretion, to the making of Alternative Currency Loans under the Revolving Credit Facility in such requested currency.</w:t>
      </w:r>
    </w:p>
    <w:p>
      <w:pPr>
        <w:spacing w:after="0" w:line="169" w:lineRule="exact"/>
        <w:rPr>
          <w:rFonts w:ascii="Times New Roman" w:cs="Times New Roman" w:eastAsia="Times New Roman" w:hAnsi="Times New Roman"/>
          <w:sz w:val="21"/>
          <w:szCs w:val="21"/>
          <w:color w:val="auto"/>
        </w:rPr>
      </w:pPr>
    </w:p>
    <w:p>
      <w:pPr>
        <w:jc w:val="both"/>
        <w:ind w:firstLine="656"/>
        <w:spacing w:after="0" w:line="253" w:lineRule="auto"/>
        <w:tabs>
          <w:tab w:leader="none" w:pos="1291"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a Revolving Credit Lender to respond to such request within the time period specified in the preceding sentence shall be deemed to be a refusal by such Revolving Credit Lender to permit Alternative Currency Loans to be made under the Revolving Credit Facility in such requested currency. If the Pro Rata Facilities Administrative Agent and all the Revolving Credit Lenders consent to making Alternative Currency Loans under the Revolving Credit Facility in such requested currency and the Pro Rata Facilities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21" w:right="339" w:bottom="1440" w:gutter="0" w:footer="0" w:header="0"/>
        </w:sectPr>
      </w:pPr>
    </w:p>
    <w:bookmarkStart w:id="149" w:name="page150"/>
    <w:bookmarkEnd w:id="149"/>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Agent and such Revolving Credit Lenders reasonably determine that an appropriate interest rate is available to be used for such requested currency, the Pro Rata Facilities Administrative Agent shall so notify the Company and (i) the Pro Rata Facilities Administrative Agent and such Revolving Credit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Revolving Credit Borrowings of Alternative Currency Loans. If any Revolving Credit Lender shall fail to consent to any request for an additional currency under this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the Pro Rata Facilities Administrative Agent shall promptly so notify the Company.</w:t>
      </w:r>
    </w:p>
    <w:p>
      <w:pPr>
        <w:spacing w:after="0" w:line="18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Change of Currency</w:t>
      </w:r>
      <w:r>
        <w:rPr>
          <w:rFonts w:ascii="Times New Roman" w:cs="Times New Roman" w:eastAsia="Times New Roman" w:hAnsi="Times New Roman"/>
          <w:sz w:val="19"/>
          <w:szCs w:val="19"/>
          <w:color w:val="auto"/>
        </w:rPr>
        <w:t>. (a) Each obligation of the Borrowers to make a payment denominated in the national currency unit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any member state of the European Union that adopts the Euro as its lawful currency after the Amendment No. 4 Effective Date shall be redenominated into Euro at the time of such adoption. If, in relation to the currency of any such member state, the basis of accrual of interest expressed in this 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Revolving Credit Borrowing in the currency of such member state is outstanding immediately prior to such date, such replacement shall take effect, with respect to such Revolving Credit Borrowing, at the end of the then current Interest Period.</w:t>
      </w:r>
    </w:p>
    <w:p>
      <w:pPr>
        <w:spacing w:after="0" w:line="6" w:lineRule="exact"/>
        <w:rPr>
          <w:sz w:val="20"/>
          <w:szCs w:val="20"/>
          <w:color w:val="auto"/>
        </w:rPr>
      </w:pPr>
    </w:p>
    <w:p>
      <w:pPr>
        <w:jc w:val="both"/>
        <w:ind w:firstLine="656"/>
        <w:spacing w:after="0" w:line="254" w:lineRule="auto"/>
        <w:tabs>
          <w:tab w:leader="none" w:pos="129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provision of this Agreement shall be subject to such reasonable changes of construction as the Pro Rata Facilities Administrative Agent may from time to time specify to be appropriate to reflect the adoption of the Euro by any member state of the European Union and any relevant market conventions or practices relating to the Euro.</w:t>
      </w:r>
    </w:p>
    <w:p>
      <w:pPr>
        <w:spacing w:after="0" w:line="175"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provision of this Agreement also shall be subject to such reasonable changes of construction as the Administrative Agents may from time to time specify to be appropriate to reflect a change in currency of any other country and any relevant market conventions or practices relating to the change in currency.</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Times of Day</w:t>
      </w:r>
      <w:r>
        <w:rPr>
          <w:rFonts w:ascii="Times New Roman" w:cs="Times New Roman" w:eastAsia="Times New Roman" w:hAnsi="Times New Roman"/>
          <w:sz w:val="19"/>
          <w:szCs w:val="19"/>
          <w:color w:val="auto"/>
        </w:rPr>
        <w:t>. Unless otherwise specified, all references herein to times of day shall be references to Eastern time (daylight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or standard, as applicable).</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u w:val="single" w:color="auto"/>
          <w:color w:val="auto"/>
        </w:rPr>
        <w:t>Letter of Credit Amounts</w:t>
      </w:r>
      <w:r>
        <w:rPr>
          <w:rFonts w:ascii="Times New Roman" w:cs="Times New Roman" w:eastAsia="Times New Roman" w:hAnsi="Times New Roman"/>
          <w:sz w:val="19"/>
          <w:szCs w:val="19"/>
          <w:color w:val="auto"/>
        </w:rPr>
        <w:t>. Unless otherwise specified herein, the amount of a Letter of Credit at any time shall be deemed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to be the Dollar Equivalent of the stated amount of such Letter of Credit in effect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 xml:space="preserve">1.10 </w:t>
      </w:r>
      <w:r>
        <w:rPr>
          <w:rFonts w:ascii="Times New Roman" w:cs="Times New Roman" w:eastAsia="Times New Roman" w:hAnsi="Times New Roman"/>
          <w:sz w:val="22"/>
          <w:szCs w:val="22"/>
          <w:u w:val="single" w:color="auto"/>
          <w:color w:val="auto"/>
        </w:rPr>
        <w:t>Interest Rates</w:t>
      </w:r>
      <w:r>
        <w:rPr>
          <w:rFonts w:ascii="Times New Roman" w:cs="Times New Roman" w:eastAsia="Times New Roman" w:hAnsi="Times New Roman"/>
          <w:sz w:val="19"/>
          <w:szCs w:val="19"/>
          <w:color w:val="auto"/>
        </w:rPr>
        <w:t>. The Administrative Agents do not warrant, nor accept responsibility, nor shall the Administrative Agents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have any liability with respect to the administration, submission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49" w:lineRule="auto"/>
        <w:rPr>
          <w:sz w:val="20"/>
          <w:szCs w:val="20"/>
          <w:color w:val="auto"/>
        </w:rPr>
      </w:pPr>
      <w:r>
        <w:rPr>
          <w:rFonts w:ascii="Times New Roman" w:cs="Times New Roman" w:eastAsia="Times New Roman" w:hAnsi="Times New Roman"/>
          <w:sz w:val="20"/>
          <w:szCs w:val="20"/>
          <w:color w:val="auto"/>
        </w:rPr>
        <w:t>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Agents and their respective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Company. The Administrative Agents may select information sources or services in their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19"/>
          <w:szCs w:val="19"/>
          <w:color w:val="auto"/>
        </w:rPr>
        <w:t>. For all purposes under the Loan Documents, in connection with any division or plan of division under Delaware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law (or any comparable event under a different jurisdiction’s laws): (a)if any asset, right, obligation or liability of any Person becomes the asset, right, obligation or liability of a different Person, then it shall be deemed to have been transferred from the original Person to the subsequent Person, and (b)if any new Person comes into existence, such new Person shall be deemed to have been organized and acquired on the first date of its existence by the holders of its Equity Interests at such time.</w:t>
      </w:r>
    </w:p>
    <w:p>
      <w:pPr>
        <w:spacing w:after="0" w:line="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Administrative Agents</w:t>
      </w:r>
      <w:r>
        <w:rPr>
          <w:rFonts w:ascii="Times New Roman" w:cs="Times New Roman" w:eastAsia="Times New Roman" w:hAnsi="Times New Roman"/>
          <w:sz w:val="19"/>
          <w:szCs w:val="19"/>
          <w:color w:val="auto"/>
        </w:rPr>
        <w:t>. For the avoidance of doubt, (a) all references to the Administrative Agent herein and in the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Loan Documents shall be construed to refer to Bank of America in its capacity as (i) the General Administrative Agent and (ii) the collateral agent in regard to matters relating to the Facilities, (b) all references to the Pro Rata Facilities Administrative Agent shall be construed to refer to Bank of America in its capacity as Pro Rata Facilities Agent in regard to matters relating to the Pro Rata Facilities, (c) all references to the Term Loan B Administrative Agent shall be construed to refer to JPM in its capacity as Term Loan B Administrative Agent in regard to matters relating to the Term B Facility, (d) all references to the Applicable Facility Agent shall be construed to refer to, with respect to the Term B Facility, the Term Loan B Administrative Agent and, with respect to the Pro Rata Facilities, the Pro Rata Facilities Administrative Agent and (e) all references to the Administrative Agents shall be construed to refer to the General Administrative Agent, the Term Loan B Administrative Agent and the Pro Rata Facilities Administrative Agent. In the event that all loans and commitments under the Pro Rata Facilities have been repaid in full and terminated, all references to the Administrative Agent, the General Administrative Agent, the collateral agent and the Applicable Facility Agent shall be construed to refer to the Term Loan B Administrative Agent. In the event that the Term B Facility has been repaid in full, all references to the Applicable Facility Agent shall refer to the Pro Rata Facilities Administrative Agent. The Term Loan B Administrative Agent shall retain all power, authority and discretion with regard to the Term B Facility and the Pro Rata Facilities Administrative Agent shall retain all power, authority and discretion with regard to the Pro Rata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13" w:right="339" w:bottom="1440" w:gutter="0" w:footer="0" w:header="0"/>
        </w:sectPr>
      </w:pPr>
    </w:p>
    <w:bookmarkStart w:id="151" w:name="page152"/>
    <w:bookmarkEnd w:id="151"/>
    <w:p>
      <w:pPr>
        <w:jc w:val="center"/>
        <w:ind w:right="180"/>
        <w:spacing w:after="0"/>
        <w:rPr>
          <w:sz w:val="20"/>
          <w:szCs w:val="20"/>
          <w:color w:val="auto"/>
        </w:rPr>
      </w:pPr>
      <w:r>
        <w:rPr>
          <w:rFonts w:ascii="Times New Roman" w:cs="Times New Roman" w:eastAsia="Times New Roman" w:hAnsi="Times New Roman"/>
          <w:sz w:val="22"/>
          <w:szCs w:val="22"/>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COMMITMENTS AND CREDIT EXTENSIONS</w:t>
      </w:r>
    </w:p>
    <w:p>
      <w:pPr>
        <w:spacing w:after="0" w:line="19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u w:val="single" w:color="auto"/>
          <w:color w:val="auto"/>
        </w:rPr>
        <w:t>The Loans</w:t>
      </w:r>
      <w:r>
        <w:rPr>
          <w:rFonts w:ascii="Times New Roman" w:cs="Times New Roman" w:eastAsia="Times New Roman" w:hAnsi="Times New Roman"/>
          <w:sz w:val="19"/>
          <w:szCs w:val="19"/>
          <w:color w:val="auto"/>
        </w:rPr>
        <w: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The U.S. Term Borrowing</w:t>
      </w:r>
      <w:r>
        <w:rPr>
          <w:rFonts w:ascii="Times New Roman" w:cs="Times New Roman" w:eastAsia="Times New Roman" w:hAnsi="Times New Roman"/>
          <w:sz w:val="19"/>
          <w:szCs w:val="19"/>
          <w:color w:val="auto"/>
        </w:rPr>
        <w:t>. Subject to the terms and conditions set forth herein, each U.S. Term Lender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severally agrees to make a single loan in Dollars to the Company on the Amendment No. 4 Effective Date in an amount not to exceed such U.S. Term Lender’s Applicable Percentage of the U.S. Term Facility. The U.S. Term Borrowing shall consist of U.S. Term Loans made simultaneously by the U.S. Term Lenders in accordance with their respective Applicable Percentage of the U.S. Term Facility. Amounts borrowed under this </w:t>
      </w:r>
      <w:r>
        <w:rPr>
          <w:rFonts w:ascii="Times New Roman" w:cs="Times New Roman" w:eastAsia="Times New Roman" w:hAnsi="Times New Roman"/>
          <w:sz w:val="19"/>
          <w:szCs w:val="19"/>
          <w:u w:val="single" w:color="auto"/>
          <w:color w:val="auto"/>
        </w:rPr>
        <w:t>Section 2.01(a)</w:t>
      </w:r>
      <w:r>
        <w:rPr>
          <w:rFonts w:ascii="Times New Roman" w:cs="Times New Roman" w:eastAsia="Times New Roman" w:hAnsi="Times New Roman"/>
          <w:sz w:val="19"/>
          <w:szCs w:val="19"/>
          <w:color w:val="auto"/>
        </w:rPr>
        <w:t xml:space="preserve"> and repaid or prepaid may not be reborrowed. U.S. Term Loans may be Base Rate Loans or Term SOFR Loans, as further provided 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Funding Indemnity Letter shall be required with respect to any U.S. Term Loans to be advanced as Term SOFR Loans on the Amendment No. 4 Effective Date.</w:t>
      </w:r>
    </w:p>
    <w:p>
      <w:pPr>
        <w:jc w:val="both"/>
        <w:ind w:firstLine="656"/>
        <w:spacing w:after="0" w:line="249" w:lineRule="auto"/>
        <w:tabs>
          <w:tab w:leader="none" w:pos="1293"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Euro Term Borrowing</w:t>
      </w:r>
      <w:r>
        <w:rPr>
          <w:rFonts w:ascii="Times New Roman" w:cs="Times New Roman" w:eastAsia="Times New Roman" w:hAnsi="Times New Roman"/>
          <w:sz w:val="22"/>
          <w:szCs w:val="22"/>
          <w:color w:val="auto"/>
        </w:rPr>
        <w:t xml:space="preserve">. Subject to the terms and conditions set forth herein, each Euro Term Lender severally agrees to make a single loan in Euros to the Dutch Borrower (as directed by the Company) on the Amendment No. 4 Effective Date in an amount not to exceed such Euro Term Lender’s Euro Term Commitment. The Euro Term Borrowing shall consist of Euro Term Loans made simultaneously by the Euro Term Lenders in accordance with their respective Euro Term Commitments. Amounts borrowed under this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and repaid or prepaid may not be reborrowed. Euro Term Loans must be Alternative Currency Term Rate Loans as further provided herein, and a Funding Indemnity Letter shall be required with respect to the advance of the Euro Term Loans on the Amendment No. 4 Effective Date.</w:t>
      </w:r>
    </w:p>
    <w:p>
      <w:pPr>
        <w:spacing w:after="0" w:line="181" w:lineRule="exact"/>
        <w:rPr>
          <w:rFonts w:ascii="Times New Roman" w:cs="Times New Roman" w:eastAsia="Times New Roman" w:hAnsi="Times New Roman"/>
          <w:sz w:val="22"/>
          <w:szCs w:val="22"/>
          <w:color w:val="auto"/>
        </w:rPr>
      </w:pPr>
    </w:p>
    <w:p>
      <w:pPr>
        <w:jc w:val="both"/>
        <w:ind w:firstLine="656"/>
        <w:spacing w:after="0" w:line="262" w:lineRule="auto"/>
        <w:tabs>
          <w:tab w:leader="none" w:pos="1291"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Revolving Credit Borrowings</w:t>
      </w:r>
      <w:r>
        <w:rPr>
          <w:rFonts w:ascii="Times New Roman" w:cs="Times New Roman" w:eastAsia="Times New Roman" w:hAnsi="Times New Roman"/>
          <w:sz w:val="21"/>
          <w:szCs w:val="21"/>
          <w:color w:val="auto"/>
        </w:rPr>
        <w:t>. Subject to the terms and conditions set forth herein, each Revolving Credit Lender severally agrees to make loans (each such loan, a “</w:t>
      </w:r>
      <w:r>
        <w:rPr>
          <w:rFonts w:ascii="Times New Roman" w:cs="Times New Roman" w:eastAsia="Times New Roman" w:hAnsi="Times New Roman"/>
          <w:sz w:val="21"/>
          <w:szCs w:val="21"/>
          <w:u w:val="single" w:color="auto"/>
          <w:color w:val="auto"/>
        </w:rPr>
        <w:t>Revolving Credit Loan</w:t>
      </w:r>
      <w:r>
        <w:rPr>
          <w:rFonts w:ascii="Times New Roman" w:cs="Times New Roman" w:eastAsia="Times New Roman" w:hAnsi="Times New Roman"/>
          <w:sz w:val="21"/>
          <w:szCs w:val="21"/>
          <w:color w:val="auto"/>
        </w:rPr>
        <w:t xml:space="preserve">”) to the Borrowers in Dollars or in one or more Alternative Currencies from time to time, on any Business Day during the Availability Period, in an aggregate amount not to exceed at any time outstanding the amount of such Lender’s Revolving Credit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after giving effect to any Revolving Credit Borrowing, (i) the Total Revolving Credit Outstandings shall not exceed the Revolving Credit Facility, and</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3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Revolving Credit Exposure shall not exceed such Revolving Credit Lender’s Revolving Credit Commitment. Within the limits of each Revolving Credit Lender’s Revolving Credit Commitment, and subject to the other terms and conditions hereof, the Borrowers may borrow under this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xml:space="preserve">, prepay under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reborrow under this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xml:space="preserve">. Revolving Credit Loans may be Base Rate Loans, Term SOFR Loans, Alternative Currency Daily Rate Loans or Alternative Currency Term Rate Loans, as further provided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Funding Indemnity Letter shall be required with respect to any Revolving Credit Loans to be advanced as Term SOFR Loans, Alternative Currency Daily Rate Loans or Alternative Currency Term Rate Loans on the Amendment No. 4 Effective Date.</w:t>
      </w:r>
    </w:p>
    <w:p>
      <w:pPr>
        <w:spacing w:after="0" w:line="185"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3"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Term B Borrowing</w:t>
      </w:r>
      <w:r>
        <w:rPr>
          <w:rFonts w:ascii="Times New Roman" w:cs="Times New Roman" w:eastAsia="Times New Roman" w:hAnsi="Times New Roman"/>
          <w:sz w:val="22"/>
          <w:szCs w:val="22"/>
          <w:color w:val="auto"/>
        </w:rPr>
        <w:t>. Subject to the terms and conditions set forth herein, each Term B Lender severally agrees to make a single loan to the Company in Dollars (as directed by the Company) on the Amendment No. 5 Effective Date in an amount not to exceed such Term B Lender’s Applicable Percentage of the Term B Facility. The Term B Borrowing shall consist of Term B Loans made simultaneously by the Term B Lenders in accordance with their respective Applicable Percentage of the Term B Facility. Amounts borrowed under this Section 2.01(d)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21" w:right="339" w:bottom="1440" w:gutter="0" w:footer="0" w:header="0"/>
        </w:sectPr>
      </w:pPr>
    </w:p>
    <w:bookmarkStart w:id="152" w:name="page153"/>
    <w:bookmarkEnd w:id="152"/>
    <w:p>
      <w:pPr>
        <w:jc w:val="both"/>
        <w:spacing w:after="0" w:line="257" w:lineRule="auto"/>
        <w:rPr>
          <w:sz w:val="20"/>
          <w:szCs w:val="20"/>
          <w:color w:val="auto"/>
        </w:rPr>
      </w:pPr>
      <w:r>
        <w:rPr>
          <w:rFonts w:ascii="Times New Roman" w:cs="Times New Roman" w:eastAsia="Times New Roman" w:hAnsi="Times New Roman"/>
          <w:sz w:val="22"/>
          <w:szCs w:val="22"/>
          <w:color w:val="auto"/>
        </w:rPr>
        <w:t>repaid or prepaid may not be reborrowed. Term B Loans may be Base Rate Loans or Term SOFR Loans, as further provided herein; provided that a Funding Indemnity Letter shall be required with respect to any Term B Loans to be advanced as Term SOFR Loans on the Amendment No. 5 Effective Date.</w:t>
      </w:r>
    </w:p>
    <w:p>
      <w:pPr>
        <w:spacing w:after="0" w:line="1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Borrowings, Conversions and Continuations of Loans</w:t>
      </w:r>
      <w:r>
        <w:rPr>
          <w:rFonts w:ascii="Times New Roman" w:cs="Times New Roman" w:eastAsia="Times New Roman" w:hAnsi="Times New Roman"/>
          <w:sz w:val="19"/>
          <w:szCs w:val="19"/>
          <w:color w:val="auto"/>
        </w:rPr>
        <w:t>. (a) Each U.S. Term Borrowing, each Euro Term Borrowing, 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Revolving Credit Borrowing, each Term B Borrowing, each conversion of Term Loans or Revolving Credit Loans from one Type to the other, and each continuation of Term SOFR Loans or Alternative Currency Term Rate Loans shall be made upon the applicable Borrower’s irrevocable notice to the Applicable Facility Agent, which may be given by (A) telephone, or (B) a Committed Loan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telephone notice must be confirmed immediately by delivery to the Applicable Facility Agent of a Committed Loan Notice. Each such Committed Loan Notice must be received by the Applicable Facility Agent not later than (i) in the case of Term SOFR Loans, 1:00 p.m. three Business Days prior to the requested date of any Borrowing of, conversion to or continuation of Term SOFR Loans to Base Rate Loans, (ii) in the case of Alternative Currency Loans, 1:00 p.m. four Business Days (or five Business Days in the case of a Special Notice Currency) prior to the requested date of any Borrowing or continuation and (iii) on the requested date of any Borrowing of Base Rate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if the applicable Borrower wishes to request Term SOFR Loans or Alternative Currency Term Rate Loans having an Interest Period other than one, three or six months in duration as provided in the definition of “Interest Period,” the applicable notice must be received by the Applicable Facility Agent not later than 1:00 p.m. (i) four Business Days prior to the requested date of such Borrowing, conversion or continuation of Term SOFR Loans, or (ii) five Business Days (or six Business Days in the case of a Special Notice Currency) prior to the requested date of such Borrowing, conversion or continuation of Alternative Currency Loans, whereupon the Pro Rata Facilities Administrative Agent shall give prompt notice to the Lenders of such request and determine whether the requested Interest Period is acceptable to all of them. Not later than 1:00 p.m., (i) three Business Days before the requested date of such Borrowing, conversion or continuation of Term SOFR Loans, or (ii) four Business Days (or five Business Days in the case of a Special Notice Currency) prior to the requested date of such Borrowing, conversion or continuation of Alternative Currency Loans, the Pro Rata Facilities Administrative Agent shall notify the applicable Borrower (which notice may be by telephone) whether or not the requested Interest Period has been consented to by all the Lenders. Each Borrowing of, or conversion to or continuation of Term SOFR Loans and each Borrowing of, conversion to or continuation of Alternative Currency Loans shall be in a principal amount of the Dollar Equivalent of $5,000,000 or a whole multiple of the Dollar Equivalent of $1,000,000 in excess thereof (or, solely in the case of a Revolving Credit Borrowing on the Amendment No. 4 Effective Date, such other principal amount as agreed by the Pro Rata Facilities Administrative Agent). Except as provided in </w:t>
      </w:r>
      <w:r>
        <w:rPr>
          <w:rFonts w:ascii="Times New Roman" w:cs="Times New Roman" w:eastAsia="Times New Roman" w:hAnsi="Times New Roman"/>
          <w:sz w:val="19"/>
          <w:szCs w:val="19"/>
          <w:u w:val="single" w:color="auto"/>
          <w:color w:val="auto"/>
        </w:rPr>
        <w:t>Sections 2.03(c)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2.04(c)</w:t>
      </w:r>
      <w:r>
        <w:rPr>
          <w:rFonts w:ascii="Times New Roman" w:cs="Times New Roman" w:eastAsia="Times New Roman" w:hAnsi="Times New Roman"/>
          <w:sz w:val="19"/>
          <w:szCs w:val="19"/>
          <w:color w:val="auto"/>
        </w:rPr>
        <w:t>, each Borrowing of or conversion to Base Rate Loans shall be in a principal amount of the Dollar Equivalent of $500,000 or a whole multiple of the Dollar Equivalent of $100,000 in excess thereof. Each Committed Loan Notice shall specify (i) whether the applicable Borrower is requesting a U.S. Term Borrowing, a Euro Term Borrowing, a Revolving Credit Borrowing, a Term B Borrowing, a conversion of Term Loans or Revolving Credit Loans from one Type to the other, or a continuation of Term SOFR Loans or Alternative Currency Term Rate Loans, (ii) the requested date of the Borrowing, conversion or continuation, as the case may be (which shall be a Business Day), (iii) the currency and principal amount of Loans to be borrowed, converted or continued, (iv) the Type of Loans to be borrowed or to which existing Term Loans or Revolving Credit Loans are to be converted, (v) if applicable,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22" w:right="339" w:bottom="1440" w:gutter="0" w:footer="0" w:header="0"/>
        </w:sectPr>
      </w:pPr>
    </w:p>
    <w:bookmarkStart w:id="153" w:name="page154"/>
    <w:bookmarkEnd w:id="15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duration of the Interest Period with respect thereto and (vi) if applicable, the Designated Borrower. If the Company fails to specify a currency in a Committed Loan Notice requesting a Borrowing, then the Loans so requested shall be made in Dollars. If the applicable Borrower fails to specify a Type of Loan in a Committed Loan Notice or if the applicable Borrower fails to give a timely notice requesting a conversion or continuation, then the applicable Term Loans or Revolving Credit Loans shall be made as, or converted to, Base Rate Loans; provided, however, that in the case of failure to timely request a continuation of Term SOFR Loans or Alternative Currency Term Rate Loans, such Loans shall be continued as Term SOFR Loans or Alternative Currency Term Rate Loans, as applicable, in their original currency with an Interest Period of one (1) month. If the applicable Borrower requests a Borrowing of, or conversion to, or continuation of Term SOFR Loans or Alternative Currency Term Rate Loans in any such Committed Loan Notice, but fails to specify an Interest Period, it will be deemed to have specified an Interest Period of one month. Except as provided pursuant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3.03</w:t>
      </w:r>
      <w:r>
        <w:rPr>
          <w:rFonts w:ascii="Times New Roman" w:cs="Times New Roman" w:eastAsia="Times New Roman" w:hAnsi="Times New Roman"/>
          <w:sz w:val="20"/>
          <w:szCs w:val="20"/>
          <w:color w:val="auto"/>
        </w:rPr>
        <w:t>, no Loan may be converted into or continued as a Loan denominated in a different currency, but instead must be prepaid in the original currency of such Loan and reborrowed in the other currency.</w:t>
      </w:r>
    </w:p>
    <w:p>
      <w:pPr>
        <w:spacing w:after="0" w:line="10" w:lineRule="exact"/>
        <w:rPr>
          <w:sz w:val="20"/>
          <w:szCs w:val="20"/>
          <w:color w:val="auto"/>
        </w:rPr>
      </w:pPr>
    </w:p>
    <w:p>
      <w:pPr>
        <w:jc w:val="both"/>
        <w:ind w:firstLine="656"/>
        <w:spacing w:after="0" w:line="258" w:lineRule="auto"/>
        <w:tabs>
          <w:tab w:leader="none" w:pos="129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receipt of a Committed Loan Notice, the Applicable Facility Agent shall promptly notify each Lender of the amount and currency of its Applicable Percentage under the applicable Facility of the applicable U.S. Term Loans, Euro Term Loans, Term B Loans or Revolving Credit Loans, and if no timely notice of a conversion or continuation is provided by the applicable Borrower, the Applicable Facility Agent shall notify each Lender of the details of any automatic conversion to Base Rate Loans or continuation of Term SOFR Loans or Alternative Currency Term Rate Loans described in the preceding subsection. In the case of a U.S. Term Borrowing, a Euro Term Borrowing, a Term B Borrowing or a Revolving Credit Borrowing, each Appropriate Lender shall make the amount of its Loan available to the Applicable Facility Agent in Same Day Funds at the Administrative Agent’s Office for the applicable currency not later than 1:00 p.m., in the case of Loans denominated in Dollars, and not later than the Applicable Time specified by the Pro Rata Facilities Administrative Agent in the case of any Loan denominated in an Alternative Currency, in each case on the Business Day specified in the applicable Committed Loan Notice. Upon satisfaction of the applicable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(and, if such Borrowing is the initial Credit Extension,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the Applicable Facility Agent shall make all funds so received available to the Company or the other applicable Borrower in like funds as received by the Applicable Facility Agent either by (i) crediting the account of such Borrower on the books of Bank of America with the amount of such funds, in the case of a U.S. Term Borrowing, a Euro Term Borrowing, or a Revolving Credit Borrowing, (ii) crediting the account of such Borrower on the books of JPM with the amount of such funds, in the case of a Term B Borrowing, or (iii) wire transfer of such funds, in each case in accordance with instructions provided to (and reasonably acceptable to) the Applicable Facility Agent by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on the date a Committed Loan Notice with respect to a Revolving Credit Borrowing denominated in Dollars is given by the Company, there are L/C Borrowings outstanding, then the proceeds of such Revolving Credit Borrowing,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shall be applied to the payment in full of any such L/C Borrowings, and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shall be made available to the applicable Borrower as provided above.</w:t>
      </w:r>
    </w:p>
    <w:p>
      <w:pPr>
        <w:spacing w:after="0" w:line="188" w:lineRule="exact"/>
        <w:rPr>
          <w:rFonts w:ascii="Times New Roman" w:cs="Times New Roman" w:eastAsia="Times New Roman" w:hAnsi="Times New Roman"/>
          <w:sz w:val="21"/>
          <w:szCs w:val="21"/>
          <w:color w:val="auto"/>
        </w:rPr>
      </w:pPr>
    </w:p>
    <w:p>
      <w:pPr>
        <w:jc w:val="both"/>
        <w:ind w:firstLine="656"/>
        <w:spacing w:after="0" w:line="263" w:lineRule="auto"/>
        <w:tabs>
          <w:tab w:leader="none" w:pos="129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a Term SOFR Loan or an Alternative Currency Term Rate Loan may be continued or converted only on the last day of an Interest Period for such Term SOFR Loan or Alternative Currency Term Rate Loan,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13" w:right="339" w:bottom="1440" w:gutter="0" w:footer="0" w:header="0"/>
        </w:sectPr>
      </w:pPr>
    </w:p>
    <w:bookmarkStart w:id="154" w:name="page155"/>
    <w:bookmarkEnd w:id="154"/>
    <w:p>
      <w:pPr>
        <w:jc w:val="both"/>
        <w:spacing w:after="0" w:line="253" w:lineRule="auto"/>
        <w:rPr>
          <w:sz w:val="20"/>
          <w:szCs w:val="20"/>
          <w:color w:val="auto"/>
        </w:rPr>
      </w:pPr>
      <w:r>
        <w:rPr>
          <w:rFonts w:ascii="Times New Roman" w:cs="Times New Roman" w:eastAsia="Times New Roman" w:hAnsi="Times New Roman"/>
          <w:sz w:val="22"/>
          <w:szCs w:val="22"/>
          <w:color w:val="auto"/>
        </w:rPr>
        <w:t>During the existence of a Default, no Loans (other than the Euro Term Loan) may be requested as, converted to or continued as Term SOFR Loans or Alternative Currency Term Rate Loans, as applicable, without the consent of the Required Lenders, and the Required Pro Rata Facilities Lenders may demand that any or all of the then outstanding Alternative Currency Loans (other than the Euro Term Loan) be prepaid, or redenominated into Dollars in the amount of the Dollar Equivalent thereof, on the last day of the then current Interest Period with respect thereto.</w:t>
      </w:r>
    </w:p>
    <w:p>
      <w:pPr>
        <w:spacing w:after="0" w:line="179" w:lineRule="exact"/>
        <w:rPr>
          <w:sz w:val="20"/>
          <w:szCs w:val="20"/>
          <w:color w:val="auto"/>
        </w:rPr>
      </w:pPr>
    </w:p>
    <w:p>
      <w:pPr>
        <w:ind w:firstLine="656"/>
        <w:spacing w:after="0" w:line="295" w:lineRule="auto"/>
        <w:tabs>
          <w:tab w:leader="none" w:pos="1293"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Facility Agent shall promptly notify the Company and the Lenders of the interest rate applicable to any Interest Period for Term SOFR Loans or Alternative Currency Term Rate Loans upon determination of such interest rate.</w:t>
      </w:r>
    </w:p>
    <w:p>
      <w:pPr>
        <w:spacing w:after="0" w:line="135" w:lineRule="exact"/>
        <w:rPr>
          <w:rFonts w:ascii="Times New Roman" w:cs="Times New Roman" w:eastAsia="Times New Roman" w:hAnsi="Times New Roman"/>
          <w:sz w:val="21"/>
          <w:szCs w:val="21"/>
          <w:color w:val="auto"/>
        </w:rPr>
      </w:pPr>
    </w:p>
    <w:p>
      <w:pPr>
        <w:ind w:right="20" w:firstLine="656"/>
        <w:spacing w:after="0" w:line="309" w:lineRule="auto"/>
        <w:tabs>
          <w:tab w:leader="none" w:pos="1291"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all Borrowings, all conversions of Loans from one Type to the other, and all continuations of Loans as the same Type, there shall not be more than 12 Interest Periods in effect in the aggregate in respect of the Facilities.</w:t>
      </w:r>
    </w:p>
    <w:p>
      <w:pPr>
        <w:spacing w:after="0" w:line="120" w:lineRule="exact"/>
        <w:rPr>
          <w:rFonts w:ascii="Times New Roman" w:cs="Times New Roman" w:eastAsia="Times New Roman" w:hAnsi="Times New Roman"/>
          <w:sz w:val="21"/>
          <w:szCs w:val="21"/>
          <w:color w:val="auto"/>
        </w:rPr>
      </w:pPr>
    </w:p>
    <w:p>
      <w:pPr>
        <w:jc w:val="both"/>
        <w:ind w:firstLine="656"/>
        <w:spacing w:after="0" w:line="252" w:lineRule="auto"/>
        <w:tabs>
          <w:tab w:leader="none" w:pos="129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Company, the Applicable Facility Agent, and such Lender.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2.03</w:t>
      </w:r>
      <w:r>
        <w:rPr>
          <w:sz w:val="20"/>
          <w:szCs w:val="20"/>
          <w:color w:val="auto"/>
        </w:rPr>
        <w:tab/>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Letter of Credit Commitment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94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herein, (A) the L/C Issuer agrees, in reliance upon the agreements of the Revolving Credit Lenders set forth in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(1) from time to time on any Business Day during the period from the Amendment No. 4 Effective Date until the Letter of Credit Expiration Date, to issue Letters of Credit denominated in Dollars or in one or more Alternative Currencies for the account of the Company or any of its Restricted Subsidiaries, and to amend or extend Letters of Credit previously issued by it,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2.03(b)</w:t>
      </w:r>
      <w:r>
        <w:rPr>
          <w:rFonts w:ascii="Times New Roman" w:cs="Times New Roman" w:eastAsia="Times New Roman" w:hAnsi="Times New Roman"/>
          <w:sz w:val="22"/>
          <w:szCs w:val="22"/>
          <w:color w:val="auto"/>
        </w:rPr>
        <w:t xml:space="preserve">, and (2) to honor drawings under the Letters of Credit; and (B) the Revolving Credit Lenders severally agree to participate in Letters of Credit issued for the account of the Company or its Restricted Subsidiaries and any drawings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any L/C Credit Extension with respect to any Letter of Credit, (x) the Total Revolving Credit Outstandings shall not exceed the Revolving Credit Facility, (y) the Revolving Credit Exposure shall not exceed such Lender’s Revolving Credit Commitment, and (z) the Outstanding Amount of the L/C Obligations shall not exceed the Letter of Credit Sublimit.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22"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2"/>
          <w:szCs w:val="22"/>
          <w:color w:val="auto"/>
        </w:rPr>
        <w:t>of Credit to replace Letters of Credit that have expired or that have been drawn upon and reimbursed.</w:t>
      </w:r>
    </w:p>
    <w:p>
      <w:pPr>
        <w:spacing w:after="0" w:line="220" w:lineRule="exact"/>
        <w:rPr>
          <w:sz w:val="20"/>
          <w:szCs w:val="20"/>
          <w:color w:val="auto"/>
        </w:rPr>
      </w:pPr>
    </w:p>
    <w:p>
      <w:pPr>
        <w:ind w:left="1280" w:hanging="636"/>
        <w:spacing w:after="0"/>
        <w:tabs>
          <w:tab w:leader="none" w:pos="12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Issuer shall not issue any Letter of Credit if:</w:t>
      </w:r>
    </w:p>
    <w:p>
      <w:pPr>
        <w:spacing w:after="0" w:line="219" w:lineRule="exact"/>
        <w:rPr>
          <w:rFonts w:ascii="Times New Roman" w:cs="Times New Roman" w:eastAsia="Times New Roman" w:hAnsi="Times New Roman"/>
          <w:sz w:val="22"/>
          <w:szCs w:val="22"/>
          <w:color w:val="auto"/>
        </w:rPr>
      </w:pPr>
    </w:p>
    <w:p>
      <w:pPr>
        <w:jc w:val="both"/>
        <w:ind w:left="640" w:firstLine="652"/>
        <w:spacing w:after="0" w:line="256" w:lineRule="auto"/>
        <w:tabs>
          <w:tab w:leader="none" w:pos="192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2.03(b)(iii)</w:t>
      </w:r>
      <w:r>
        <w:rPr>
          <w:rFonts w:ascii="Times New Roman" w:cs="Times New Roman" w:eastAsia="Times New Roman" w:hAnsi="Times New Roman"/>
          <w:sz w:val="22"/>
          <w:szCs w:val="22"/>
          <w:color w:val="auto"/>
        </w:rPr>
        <w:t xml:space="preserve">, the expiry date of the requested Letter of Credit would occur more than twelve months after the date of issuance or last extension (but it may contain auto extend provisions as agreed to by the L/C Issuer as more fully set forth in </w:t>
      </w:r>
      <w:r>
        <w:rPr>
          <w:rFonts w:ascii="Times New Roman" w:cs="Times New Roman" w:eastAsia="Times New Roman" w:hAnsi="Times New Roman"/>
          <w:sz w:val="22"/>
          <w:szCs w:val="22"/>
          <w:u w:val="single" w:color="auto"/>
          <w:color w:val="auto"/>
        </w:rPr>
        <w:t>clause (b)(iii)</w:t>
      </w:r>
      <w:r>
        <w:rPr>
          <w:rFonts w:ascii="Times New Roman" w:cs="Times New Roman" w:eastAsia="Times New Roman" w:hAnsi="Times New Roman"/>
          <w:sz w:val="22"/>
          <w:szCs w:val="22"/>
          <w:color w:val="auto"/>
        </w:rPr>
        <w:t xml:space="preserve"> below), unless the Required Revolving Lenders have approved such expiry date; or</w:t>
      </w:r>
    </w:p>
    <w:p>
      <w:pPr>
        <w:spacing w:after="0" w:line="176" w:lineRule="exact"/>
        <w:rPr>
          <w:rFonts w:ascii="Times New Roman" w:cs="Times New Roman" w:eastAsia="Times New Roman" w:hAnsi="Times New Roman"/>
          <w:sz w:val="22"/>
          <w:szCs w:val="22"/>
          <w:color w:val="auto"/>
        </w:rPr>
      </w:pPr>
    </w:p>
    <w:p>
      <w:pPr>
        <w:ind w:left="640" w:firstLine="652"/>
        <w:spacing w:after="0" w:line="271" w:lineRule="auto"/>
        <w:tabs>
          <w:tab w:leader="none" w:pos="1927"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expiry date of the requested Letter of Credit would occur after the Letter of Credit Expiration Date, unless all the Revolving Credit Lenders and the L/C Issuer have approved such expiry date.</w:t>
      </w:r>
    </w:p>
    <w:p>
      <w:pPr>
        <w:spacing w:after="0" w:line="171"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Issuer shall not be under any obligation to issue any Letter of Credit if:</w:t>
      </w:r>
    </w:p>
    <w:p>
      <w:pPr>
        <w:spacing w:after="0" w:line="219" w:lineRule="exact"/>
        <w:rPr>
          <w:rFonts w:ascii="Times New Roman" w:cs="Times New Roman" w:eastAsia="Times New Roman" w:hAnsi="Times New Roman"/>
          <w:sz w:val="22"/>
          <w:szCs w:val="22"/>
          <w:color w:val="auto"/>
        </w:rPr>
      </w:pPr>
    </w:p>
    <w:p>
      <w:pPr>
        <w:jc w:val="both"/>
        <w:ind w:left="640" w:firstLine="652"/>
        <w:spacing w:after="0" w:line="248" w:lineRule="auto"/>
        <w:tabs>
          <w:tab w:leader="none" w:pos="192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Amendment No. 4 Effective Date, or shall impose upon the L/C Issuer any unreimbursed loss, cost or expense which was not applicable on the Amendment No. 4 Effective Date and which the L/C Issuer in good faith deems material to it;</w:t>
      </w:r>
    </w:p>
    <w:p>
      <w:pPr>
        <w:spacing w:after="0" w:line="185" w:lineRule="exact"/>
        <w:rPr>
          <w:rFonts w:ascii="Times New Roman" w:cs="Times New Roman" w:eastAsia="Times New Roman" w:hAnsi="Times New Roman"/>
          <w:sz w:val="22"/>
          <w:szCs w:val="22"/>
          <w:color w:val="auto"/>
        </w:rPr>
      </w:pPr>
    </w:p>
    <w:p>
      <w:pPr>
        <w:ind w:left="640" w:firstLine="652"/>
        <w:spacing w:after="0" w:line="284" w:lineRule="auto"/>
        <w:tabs>
          <w:tab w:leader="none" w:pos="1927"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the Letter of Credit would violate one or more policies of the L/C Issuer applicable to letters of credit generally;</w:t>
      </w:r>
    </w:p>
    <w:p>
      <w:pPr>
        <w:spacing w:after="0" w:line="143" w:lineRule="exact"/>
        <w:rPr>
          <w:rFonts w:ascii="Times New Roman" w:cs="Times New Roman" w:eastAsia="Times New Roman" w:hAnsi="Times New Roman"/>
          <w:sz w:val="22"/>
          <w:szCs w:val="22"/>
          <w:color w:val="auto"/>
        </w:rPr>
      </w:pPr>
    </w:p>
    <w:p>
      <w:pPr>
        <w:jc w:val="both"/>
        <w:ind w:left="640" w:firstLine="652"/>
        <w:spacing w:after="0" w:line="257" w:lineRule="auto"/>
        <w:tabs>
          <w:tab w:leader="none" w:pos="1927"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agreed by the Pro Rata Facilities Administrative Agent and the L/C Issuer, the Letter of Credit is in an initial stated amount less than $100,000, in the case of a commercial Letter of Credit, or $1,000,000, in the case of a standby Letter of Credit;</w:t>
      </w:r>
    </w:p>
    <w:p>
      <w:pPr>
        <w:spacing w:after="0" w:line="172" w:lineRule="exact"/>
        <w:rPr>
          <w:rFonts w:ascii="Times New Roman" w:cs="Times New Roman" w:eastAsia="Times New Roman" w:hAnsi="Times New Roman"/>
          <w:sz w:val="22"/>
          <w:szCs w:val="22"/>
          <w:color w:val="auto"/>
        </w:rPr>
      </w:pPr>
    </w:p>
    <w:p>
      <w:pPr>
        <w:ind w:left="1920" w:hanging="628"/>
        <w:spacing w:after="0"/>
        <w:tabs>
          <w:tab w:leader="none" w:pos="192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is to be denominated in a currency other than Dollars or an Alternative</w:t>
      </w:r>
    </w:p>
    <w:p>
      <w:pPr>
        <w:spacing w:after="0" w:line="29"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Currency;</w:t>
      </w:r>
    </w:p>
    <w:p>
      <w:pPr>
        <w:spacing w:after="0" w:line="207" w:lineRule="exact"/>
        <w:rPr>
          <w:rFonts w:ascii="Times New Roman" w:cs="Times New Roman" w:eastAsia="Times New Roman" w:hAnsi="Times New Roman"/>
          <w:sz w:val="22"/>
          <w:szCs w:val="22"/>
          <w:color w:val="auto"/>
        </w:rPr>
      </w:pPr>
    </w:p>
    <w:p>
      <w:pPr>
        <w:jc w:val="both"/>
        <w:ind w:left="640" w:firstLine="652"/>
        <w:spacing w:after="0" w:line="257" w:lineRule="auto"/>
        <w:tabs>
          <w:tab w:leader="none" w:pos="1928"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Revolving Credit Lender is at that time a Defaulting Lender, unless the L/C Issuer has entered into arrangements, including the delivery of Cash Collateral, satisfactory to the L/C Issuer (in its sole discretion) with the Company or such Lender to eliminate the L/C Issuer’s actual or potential Fronting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0580"/>
          </w:cols>
          <w:pgMar w:left="980" w:top="1422" w:right="339" w:bottom="1440" w:gutter="0" w:footer="0" w:header="0"/>
        </w:sectPr>
      </w:pPr>
    </w:p>
    <w:bookmarkStart w:id="156" w:name="page157"/>
    <w:bookmarkEnd w:id="156"/>
    <w:p>
      <w:pPr>
        <w:jc w:val="both"/>
        <w:ind w:left="644"/>
        <w:spacing w:after="0" w:line="257" w:lineRule="auto"/>
        <w:rPr>
          <w:sz w:val="20"/>
          <w:szCs w:val="20"/>
          <w:color w:val="auto"/>
        </w:rPr>
      </w:pPr>
      <w:r>
        <w:rPr>
          <w:rFonts w:ascii="Times New Roman" w:cs="Times New Roman" w:eastAsia="Times New Roman" w:hAnsi="Times New Roman"/>
          <w:sz w:val="22"/>
          <w:szCs w:val="22"/>
          <w:color w:val="auto"/>
        </w:rPr>
        <w:t xml:space="preserve">Exposure (after giving effect to </w:t>
      </w:r>
      <w:r>
        <w:rPr>
          <w:rFonts w:ascii="Times New Roman" w:cs="Times New Roman" w:eastAsia="Times New Roman" w:hAnsi="Times New Roman"/>
          <w:sz w:val="22"/>
          <w:szCs w:val="22"/>
          <w:u w:val="single" w:color="auto"/>
          <w:color w:val="auto"/>
        </w:rPr>
        <w:t>Section 2.18(a)(iv)</w:t>
      </w:r>
      <w:r>
        <w:rPr>
          <w:rFonts w:ascii="Times New Roman" w:cs="Times New Roman" w:eastAsia="Times New Roman" w:hAnsi="Times New Roman"/>
          <w:sz w:val="22"/>
          <w:szCs w:val="22"/>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86" w:lineRule="exact"/>
        <w:rPr>
          <w:sz w:val="20"/>
          <w:szCs w:val="20"/>
          <w:color w:val="auto"/>
        </w:rPr>
      </w:pPr>
    </w:p>
    <w:p>
      <w:pPr>
        <w:ind w:left="644" w:right="20" w:firstLine="652"/>
        <w:spacing w:after="0" w:line="271" w:lineRule="auto"/>
        <w:tabs>
          <w:tab w:leader="none" w:pos="1934"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contains any provisions for automatic reinstatement of the stated amount after any drawing thereunder.</w:t>
      </w:r>
    </w:p>
    <w:p>
      <w:pPr>
        <w:spacing w:after="0" w:line="157" w:lineRule="exact"/>
        <w:rPr>
          <w:rFonts w:ascii="Times New Roman" w:cs="Times New Roman" w:eastAsia="Times New Roman" w:hAnsi="Times New Roman"/>
          <w:sz w:val="22"/>
          <w:szCs w:val="22"/>
          <w:color w:val="auto"/>
        </w:rPr>
      </w:pPr>
    </w:p>
    <w:p>
      <w:pPr>
        <w:ind w:left="4" w:firstLine="644"/>
        <w:spacing w:after="0" w:line="271" w:lineRule="auto"/>
        <w:tabs>
          <w:tab w:leader="none" w:pos="1288"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Issuer shall not amend any Letter of Credit if the L/C Issuer would not be permitted at such time to issue the Letter of Credit in its amended form under the terms hereof.</w:t>
      </w:r>
    </w:p>
    <w:p>
      <w:pPr>
        <w:spacing w:after="0" w:line="157" w:lineRule="exact"/>
        <w:rPr>
          <w:rFonts w:ascii="Times New Roman" w:cs="Times New Roman" w:eastAsia="Times New Roman" w:hAnsi="Times New Roman"/>
          <w:sz w:val="22"/>
          <w:szCs w:val="22"/>
          <w:color w:val="auto"/>
        </w:rPr>
      </w:pPr>
    </w:p>
    <w:p>
      <w:pPr>
        <w:jc w:val="both"/>
        <w:ind w:left="4" w:firstLine="644"/>
        <w:spacing w:after="0" w:line="263" w:lineRule="auto"/>
        <w:tabs>
          <w:tab w:leader="none" w:pos="129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67" w:lineRule="exact"/>
        <w:rPr>
          <w:rFonts w:ascii="Times New Roman" w:cs="Times New Roman" w:eastAsia="Times New Roman" w:hAnsi="Times New Roman"/>
          <w:sz w:val="22"/>
          <w:szCs w:val="22"/>
          <w:color w:val="auto"/>
        </w:rPr>
      </w:pPr>
    </w:p>
    <w:p>
      <w:pPr>
        <w:jc w:val="both"/>
        <w:ind w:left="4" w:firstLine="644"/>
        <w:spacing w:after="0" w:line="254" w:lineRule="auto"/>
        <w:tabs>
          <w:tab w:leader="none" w:pos="1288"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Issuer shall act on behalf of the Revolving Credit Lenders with respect to any Letters of Credit issued by it and the documents associated therewith, and the L/C Issuer shall have all of the benefits and immunities</w:t>
      </w:r>
    </w:p>
    <w:p>
      <w:pPr>
        <w:spacing w:after="0" w:line="1" w:lineRule="exact"/>
        <w:rPr>
          <w:rFonts w:ascii="Times New Roman" w:cs="Times New Roman" w:eastAsia="Times New Roman" w:hAnsi="Times New Roman"/>
          <w:sz w:val="22"/>
          <w:szCs w:val="22"/>
          <w:color w:val="auto"/>
        </w:rPr>
      </w:pPr>
    </w:p>
    <w:p>
      <w:pPr>
        <w:jc w:val="both"/>
        <w:ind w:left="4" w:hanging="4"/>
        <w:spacing w:after="0" w:line="247" w:lineRule="auto"/>
        <w:tabs>
          <w:tab w:leader="none" w:pos="37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provided to the Pro Rata Facilities Administrative Agent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included the L/C Issuer with respect to such acts or omissions, and (B) as additionally provided herein with respect to the L/C Issuer.</w:t>
      </w:r>
    </w:p>
    <w:p>
      <w:pPr>
        <w:spacing w:after="0" w:line="186" w:lineRule="exact"/>
        <w:rPr>
          <w:sz w:val="20"/>
          <w:szCs w:val="20"/>
          <w:color w:val="auto"/>
        </w:rPr>
      </w:pPr>
    </w:p>
    <w:p>
      <w:pPr>
        <w:ind w:left="644" w:hanging="644"/>
        <w:spacing w:after="0"/>
        <w:tabs>
          <w:tab w:leader="none" w:pos="64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Procedures for Issuance and Amendment of Letters of Credit; Auto-Extension Letters of Credit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28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Letter of Credit shall be issued or amended, as the case may be, upon the request of the Company delivered to the L/C Issuer (with a copy to the Pro Rata Facilities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Pro Rata Facilities Administrative Agent not later than 11:00 a.m. at least two Business Days (or such later date and time as the Pro Rata Facilities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and currency thereof; (C) the expiry date thereof; (D) the name and address of the beneficiary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0584"/>
          </w:cols>
          <w:pgMar w:left="976" w:top="1422" w:right="339" w:bottom="1440" w:gutter="0" w:footer="0" w:header="0"/>
        </w:sectPr>
      </w:pPr>
    </w:p>
    <w:bookmarkStart w:id="157" w:name="page158"/>
    <w:bookmarkEnd w:id="157"/>
    <w:p>
      <w:pPr>
        <w:jc w:val="both"/>
        <w:ind w:left="4" w:hanging="4"/>
        <w:spacing w:after="0" w:line="250" w:lineRule="auto"/>
        <w:tabs>
          <w:tab w:leader="none" w:pos="37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(1) the Letter of Credit to be amended; (2) the proposed date of amendment thereof (which shall be a Business Day); (3) the nature of the proposed amendment; and (4) such other matters as the L/C Issuer may require. Additionally, the Company shall furnish to the L/C Issuer and the Pro Rata Facilities Administrative Agent such other documents and information pertaining to such requested Letter of Credit issuance or amendment, including any Issuer Documents, as the L/C Issuer or the Pro Rata Facilities Administrative Agent may require.</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47" w:lineRule="auto"/>
        <w:tabs>
          <w:tab w:leader="none" w:pos="129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receipt of any Letter of Credit Application, the L/C Issuer will confirm with the Pro Rata Facilities Administrative Agent (by telephone or in writing) that the Pro Rata Facilities Administrative Agent has received a copy of such Letter of Credit Application from the Company and, if not, the L/C Issuer will provide the Pro Rata Facilities Administrative Agent with a copy thereof. Unless the L/C Issuer has received written notice from any Revolving Credit Lender, the Pro Rata Facilities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shall not then be satisfied, then, subject to the terms and conditions hereof, the L/C Issuer shall, on the requested date, issue a Letter of Credit for the account of the Company (or the applicable Restricted Subsidiary) or enter into the applicable amendment, as the case may be, in each case in accordance with the L/C Issuer’s usual and customary business practices. Immediately upon the issuance of each Letter of Credit, each Revolving Credit Lender shall be deemed to, and hereby irrevocably and unconditionally agrees to, purchase from the L/C Issuer a risk participation in such Letter of Credit in an amount equal to the product of such Revolving Credit Lender’s Applicable Revolving Credit Percentage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amount of such Letter of Credit.</w:t>
      </w:r>
    </w:p>
    <w:p>
      <w:pPr>
        <w:spacing w:after="0" w:line="192" w:lineRule="exact"/>
        <w:rPr>
          <w:rFonts w:ascii="Times New Roman" w:cs="Times New Roman" w:eastAsia="Times New Roman" w:hAnsi="Times New Roman"/>
          <w:sz w:val="22"/>
          <w:szCs w:val="22"/>
          <w:color w:val="auto"/>
        </w:rPr>
      </w:pPr>
    </w:p>
    <w:p>
      <w:pPr>
        <w:jc w:val="both"/>
        <w:ind w:left="4" w:firstLine="644"/>
        <w:spacing w:after="0" w:line="249" w:lineRule="auto"/>
        <w:tabs>
          <w:tab w:leader="none" w:pos="130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so requests in any applicable Letter of Credit Application, the L/C Issuer may, in its sole discretion, agree to issue a Letter of Credit that has automatic extension provisions (each, an “</w:t>
      </w:r>
      <w:r>
        <w:rPr>
          <w:rFonts w:ascii="Times New Roman" w:cs="Times New Roman" w:eastAsia="Times New Roman" w:hAnsi="Times New Roman"/>
          <w:sz w:val="22"/>
          <w:szCs w:val="22"/>
          <w:u w:val="single" w:color="auto"/>
          <w:color w:val="auto"/>
        </w:rPr>
        <w:t>Auto-Extension Letter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2"/>
          <w:szCs w:val="22"/>
          <w:u w:val="single" w:color="auto"/>
          <w:color w:val="auto"/>
        </w:rPr>
        <w:t>Non-Extension Notice Date</w:t>
      </w:r>
      <w:r>
        <w:rPr>
          <w:rFonts w:ascii="Times New Roman" w:cs="Times New Roman" w:eastAsia="Times New Roman" w:hAnsi="Times New Roman"/>
          <w:sz w:val="22"/>
          <w:szCs w:val="22"/>
          <w:color w:val="auto"/>
        </w:rPr>
        <w:t xml:space="preserve">”) in each such twelve-month period to be agreed upon at the time such Letter of Credit is issued. Unless otherwise directed by the L/C Issuer, the Company shall not be required to make a specific request to the L/C Issuer for any such extension. Once an Auto-Extension Letter of Credit has been issued, the Revolving Credit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0584"/>
          </w:cols>
          <w:pgMar w:left="976" w:top="1422" w:right="339" w:bottom="1440" w:gutter="0" w:footer="0" w:header="0"/>
        </w:sectPr>
      </w:pPr>
    </w:p>
    <w:bookmarkStart w:id="158" w:name="page159"/>
    <w:bookmarkEnd w:id="158"/>
    <w:p>
      <w:pPr>
        <w:jc w:val="both"/>
        <w:ind w:left="4"/>
        <w:spacing w:after="0" w:line="249" w:lineRule="auto"/>
        <w:rPr>
          <w:sz w:val="20"/>
          <w:szCs w:val="20"/>
          <w:color w:val="auto"/>
        </w:rPr>
      </w:pPr>
      <w:r>
        <w:rPr>
          <w:rFonts w:ascii="Times New Roman" w:cs="Times New Roman" w:eastAsia="Times New Roman" w:hAnsi="Times New Roman"/>
          <w:sz w:val="22"/>
          <w:szCs w:val="22"/>
          <w:color w:val="auto"/>
        </w:rPr>
        <w:t xml:space="preserve">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or otherwise), or (B) it has received notice (which may be by telephone or in writing) on or before the day that is seven Business Days before the Non-Extension Notice Date (1) from the Pro Rata Facilities Administrative Agent that the Required Revolving Lenders have elected not to permit such extension or (2) from the Pro Rata Facilities Administrative Agent, any Revolving Credit Lender or the Company that one or more of the applicable conditions specified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is not then satisfied, and in each such case directing the L/C Issuer not to permit such extension.</w:t>
      </w:r>
    </w:p>
    <w:p>
      <w:pPr>
        <w:spacing w:after="0" w:line="195" w:lineRule="exact"/>
        <w:rPr>
          <w:sz w:val="20"/>
          <w:szCs w:val="20"/>
          <w:color w:val="auto"/>
        </w:rPr>
      </w:pPr>
    </w:p>
    <w:p>
      <w:pPr>
        <w:jc w:val="both"/>
        <w:ind w:left="4" w:firstLine="644"/>
        <w:spacing w:after="0" w:line="257" w:lineRule="auto"/>
        <w:tabs>
          <w:tab w:leader="none" w:pos="1288"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its delivery of any Letter of Credit or any amendment to a Letter of Credit to an advising bank with respect thereto or to the beneficiary thereof, the L/C Issuer will also deliver to the Company and the Pro Rata Facilities Administrative Agent a true and complete copy of such Letter of Credit or amendment.</w:t>
      </w:r>
    </w:p>
    <w:p>
      <w:pPr>
        <w:spacing w:after="0" w:line="17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Drawings and Reimbursements; Funding of Participations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60" w:lineRule="auto"/>
        <w:tabs>
          <w:tab w:leader="none" w:pos="1288"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receipt from the beneficiary of any Letter of Credit of any notice of a drawing under such Letter of Credit, the L/C Issuer shall notify the Company and the Pro Rata Facilities Administrative Agent thereof. In the case of a Letter of Credit denominated in an Alternative Currency, the Company shall reimburse the L/C Issuer in such Alternative Currency, unless (A) the L/C Issuer (at its option) shall have specified in such notice that it will require reimbursement in Dollars, or (B) in the absence of any such requirement for reimbursement in Dollars, the Company shall have notified the L/C Issuer promptly following receipt of the notice of drawing that the Company will reimburse the L/C Issuer in Dollars. In the case of any such reimbursement in Dollars of a drawing under a Letter of Credit denominated in an Alternative Currency, the L/C Issuer shall notify the Company of the Dollar Equivalent of the amount of the drawing promptly following the determination thereof. Not later than 11:00 a.m. on the Business Day immediately following the date of any payment by the L/C Issuer under a Letter of Credit to be reimbursed in Dollars, or the Applicable Time on the Business Day immediately following the date of any payment by the L/C Issuer under a Letter of Credit to be reimbursed in an Alternative Currency (each such date, an “</w:t>
      </w:r>
      <w:r>
        <w:rPr>
          <w:rFonts w:ascii="Times New Roman" w:cs="Times New Roman" w:eastAsia="Times New Roman" w:hAnsi="Times New Roman"/>
          <w:sz w:val="21"/>
          <w:szCs w:val="21"/>
          <w:u w:val="single" w:color="auto"/>
          <w:color w:val="auto"/>
        </w:rPr>
        <w:t>Honor Date</w:t>
      </w:r>
      <w:r>
        <w:rPr>
          <w:rFonts w:ascii="Times New Roman" w:cs="Times New Roman" w:eastAsia="Times New Roman" w:hAnsi="Times New Roman"/>
          <w:sz w:val="21"/>
          <w:szCs w:val="21"/>
          <w:color w:val="auto"/>
        </w:rPr>
        <w:t xml:space="preserve">”), the Company shall reimburse the L/C Issuer through the Pro Rata Facilities Administrative Agent in an amount equal to the amount of such drawing and in the applicable currency. In the event that (A) a drawing denominated in an Alternative Currency is to be reimbursed in Dollars pursuant to the second sentence in this </w:t>
      </w:r>
      <w:r>
        <w:rPr>
          <w:rFonts w:ascii="Times New Roman" w:cs="Times New Roman" w:eastAsia="Times New Roman" w:hAnsi="Times New Roman"/>
          <w:sz w:val="21"/>
          <w:szCs w:val="21"/>
          <w:u w:val="single" w:color="auto"/>
          <w:color w:val="auto"/>
        </w:rPr>
        <w:t>Section 2.03(c)(i)</w:t>
      </w:r>
      <w:r>
        <w:rPr>
          <w:rFonts w:ascii="Times New Roman" w:cs="Times New Roman" w:eastAsia="Times New Roman" w:hAnsi="Times New Roman"/>
          <w:sz w:val="21"/>
          <w:szCs w:val="21"/>
          <w:color w:val="auto"/>
        </w:rPr>
        <w:t xml:space="preserve"> and (B)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L/C Issuer for the loss resulting from its inability on that date to purchase the Alternative Currency in the full amount of the drawing. If the Company fails to timely reimburse the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0584"/>
          </w:cols>
          <w:pgMar w:left="976" w:top="1422" w:right="339" w:bottom="1440" w:gutter="0" w:footer="0" w:header="0"/>
        </w:sectPr>
      </w:pPr>
    </w:p>
    <w:bookmarkStart w:id="159" w:name="page160"/>
    <w:bookmarkEnd w:id="159"/>
    <w:p>
      <w:pPr>
        <w:jc w:val="both"/>
        <w:spacing w:after="0" w:line="261" w:lineRule="auto"/>
        <w:rPr>
          <w:sz w:val="20"/>
          <w:szCs w:val="20"/>
          <w:color w:val="auto"/>
        </w:rPr>
      </w:pPr>
      <w:r>
        <w:rPr>
          <w:rFonts w:ascii="Times New Roman" w:cs="Times New Roman" w:eastAsia="Times New Roman" w:hAnsi="Times New Roman"/>
          <w:sz w:val="21"/>
          <w:szCs w:val="21"/>
          <w:color w:val="auto"/>
        </w:rPr>
        <w:t>Issuer by such time on the Honor Date, the Pro Rata Facilities Administrative Agent shall promptly notify each Revolving Credit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21"/>
          <w:szCs w:val="21"/>
          <w:u w:val="single" w:color="auto"/>
          <w:color w:val="auto"/>
        </w:rPr>
        <w:t>Unreimbursed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xml:space="preserve">”), and the amount of such Revolving Credit Lender’s Applicable Revolving Credit Percentage thereof. In such event, the Company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for the principal amount of Base Rate Loans, but subject to the amount of the unutilized portion of the Revolving Credit Commitments and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(other than the delivery of a Committed Loan Notice). Any notice given by the L/C Issuer or the Pro Rata Facilities Administrative Agent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2.03(c)(i)</w:t>
      </w:r>
      <w:r>
        <w:rPr>
          <w:rFonts w:ascii="Times New Roman" w:cs="Times New Roman" w:eastAsia="Times New Roman" w:hAnsi="Times New Roman"/>
          <w:sz w:val="21"/>
          <w:szCs w:val="21"/>
          <w:color w:val="auto"/>
        </w:rPr>
        <w:t xml:space="preserve"> may be given by telephone if immediately confirmed in writing;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lack of such an immediate confirmation shall not affect the conclusiveness or binding effect of such notice.</w:t>
      </w:r>
    </w:p>
    <w:p>
      <w:pPr>
        <w:spacing w:after="0" w:line="176" w:lineRule="exact"/>
        <w:rPr>
          <w:sz w:val="20"/>
          <w:szCs w:val="20"/>
          <w:color w:val="auto"/>
        </w:rPr>
      </w:pPr>
    </w:p>
    <w:p>
      <w:pPr>
        <w:jc w:val="both"/>
        <w:ind w:firstLine="644"/>
        <w:spacing w:after="0" w:line="263" w:lineRule="auto"/>
        <w:tabs>
          <w:tab w:leader="none" w:pos="129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Credit Lender shall upon any notice pursuant to </w:t>
      </w:r>
      <w:r>
        <w:rPr>
          <w:rFonts w:ascii="Times New Roman" w:cs="Times New Roman" w:eastAsia="Times New Roman" w:hAnsi="Times New Roman"/>
          <w:sz w:val="21"/>
          <w:szCs w:val="21"/>
          <w:u w:val="single" w:color="auto"/>
          <w:color w:val="auto"/>
        </w:rPr>
        <w:t>Section 2.03(c)(i)</w:t>
      </w:r>
      <w:r>
        <w:rPr>
          <w:rFonts w:ascii="Times New Roman" w:cs="Times New Roman" w:eastAsia="Times New Roman" w:hAnsi="Times New Roman"/>
          <w:sz w:val="21"/>
          <w:szCs w:val="21"/>
          <w:color w:val="auto"/>
        </w:rPr>
        <w:t xml:space="preserve"> make funds available (and the Pro Rata Facilities Administrative Agent may apply Cash Collateral provided for this purpose) for the account of the L/C Issuer at the Pro Rata Facilities Administrative Agent’s Office in an amount equal to its Applicable Revolving Credit Percentage of the Unreimbursed Amount not later than 1:00 p.m. on the Business Day specified in such notice by the Pro Rata Facilities Administrative Agent, whereupon, subject to the provisions of </w:t>
      </w:r>
      <w:r>
        <w:rPr>
          <w:rFonts w:ascii="Times New Roman" w:cs="Times New Roman" w:eastAsia="Times New Roman" w:hAnsi="Times New Roman"/>
          <w:sz w:val="21"/>
          <w:szCs w:val="21"/>
          <w:u w:val="single" w:color="auto"/>
          <w:color w:val="auto"/>
        </w:rPr>
        <w:t>Section 2.03(c)(iii)</w:t>
      </w:r>
      <w:r>
        <w:rPr>
          <w:rFonts w:ascii="Times New Roman" w:cs="Times New Roman" w:eastAsia="Times New Roman" w:hAnsi="Times New Roman"/>
          <w:sz w:val="21"/>
          <w:szCs w:val="21"/>
          <w:color w:val="auto"/>
        </w:rPr>
        <w:t>, each Revolving Credit Lender that so makes funds available shall be deemed to have made a Base Rate Loan to the Company in such amount. The Pro Rata Facilities Administrative Agent shall remit the funds so received to the L/C Issuer.</w:t>
      </w:r>
    </w:p>
    <w:p>
      <w:pPr>
        <w:spacing w:after="0" w:line="172" w:lineRule="exact"/>
        <w:rPr>
          <w:rFonts w:ascii="Times New Roman" w:cs="Times New Roman" w:eastAsia="Times New Roman" w:hAnsi="Times New Roman"/>
          <w:sz w:val="21"/>
          <w:szCs w:val="21"/>
          <w:color w:val="auto"/>
        </w:rPr>
      </w:pPr>
    </w:p>
    <w:p>
      <w:pPr>
        <w:jc w:val="both"/>
        <w:ind w:firstLine="644"/>
        <w:spacing w:after="0" w:line="250" w:lineRule="auto"/>
        <w:tabs>
          <w:tab w:leader="none" w:pos="129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Unreimbursed Amount that is not fully refinanced by a Revolving Credit Borrowing of Base Rate Loans because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cannot be satisfied or for any other reason, the Company shall be deemed to have incurred from the L/C Issuer an L/C Borrowing in the amount of the Unreimbursed Amount that is not so refinanced, which L/C Borrowing shall be due and payable on demand (together with interest) and shall bear interest at the Default Rate. In such event, each Revolving Credit Lender’s payment to the Pro Rata Facilities Administrative Agent for the account of the L/C Issuer pursuant to </w:t>
      </w:r>
      <w:r>
        <w:rPr>
          <w:rFonts w:ascii="Times New Roman" w:cs="Times New Roman" w:eastAsia="Times New Roman" w:hAnsi="Times New Roman"/>
          <w:sz w:val="22"/>
          <w:szCs w:val="22"/>
          <w:u w:val="single" w:color="auto"/>
          <w:color w:val="auto"/>
        </w:rPr>
        <w:t>Section 2.03(c)(ii)</w:t>
      </w:r>
      <w:r>
        <w:rPr>
          <w:rFonts w:ascii="Times New Roman" w:cs="Times New Roman" w:eastAsia="Times New Roman" w:hAnsi="Times New Roman"/>
          <w:sz w:val="22"/>
          <w:szCs w:val="22"/>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right="20" w:firstLine="644"/>
        <w:spacing w:after="0" w:line="257" w:lineRule="auto"/>
        <w:tabs>
          <w:tab w:leader="none" w:pos="128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Until each Revolving Credit Lender funds its Revolving Credit Loan or L/C Advance pursuant to this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to reimburse the L/C Issuer for any amount drawn under any Letter of Credit, interest in respect of such Lender’s Applicable Revolving Credit Percentage of such amount shall be solely for the account of the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0580"/>
          </w:cols>
          <w:pgMar w:left="980" w:top="1422" w:right="339" w:bottom="1440" w:gutter="0" w:footer="0" w:header="0"/>
        </w:sectPr>
      </w:pPr>
    </w:p>
    <w:bookmarkStart w:id="160" w:name="page161"/>
    <w:bookmarkEnd w:id="160"/>
    <w:p>
      <w:pPr>
        <w:jc w:val="both"/>
        <w:ind w:left="4" w:firstLine="644"/>
        <w:spacing w:after="0" w:line="262" w:lineRule="auto"/>
        <w:tabs>
          <w:tab w:leader="none" w:pos="1295"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Credit Lender’s obligation to make Revolving Credit Loans or L/C Advances to reimburse the L/C Issuer for amounts drawn under Letters of Credit, as contemplated by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shall be absolute and unconditional and shall not be affected by any circumstance, including (A) any setoff, counterclaim, recoupment, defense or other right which such Lender may have against the L/C Issuer, the Company, any Restricted Subsidiary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Revolving Credit Lender’s obligation to make Revolving Credit Loans pursuant to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is subject to the conditions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4.02</w:t>
      </w:r>
      <w:r>
        <w:rPr>
          <w:rFonts w:ascii="Times New Roman" w:cs="Times New Roman" w:eastAsia="Times New Roman" w:hAnsi="Times New Roman"/>
          <w:sz w:val="21"/>
          <w:szCs w:val="21"/>
          <w:color w:val="auto"/>
        </w:rPr>
        <w:t xml:space="preserve"> (other than delivery by the Company of a Committed Loan Notice ). No such making of an L/C Advance shall relieve or otherwise impair the obligation of the Company to reimburse the L/C Issuer for the amount of any payment made by the L/C Issuer under any Letter of Credit, together with interest as provided herein.</w:t>
      </w:r>
    </w:p>
    <w:p>
      <w:pPr>
        <w:spacing w:after="0" w:line="171" w:lineRule="exact"/>
        <w:rPr>
          <w:rFonts w:ascii="Times New Roman" w:cs="Times New Roman" w:eastAsia="Times New Roman" w:hAnsi="Times New Roman"/>
          <w:sz w:val="21"/>
          <w:szCs w:val="21"/>
          <w:color w:val="auto"/>
        </w:rPr>
      </w:pPr>
    </w:p>
    <w:p>
      <w:pPr>
        <w:jc w:val="both"/>
        <w:ind w:left="4" w:firstLine="644"/>
        <w:spacing w:after="0" w:line="248" w:lineRule="auto"/>
        <w:tabs>
          <w:tab w:leader="none" w:pos="1288"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Revolving Credit Lender fails to make available to the Pro Rata Facilities Administrative Agent for the account of the L/C Issuer any amount required to be paid by such Lender pursuant to the foregoing provisions of this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by the time specified in </w:t>
      </w:r>
      <w:r>
        <w:rPr>
          <w:rFonts w:ascii="Times New Roman" w:cs="Times New Roman" w:eastAsia="Times New Roman" w:hAnsi="Times New Roman"/>
          <w:sz w:val="22"/>
          <w:szCs w:val="22"/>
          <w:u w:val="single" w:color="auto"/>
          <w:color w:val="auto"/>
        </w:rPr>
        <w:t>Section 2.03(c)(ii)</w:t>
      </w:r>
      <w:r>
        <w:rPr>
          <w:rFonts w:ascii="Times New Roman" w:cs="Times New Roman" w:eastAsia="Times New Roman" w:hAnsi="Times New Roman"/>
          <w:sz w:val="22"/>
          <w:szCs w:val="22"/>
          <w:color w:val="auto"/>
        </w:rPr>
        <w:t xml:space="preserve">, then, without limiting the other provisions of this Agreement, the L/C Issuer shall be entitled to recover from such Lender (acting through the Pro Rata Facilities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the L/C Issuer submitted to any Revolving Credit Lender (through the Pro Rata Facilities Administrative Agent) with respect to any amounts owing under this </w:t>
      </w:r>
      <w:r>
        <w:rPr>
          <w:rFonts w:ascii="Times New Roman" w:cs="Times New Roman" w:eastAsia="Times New Roman" w:hAnsi="Times New Roman"/>
          <w:sz w:val="22"/>
          <w:szCs w:val="22"/>
          <w:u w:val="single" w:color="auto"/>
          <w:color w:val="auto"/>
        </w:rPr>
        <w:t>Section 2.03(c)(vi)</w:t>
      </w:r>
      <w:r>
        <w:rPr>
          <w:rFonts w:ascii="Times New Roman" w:cs="Times New Roman" w:eastAsia="Times New Roman" w:hAnsi="Times New Roman"/>
          <w:sz w:val="22"/>
          <w:szCs w:val="22"/>
          <w:color w:val="auto"/>
        </w:rPr>
        <w:t xml:space="preserve"> shall be conclusive absent manifest error.</w:t>
      </w:r>
    </w:p>
    <w:p>
      <w:pPr>
        <w:spacing w:after="0" w:line="184"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of Participations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0" w:lineRule="auto"/>
        <w:tabs>
          <w:tab w:leader="none" w:pos="1288"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after the L/C Issuer has made a payment under any Letter of Credit and has received from any Revolving Credit Lender such Lender’s L/C Advance in respect of such payment in accordance with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if the Pro Rata Facilities Administrative Agent receives for the account of the L/C Issuer any payment in respect of the related Unreimbursed Amount or interest thereon (whether directly from the Company or otherwise, including proceeds of Cash Collateral applied thereto by the Pro Rata Facilities Administrative Agent), the Pro Rata Facilities Administrative Agent will distribute to such Lender its Applicable Revolving Credit Percentage thereof in the same funds as those received by the Pro Rata Facilities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0584"/>
          </w:cols>
          <w:pgMar w:left="976" w:top="1422" w:right="339" w:bottom="1440" w:gutter="0" w:footer="0" w:header="0"/>
        </w:sectPr>
      </w:pPr>
    </w:p>
    <w:bookmarkStart w:id="161" w:name="page162"/>
    <w:bookmarkEnd w:id="161"/>
    <w:p>
      <w:pPr>
        <w:jc w:val="both"/>
        <w:ind w:left="660" w:firstLine="644"/>
        <w:spacing w:after="0" w:line="249" w:lineRule="auto"/>
        <w:tabs>
          <w:tab w:leader="none" w:pos="195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payment received by the Pro Rata Facilities Administrative Agent for the account of the L/C Issuer pursuant to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 xml:space="preserve"> is required to be returned under any of the circumstances described in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(including pursuant to any settlement entered into by the L/C Issuer in its discretion), each Revolving Credit Lender shall pay to the Pro Rata Facilities Administrative Agent for the account of the L/C Issuer its Applicable Revolving Credit Percentage thereof on demand of the Pro Rata Facilities Administrative Agent,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95"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The obligation of the Company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such Letter of Credit, this Agreement, or any other Loan</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w:t>
      </w:r>
    </w:p>
    <w:p>
      <w:pPr>
        <w:spacing w:after="0" w:line="196" w:lineRule="exact"/>
        <w:rPr>
          <w:sz w:val="20"/>
          <w:szCs w:val="20"/>
          <w:color w:val="auto"/>
        </w:rPr>
      </w:pPr>
    </w:p>
    <w:p>
      <w:pPr>
        <w:jc w:val="both"/>
        <w:ind w:left="660" w:firstLine="644"/>
        <w:spacing w:after="0" w:line="253" w:lineRule="auto"/>
        <w:tabs>
          <w:tab w:leader="none" w:pos="195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counterclaim, setoff, defense or other right that the Company or any Restricted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5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9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waiver by the L/C Issuer of any requirement that exists for the L/C Issuer’s protection and not the protection of the Company or any waiver by the L/C Issuer which does not in fact materially prejudice the Company;</w:t>
      </w:r>
    </w:p>
    <w:p>
      <w:pPr>
        <w:spacing w:after="0" w:line="171"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demand for payment presented electronically even if such Letter of Credit requires that demand be in the form of a draft;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44"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2"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95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by the L/C Issuer under such Letter of Credit against presentation of a draft or certificate that does not strictly comply with the terms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22" w:right="339" w:bottom="1440" w:gutter="0" w:footer="0" w:header="0"/>
        </w:sectPr>
      </w:pPr>
    </w:p>
    <w:bookmarkStart w:id="162" w:name="page163"/>
    <w:bookmarkEnd w:id="162"/>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6" w:lineRule="exact"/>
        <w:rPr>
          <w:sz w:val="20"/>
          <w:szCs w:val="20"/>
          <w:color w:val="auto"/>
        </w:rPr>
      </w:pPr>
    </w:p>
    <w:p>
      <w:pPr>
        <w:ind w:left="660" w:right="20" w:firstLine="644"/>
        <w:spacing w:after="0" w:line="271" w:lineRule="auto"/>
        <w:tabs>
          <w:tab w:leader="none" w:pos="195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adverse change in the relevant exchange rates or in the availability of the relevant Alternative Currency to the Company or any Subsidiary or in the relevant currency markets generally; or</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or happening whatsoever, whether or not similar to any of the foregoing, including any other circumstance that might otherwise constitute a defense available to, or a discharge of, the Company or any of its Restricted Subsidiaries.</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Company shall promptly examine a copy of each Letter of Credit and each amendment thereto that is delivered to it and, in the event of any claim of noncompliance with the Company’s instructions or other irregularity, the Company will immediately notify the L/C Issuer. The Company shall be conclusively deemed to have waived any such claim against the L/C Issuer and its correspondents unless such notice is given as aforesaid.</w:t>
      </w:r>
    </w:p>
    <w:p>
      <w:pPr>
        <w:spacing w:after="0" w:line="179" w:lineRule="exact"/>
        <w:rPr>
          <w:sz w:val="20"/>
          <w:szCs w:val="20"/>
          <w:color w:val="auto"/>
        </w:rPr>
      </w:pPr>
    </w:p>
    <w:p>
      <w:pPr>
        <w:jc w:val="both"/>
        <w:ind w:firstLine="656"/>
        <w:spacing w:after="0" w:line="247" w:lineRule="auto"/>
        <w:tabs>
          <w:tab w:leader="none" w:pos="129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Role of L/C Issuer</w:t>
      </w:r>
      <w:r>
        <w:rPr>
          <w:rFonts w:ascii="Times New Roman" w:cs="Times New Roman" w:eastAsia="Times New Roman" w:hAnsi="Times New Roman"/>
          <w:sz w:val="22"/>
          <w:szCs w:val="22"/>
          <w:color w:val="auto"/>
        </w:rPr>
        <w:t xml:space="preserve">. Each Lender and the Company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Pro Rata Facilities Administrative Agent, any of their respective Related Parties nor any correspondent, participant or assignee of the L/C Issuer shall be liable to any Lender for (i) any action taken or omitted in connection herewith at the request or with the approval of the Revolving Credit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this assumption is not intended to, and shall not, preclude the Company’s pursuing such rights and remedies as it may have against the beneficiary or transferee at law or under any other agreement. None of the L/C Issuer, the Pro Rata Facilities Administrative Agent, any of their respective Related Parties nor any correspondent, participant or assignee of the L/C Issuer shall be liable or responsible for any of the matters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2.03(e)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anything in such clauses to the contrary notwithstanding, the Company may have a claim against the L/C Issuer, and the L/C Issuer may be liable to the Company, to the extent, but only to the extent, of any direct, as opposed to consequential or exemplary, damages suffered by the Company which the Company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22" w:right="339" w:bottom="1440" w:gutter="0" w:footer="0" w:header="0"/>
        </w:sectPr>
      </w:pPr>
    </w:p>
    <w:bookmarkStart w:id="163" w:name="page164"/>
    <w:bookmarkEnd w:id="163"/>
    <w:p>
      <w:pPr>
        <w:jc w:val="both"/>
        <w:spacing w:after="0" w:line="250" w:lineRule="auto"/>
        <w:rPr>
          <w:sz w:val="20"/>
          <w:szCs w:val="20"/>
          <w:color w:val="auto"/>
        </w:rPr>
      </w:pPr>
      <w:r>
        <w:rPr>
          <w:rFonts w:ascii="Times New Roman" w:cs="Times New Roman" w:eastAsia="Times New Roman" w:hAnsi="Times New Roman"/>
          <w:sz w:val="22"/>
          <w:szCs w:val="22"/>
          <w:color w:val="auto"/>
        </w:rPr>
        <w:t>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22"/>
          <w:szCs w:val="22"/>
          <w:u w:val="single" w:color="auto"/>
          <w:color w:val="auto"/>
        </w:rPr>
        <w:t>SWIFT</w:t>
      </w:r>
      <w:r>
        <w:rPr>
          <w:rFonts w:ascii="Times New Roman" w:cs="Times New Roman" w:eastAsia="Times New Roman" w:hAnsi="Times New Roman"/>
          <w:sz w:val="22"/>
          <w:szCs w:val="22"/>
          <w:color w:val="auto"/>
        </w:rPr>
        <w:t>”) message or overnight courier, or any other commercially reasonable means of communicating with a beneficiary.</w:t>
      </w:r>
    </w:p>
    <w:p>
      <w:pPr>
        <w:spacing w:after="0" w:line="180" w:lineRule="exact"/>
        <w:rPr>
          <w:sz w:val="20"/>
          <w:szCs w:val="20"/>
          <w:color w:val="auto"/>
        </w:rPr>
      </w:pPr>
    </w:p>
    <w:p>
      <w:pPr>
        <w:jc w:val="both"/>
        <w:ind w:firstLine="656"/>
        <w:spacing w:after="0" w:line="249" w:lineRule="auto"/>
        <w:tabs>
          <w:tab w:leader="none" w:pos="129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 of ISP and UCP; Limitation of Liability</w:t>
      </w:r>
      <w:r>
        <w:rPr>
          <w:rFonts w:ascii="Times New Roman" w:cs="Times New Roman" w:eastAsia="Times New Roman" w:hAnsi="Times New Roman"/>
          <w:sz w:val="22"/>
          <w:szCs w:val="22"/>
          <w:color w:val="auto"/>
        </w:rPr>
        <w:t>. Unless otherwise expressly agreed by the L/C Issuer and the Company when a Letter of Credit is issued, (i) the rules of the ISP shall apply to each standby Letter of Credit, and (ii) the rules of the UCP shall apply to each commercial Letter of Credit. Notwithstanding the foregoing, the L/C Issuer shall not be responsible to the Company for, and the L/C Issuer’s rights and remedies against the Company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3"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xml:space="preserve">. The Company shall pay to the Pro Rata Facilities Administrative Agent for the account of each Revolving Credit Lender in accordance, subject to adjustment as provided in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with its Applicable Revolving Credit Percentage a Letter of Credit fee (the “</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for each Letter of Credit equal to the Applicable Rate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Letter of Credit Fees shall be (i) due and payable on the third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w:t>
      </w:r>
    </w:p>
    <w:p>
      <w:pPr>
        <w:spacing w:after="0" w:line="184" w:lineRule="exact"/>
        <w:rPr>
          <w:rFonts w:ascii="Times New Roman" w:cs="Times New Roman" w:eastAsia="Times New Roman" w:hAnsi="Times New Roman"/>
          <w:sz w:val="22"/>
          <w:szCs w:val="22"/>
          <w:color w:val="auto"/>
        </w:rPr>
      </w:pPr>
    </w:p>
    <w:p>
      <w:pPr>
        <w:jc w:val="both"/>
        <w:ind w:firstLine="656"/>
        <w:spacing w:after="0" w:line="281" w:lineRule="auto"/>
        <w:tabs>
          <w:tab w:leader="none" w:pos="1284"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Fronting Fee and Documentary and Processing Charges Payable to L/C Issuer</w:t>
      </w:r>
      <w:r>
        <w:rPr>
          <w:rFonts w:ascii="Times New Roman" w:cs="Times New Roman" w:eastAsia="Times New Roman" w:hAnsi="Times New Roman"/>
          <w:sz w:val="21"/>
          <w:szCs w:val="21"/>
          <w:color w:val="auto"/>
        </w:rPr>
        <w:t>. The Company shall pay directly to the L/C Issuer for its own account a fronting fee (i) with respect to each commercial Letter of Credit, at a rate equal to 0.125% per annum, computed on the amount of such Letter of Credit, and payable upon the issuance thereof, (ii)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22" w:right="339" w:bottom="1440" w:gutter="0" w:footer="0" w:header="0"/>
        </w:sectPr>
      </w:pPr>
    </w:p>
    <w:bookmarkStart w:id="164" w:name="page165"/>
    <w:bookmarkEnd w:id="164"/>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any amendment of a commercial Letter of Credit increasing the amount of such Letter of Credit, at a rate separately agreed between the Company and the L/C Issuer, computed on the amount of such increase, and payable upon the effectiveness of such amendment, and (iii) with respect to each standby Letter of Credit, at a rate equal to 0.125% per annum, computed on the daily amount available to be drawn under such Letter of Credit on a quarterly basis in arrears. Such fronting fee shall be due and payable on the third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In addition, the Company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84" w:lineRule="exact"/>
        <w:rPr>
          <w:sz w:val="20"/>
          <w:szCs w:val="20"/>
          <w:color w:val="auto"/>
        </w:rPr>
      </w:pPr>
    </w:p>
    <w:p>
      <w:pPr>
        <w:ind w:firstLine="656"/>
        <w:spacing w:after="0" w:line="271" w:lineRule="auto"/>
        <w:tabs>
          <w:tab w:leader="none" w:pos="128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 with Issuer Documents</w:t>
      </w:r>
      <w:r>
        <w:rPr>
          <w:rFonts w:ascii="Times New Roman" w:cs="Times New Roman" w:eastAsia="Times New Roman" w:hAnsi="Times New Roman"/>
          <w:sz w:val="22"/>
          <w:szCs w:val="22"/>
          <w:color w:val="auto"/>
        </w:rPr>
        <w:t>. In the event of any conflict between the terms hereof and the terms of any Issuer Document, the terms hereof shall control.</w:t>
      </w:r>
    </w:p>
    <w:p>
      <w:pPr>
        <w:spacing w:after="0" w:line="17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Letters of Credit Issued for Restricted Subsidiaries</w:t>
      </w:r>
      <w:r>
        <w:rPr>
          <w:rFonts w:ascii="Times New Roman" w:cs="Times New Roman" w:eastAsia="Times New Roman" w:hAnsi="Times New Roman"/>
          <w:sz w:val="22"/>
          <w:szCs w:val="22"/>
          <w:color w:val="auto"/>
        </w:rPr>
        <w:t>. Notwithstanding that a Letter of Credit issued or outstanding hereunder is in support of any obligations of, or is for the account of, a Restricted Subsidiary, the Company shall be obligated to reimburse the L/C Issuer hereunder for any and all drawings under such Letter of Credit. The Company hereby acknowledges that the issuance of Letters of Credit for the account of Subsidiaries inures to the benefit of the Company, and that the Company’s business derives substantial benefits from the businesses of such Restricted Subsidiaries.</w:t>
      </w:r>
    </w:p>
    <w:p>
      <w:pPr>
        <w:spacing w:after="0" w:line="1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2.04</w:t>
      </w:r>
      <w:r>
        <w:rPr>
          <w:sz w:val="20"/>
          <w:szCs w:val="20"/>
          <w:color w:val="auto"/>
        </w:rPr>
        <w:tab/>
      </w:r>
      <w:r>
        <w:rPr>
          <w:rFonts w:ascii="Times New Roman" w:cs="Times New Roman" w:eastAsia="Times New Roman" w:hAnsi="Times New Roman"/>
          <w:sz w:val="21"/>
          <w:szCs w:val="21"/>
          <w:u w:val="single" w:color="auto"/>
          <w:color w:val="auto"/>
        </w:rPr>
        <w:t>Swing Line Loans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48" w:lineRule="auto"/>
        <w:tabs>
          <w:tab w:leader="none" w:pos="129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Swing Line</w:t>
      </w:r>
      <w:r>
        <w:rPr>
          <w:rFonts w:ascii="Times New Roman" w:cs="Times New Roman" w:eastAsia="Times New Roman" w:hAnsi="Times New Roman"/>
          <w:sz w:val="22"/>
          <w:szCs w:val="22"/>
          <w:color w:val="auto"/>
        </w:rPr>
        <w:t xml:space="preserve">. Subject to the terms and conditions set forth herein, each Swing Line Lender agrees, in reliance upon the agreements of the other Lenders set forth in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to make loans (each such loan, a “</w:t>
      </w:r>
      <w:r>
        <w:rPr>
          <w:rFonts w:ascii="Times New Roman" w:cs="Times New Roman" w:eastAsia="Times New Roman" w:hAnsi="Times New Roman"/>
          <w:sz w:val="22"/>
          <w:szCs w:val="22"/>
          <w:u w:val="single" w:color="auto"/>
          <w:color w:val="auto"/>
        </w:rPr>
        <w:t>Swing Line Loan</w:t>
      </w:r>
      <w:r>
        <w:rPr>
          <w:rFonts w:ascii="Times New Roman" w:cs="Times New Roman" w:eastAsia="Times New Roman" w:hAnsi="Times New Roman"/>
          <w:sz w:val="22"/>
          <w:szCs w:val="22"/>
          <w:color w:val="auto"/>
        </w:rPr>
        <w:t xml:space="preserve">”) to the Company or to any Designated Borrower organized under the laws of a European country from time to time on any Business Day during the Availability Period in an aggregate amount not to exceed at any time outstanding the amount of the Swing Line Sublimit (including giving effect to the proviso contained in the definition thereof), notwithstanding the fact that such Swing Line Loans, when aggregated with the Applicable Revolving Credit Percentage of the Outstanding Amount of Revolving Credit Loans and L/C Obligations of the Lender acting as a Swing Line Lender, may exceed the amount of such Lender’s Revolving Credit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after giving effect to any Swing Line Loan, (i) the Total Revolving Credit Outstandings shall not exceed the Revolving Credit Facility at such time, and (ii) the Revolving Credit Exposure of any Revolving Credit Lender shall not exceed such Lender’s Revolving Credit Commitment and (y) no Swing Line Lender shall be under any obligation to make any Swing Line Loan if it shall determine (which determination shall be conclusive and binding absent manifest error) that it has, or by such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22" w:right="339" w:bottom="1440" w:gutter="0" w:footer="0" w:header="0"/>
        </w:sectPr>
      </w:pPr>
    </w:p>
    <w:bookmarkStart w:id="165" w:name="page166"/>
    <w:bookmarkEnd w:id="165"/>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Extension may have, Fronting Exposure. Within the foregoing limits, and subject to the other terms and conditions hereof, the Company or the applicable Designated Borrower may borrow under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prepay under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reborrow under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Each Swing Line Loan denominated in Dollars shall be made only to the Company and shall bear interest only at a rate based on the SOFR Daily Floating Rate. Each Swing Line Loan denominated in Euros shall be made only to a Designated Borrower organized under the laws of a European country and shall bear interest only at a rate based on Basic ESTR. Immediately upon the making of a Swing Line Loan, each Revolving Credit Lender shall be deemed to, and hereby irrevocably and unconditionally agrees to, purchase from the applicable Swing Line Lender a risk participation in each Swing Line Loan in an amount equal to the product of such Revolving Credit Lender’s Applicable Revolving Credit Percentage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amount of such Swing Line Loan.</w:t>
      </w:r>
    </w:p>
    <w:p>
      <w:pPr>
        <w:spacing w:after="0" w:line="180" w:lineRule="exact"/>
        <w:rPr>
          <w:sz w:val="20"/>
          <w:szCs w:val="20"/>
          <w:color w:val="auto"/>
        </w:rPr>
      </w:pPr>
    </w:p>
    <w:p>
      <w:pPr>
        <w:jc w:val="both"/>
        <w:ind w:firstLine="656"/>
        <w:spacing w:after="0" w:line="246" w:lineRule="auto"/>
        <w:tabs>
          <w:tab w:leader="none" w:pos="129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Borrowing Procedures</w:t>
      </w:r>
      <w:r>
        <w:rPr>
          <w:rFonts w:ascii="Times New Roman" w:cs="Times New Roman" w:eastAsia="Times New Roman" w:hAnsi="Times New Roman"/>
          <w:sz w:val="22"/>
          <w:szCs w:val="22"/>
          <w:color w:val="auto"/>
        </w:rPr>
        <w:t xml:space="preserve">. Each Swing Line Borrowing shall be made upon the Company’s or the applicable Designated Borrower’s irrevocable notice to the applicable Swing Line Lender and the Pro Rata Facilities Administrative Agent (which shall provide notice to the other Swing Line Lender), which may be given by (A) telephone or (B) by a Swing Line Loan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telephonic notice must be confirmed promptly by delivery to the applicable Swing Line Lender and the Pro Rata Facilities Administrative Agent of a Swing Line Loan Notice. Each such notice must be received by the applicable Swing Line Lender and the Pro Rata Facilities Administrative Agent not later than 1:00 p.m. New York City time on the requested borrowing date in the case of Swing Line Loans denominated in Dollars and 11:00 a.m. London time on the requested borrowing date in the case of Swing Line Loans denominated in Euros, and shall specify (i) the amount to be borrowed, which shall be a minimum of $100,000 or €100,000, as applicable, and (ii) the requested borrowing date, which shall be a Business Day. Promptly after receipt by the applicable Swing Line Lender of any Swing Line Loan Notice, the applicable Swing Line Lender will confirm with the Pro Rata Facilities Administrative Agent (by telephone or in writing) that the Pro Rata Facilities Administrative Agent has also received such Swing Line Loan Notice and, if not, the applicable Swing Line Lender will notify the Pro Rata Facilities Administrative Agent (by telephone or in writing) of the contents thereof. Unless the applicable Swing Line Lender has received notice (by telephone or in writing) from the Pro Rata Facilities Administrative Agent (including at the request of any Revolving Credit Lender) prior to 2:00 p.m. New York City time on the requested borrowing date in the case of Swing Line Loans denominated in Dollars or 2:00 p.m. London time on the requested borrowing date in the case of Swing Line Loans denominated in Euros (A) directing the Swing Line Lender not to make such Swing Line Loan as a result of the limitations set forth in the first proviso to the first sentence of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 xml:space="preserve">, or (B) that one or more of the applicable conditions specified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is not then satisfied, then, subject to the terms and conditions hereof, the applicable Swing Line Lender will, not later than 3:00 p.m. New York City time on the borrowing date specified in such Swing Line Loan Notice in the case of Swing Line Loans denominated in Dollars and 3:00 p.m. London time on the borrowing date specified in such Swing Line Loan Notice in the case of Swing Line Loans denominated in Euros, make the amount of its Swing Line Loan available to the Company or the applicable Designated Borrower at its office by crediting the account of the Company or the applicable Designated Borrower on the books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22" w:right="339" w:bottom="1440" w:gutter="0" w:footer="0" w:header="0"/>
        </w:sectPr>
      </w:pPr>
    </w:p>
    <w:bookmarkStart w:id="166" w:name="page167"/>
    <w:bookmarkEnd w:id="166"/>
    <w:p>
      <w:pPr>
        <w:spacing w:after="0" w:line="271" w:lineRule="auto"/>
        <w:rPr>
          <w:sz w:val="20"/>
          <w:szCs w:val="20"/>
          <w:color w:val="auto"/>
        </w:rPr>
      </w:pPr>
      <w:r>
        <w:rPr>
          <w:rFonts w:ascii="Times New Roman" w:cs="Times New Roman" w:eastAsia="Times New Roman" w:hAnsi="Times New Roman"/>
          <w:sz w:val="22"/>
          <w:szCs w:val="22"/>
          <w:color w:val="auto"/>
        </w:rPr>
        <w:t>Swing Line Lender in Same Day Funds or by initiating a wire transfer of such funds as directed by the Company or the applicable Designated Borrower.</w:t>
      </w:r>
    </w:p>
    <w:p>
      <w:pPr>
        <w:spacing w:after="0" w:line="158" w:lineRule="exact"/>
        <w:rPr>
          <w:sz w:val="20"/>
          <w:szCs w:val="20"/>
          <w:color w:val="auto"/>
        </w:rPr>
      </w:pPr>
    </w:p>
    <w:p>
      <w:pPr>
        <w:ind w:left="1300" w:hanging="644"/>
        <w:spacing w:after="0"/>
        <w:tabs>
          <w:tab w:leader="none" w:pos="13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Refinancing of Swing Line Loans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944"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Either Swing Line Lender at any time in its sole and absolute discretion may request, on behalf of the Company (which hereby irrevocably authorizes each Swing Line Lender to so request on its behalf), that each Revolving Credit Lender make a SOFR Daily Floating Rate Loan for Swing Line Loans denominated in Dollars or a Euro Swing Line Rate Loan for Swing Line Loans denominated in Euros in an amount equal to such Lender’s Applicable Revolving Credit Percentage of the amount of Swing Line Loans then outstanding.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without regard to the minimum and multiples specified therein for the principal amount of SOFR Daily Floating Rate Loans or Euro Swing Line Rate Loans, but subject to the unutilized portion of the Revolving Credit Facility and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Each Swing Line Lender shall furnish the Company with a copy of the applicable Committed Loan Notice promptly after delivering such notice to the Pro Rata Facilities Administrative Agent. Each Revolving Credit Lender shall make an amount equal to its Applicable Revolving Credit Percentage of the amount specified in such Committed Loan Notice available to the Pro Rata Facilities Administrative Agent in Same Day Funds (and the Pro Rata Facilities Administrative Agent may apply Cash Collateral available with respect to the applicable Swing Line Loan) for the account of the applicable Swing Line Lender at the Administrative Agent’s Office not later than 1:00 p.m. New York City time on the day specified in such Committed Loan Notice for Swing Line Loans denominated in Dollars and 11:00 a.m. London time on the day specified in such Committed Loan Notice for Swing Line Loans denominated in Euros, whereupon, subject to </w:t>
      </w:r>
      <w:r>
        <w:rPr>
          <w:rFonts w:ascii="Times New Roman" w:cs="Times New Roman" w:eastAsia="Times New Roman" w:hAnsi="Times New Roman"/>
          <w:sz w:val="21"/>
          <w:szCs w:val="21"/>
          <w:u w:val="single" w:color="auto"/>
          <w:color w:val="auto"/>
        </w:rPr>
        <w:t>Section 2.04(c)(ii)</w:t>
      </w:r>
      <w:r>
        <w:rPr>
          <w:rFonts w:ascii="Times New Roman" w:cs="Times New Roman" w:eastAsia="Times New Roman" w:hAnsi="Times New Roman"/>
          <w:sz w:val="21"/>
          <w:szCs w:val="21"/>
          <w:color w:val="auto"/>
        </w:rPr>
        <w:t>, each Revolving Credit Lender that so makes funds available shall be deemed to have made a SOFR Daily Floating Rate Loan to the Company or a Euro Swing Line Rate Loan to the applicable Designated Borrower in such amount. The Pro Rata Facilities Administrative Agent shall remit the funds so received to the applicable Swing Line Lender.</w:t>
      </w:r>
    </w:p>
    <w:p>
      <w:pPr>
        <w:spacing w:after="0" w:line="174" w:lineRule="exact"/>
        <w:rPr>
          <w:rFonts w:ascii="Times New Roman" w:cs="Times New Roman" w:eastAsia="Times New Roman" w:hAnsi="Times New Roman"/>
          <w:sz w:val="21"/>
          <w:szCs w:val="21"/>
          <w:color w:val="auto"/>
        </w:rPr>
      </w:pPr>
    </w:p>
    <w:p>
      <w:pPr>
        <w:jc w:val="both"/>
        <w:ind w:left="660" w:firstLine="644"/>
        <w:spacing w:after="0" w:line="251" w:lineRule="auto"/>
        <w:tabs>
          <w:tab w:leader="none" w:pos="195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for any reason any Swing Line Loan cannot be refinanced by such a Revolving Credit Borrowing in accordance with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the request for SOFR Daily Floating Rate Loans or Euro Swing Line Rate Loans submitted by the applicable Swing Line Lender as set forth herein shall be deemed to be a request by the applicable Swing Line Lender that each of the Revolving Credit Lenders fund its risk participation in the relevant Swing Line Loan and each Revolving Credit Lender’s payment to the Pro Rata Facilities Administrative Agent for the account of the Swing Line Lender pursuant to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shall be deemed payment in respect of such participation.</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6"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Revolving Credit Lender fails to make available to the Pro Rata Facilities Administrative Agent for the account of the applicable Swing Line Lender any amount required to be paid by such Lender pursuant to the foregoing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22" w:right="339" w:bottom="1440" w:gutter="0" w:footer="0" w:header="0"/>
        </w:sectPr>
      </w:pPr>
    </w:p>
    <w:bookmarkStart w:id="167" w:name="page168"/>
    <w:bookmarkEnd w:id="167"/>
    <w:p>
      <w:pPr>
        <w:jc w:val="both"/>
        <w:ind w:left="4"/>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by the time specified in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the applicable Swing Line Lender shall be entitled to recover from such Lender (acting through the Pro Rata Facilities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applicable Swing Line Lender submitted to any Lender (through the Pro Rata Facilities Administrative Agent) with respect to any amounts owing under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shall be conclusive absent manifest error.</w:t>
      </w:r>
    </w:p>
    <w:p>
      <w:pPr>
        <w:spacing w:after="0" w:line="183" w:lineRule="exact"/>
        <w:rPr>
          <w:sz w:val="20"/>
          <w:szCs w:val="20"/>
          <w:color w:val="auto"/>
        </w:rPr>
      </w:pPr>
    </w:p>
    <w:p>
      <w:pPr>
        <w:jc w:val="both"/>
        <w:ind w:left="4" w:firstLine="644"/>
        <w:spacing w:after="0" w:line="248" w:lineRule="auto"/>
        <w:tabs>
          <w:tab w:leader="none" w:pos="1288"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Revolving Credit Lender’s obligation to make Revolving Credit Loans or to purchase and fund risk participations in Swing Line Loans pursuant to this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shall be absolute and unconditional and shall not be affected by any circumstance, including (A) any setoff, counterclaim, recoupment, defense or other right which such Lender may have against any Swing Line Lender, the Company, any Designated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each Revolving Credit Lender’s obligation to make Revolving Credit Loans pursuant to this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is subject to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No such funding of risk participations shall relieve or otherwise impair the obligation of the Company or any Designated Borrower to repay Swing Line Loans, together with interest as provided herein.</w:t>
      </w:r>
    </w:p>
    <w:p>
      <w:pPr>
        <w:spacing w:after="0" w:line="198"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of Participations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2" w:lineRule="auto"/>
        <w:tabs>
          <w:tab w:leader="none" w:pos="1288"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92" w:lineRule="exact"/>
        <w:rPr>
          <w:rFonts w:ascii="Times New Roman" w:cs="Times New Roman" w:eastAsia="Times New Roman" w:hAnsi="Times New Roman"/>
          <w:sz w:val="22"/>
          <w:szCs w:val="22"/>
          <w:color w:val="auto"/>
        </w:rPr>
      </w:pPr>
    </w:p>
    <w:p>
      <w:pPr>
        <w:jc w:val="both"/>
        <w:ind w:left="4" w:firstLine="644"/>
        <w:spacing w:after="0" w:line="250" w:lineRule="auto"/>
        <w:tabs>
          <w:tab w:leader="none" w:pos="129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payment received by the applicable Swing Line Lender in respect of principal or interest on any Swing Line Loan is required to be returned by such Swing Line Lender under any of the circumstances described in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(including pursuant to any settlement entered into by such Swing Line Lender in its discretion), each Revolving Credit Lender shall pay to such Swing Line Lender its Applicable Revolving Credit Percentage thereof on demand of the Pro Rata Facilities Administrative Agent,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interest thereon from the date of such demand to the date such amount is returned, at a rate per annum equal to the applicable Overnight Rate. The Pro Rata Facilities Administrative Agent will make such demand upon the request of the applicable Swing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0584"/>
          </w:cols>
          <w:pgMar w:left="976" w:top="1422" w:right="339" w:bottom="1440" w:gutter="0" w:footer="0" w:header="0"/>
        </w:sectPr>
      </w:pPr>
    </w:p>
    <w:bookmarkStart w:id="168" w:name="page169"/>
    <w:bookmarkEnd w:id="168"/>
    <w:p>
      <w:pPr>
        <w:ind w:left="660"/>
        <w:spacing w:after="0" w:line="271" w:lineRule="auto"/>
        <w:rPr>
          <w:sz w:val="20"/>
          <w:szCs w:val="20"/>
          <w:color w:val="auto"/>
        </w:rPr>
      </w:pPr>
      <w:r>
        <w:rPr>
          <w:rFonts w:ascii="Times New Roman" w:cs="Times New Roman" w:eastAsia="Times New Roman" w:hAnsi="Times New Roman"/>
          <w:sz w:val="22"/>
          <w:szCs w:val="22"/>
          <w:color w:val="auto"/>
        </w:rPr>
        <w:t>Line Lender. The obligations of the Lenders under this clause shall survive the payment in full of the Obligations and the termination of this Agreement.</w:t>
      </w:r>
    </w:p>
    <w:p>
      <w:pPr>
        <w:spacing w:after="0" w:line="158" w:lineRule="exact"/>
        <w:rPr>
          <w:sz w:val="20"/>
          <w:szCs w:val="20"/>
          <w:color w:val="auto"/>
        </w:rPr>
      </w:pPr>
    </w:p>
    <w:p>
      <w:pPr>
        <w:jc w:val="both"/>
        <w:ind w:firstLine="656"/>
        <w:spacing w:after="0" w:line="253" w:lineRule="auto"/>
        <w:tabs>
          <w:tab w:leader="none" w:pos="129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for Account of Swing Line Lenders</w:t>
      </w:r>
      <w:r>
        <w:rPr>
          <w:rFonts w:ascii="Times New Roman" w:cs="Times New Roman" w:eastAsia="Times New Roman" w:hAnsi="Times New Roman"/>
          <w:sz w:val="22"/>
          <w:szCs w:val="22"/>
          <w:color w:val="auto"/>
        </w:rPr>
        <w:t xml:space="preserve">. Each Swing Line Lender shall be responsible for invoicing the Company for interest on the applicable Swing Line Loans. Until each Revolving Credit Lender funds its SOFR Daily Floating Rate Loan, Euro Swing Line Rate Loan or risk participation pursuant to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to refinance such Revolving Credit Lender’s Applicable Revolving Credit Percentage of any Swing Line Loan, interest in respect of such Applicable Revolving Credit Percentage shall be solely for the account of the applicable Swing Line Lender.</w:t>
      </w:r>
    </w:p>
    <w:p>
      <w:pPr>
        <w:spacing w:after="0" w:line="178"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Directly to Swing Line Lender</w:t>
      </w:r>
      <w:r>
        <w:rPr>
          <w:rFonts w:ascii="Times New Roman" w:cs="Times New Roman" w:eastAsia="Times New Roman" w:hAnsi="Times New Roman"/>
          <w:sz w:val="22"/>
          <w:szCs w:val="22"/>
          <w:color w:val="auto"/>
        </w:rPr>
        <w:t>. The applicable Borrower shall make all payments of principal and interest in respect of the Swing Line Loans directly to the applicable Swing Line Lender.</w:t>
      </w:r>
    </w:p>
    <w:p>
      <w:pPr>
        <w:spacing w:after="0" w:line="1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2.05</w:t>
      </w:r>
      <w:r>
        <w:rPr>
          <w:sz w:val="20"/>
          <w:szCs w:val="20"/>
          <w:color w:val="auto"/>
        </w:rPr>
        <w:tab/>
      </w:r>
      <w:r>
        <w:rPr>
          <w:rFonts w:ascii="Times New Roman" w:cs="Times New Roman" w:eastAsia="Times New Roman" w:hAnsi="Times New Roman"/>
          <w:sz w:val="21"/>
          <w:szCs w:val="21"/>
          <w:u w:val="single" w:color="auto"/>
          <w:color w:val="auto"/>
        </w:rPr>
        <w:t>Prepayments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hanging="644"/>
        <w:spacing w:after="0"/>
        <w:tabs>
          <w:tab w:leader="none" w:pos="130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944"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Borrower may, upon notice from the Company to the Applicable Facility Agent (with a copy to the General Administrative Agent), at any time or from time to time voluntarily prepay Term Loans and Revolving Credit Loans in whole or in part without premium or penalty;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notice must be in a form acceptable to the Applicable Facility Agent and be received by the Applicable Facility Agent not later than 1:00 p.m. (1) three Business Days prior to any date of prepayment of Term SOFR Loans, (2) four Business Days (or five in the case of prepayment of Loans denominated in Special Notice Currencies) prior to any date of prepayment of any Alternative Currency Loans, and</w:t>
      </w:r>
    </w:p>
    <w:p>
      <w:pPr>
        <w:jc w:val="both"/>
        <w:ind w:left="66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(3) on the date of prepayment of Base Rate Loans; (B) any prepayment of Term SOFR Loans denominated in Dollars shall be in a principal amount equal to $1,000,000 or a whole multiple of $500,000 in excess thereof and Alternative Currency Loans shall be in a principal amount of the Dollar Equivalent of $5,000,000 or a whole multiple of the Dollar Equivalent of $1,000,000 in excess thereof; and (D)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Term SOFR Loans or Alternative Currency Term Loans are to be prepaid, the Interest Period(s) of such Loans. The Applicable Facility Agent will promptly notify each Lender under the applicable Facility of its receipt of each such notice, and of the amount of such Lender’s Applicable Percentage or such prepayment. If such notice is given by the Company, the applicable Borrower shall make such prepayment and the payment amount specified in such notice shall be due and payable on the date specified therein. Any prepayment of Term SOFR Loans or Alternative Currency Loans shall be accompanied by all accrued interest on the amount prepaid, together with any additional amounts required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Each prepayment of the outstanding Term Loans pursuant to this </w:t>
      </w:r>
      <w:r>
        <w:rPr>
          <w:rFonts w:ascii="Times New Roman" w:cs="Times New Roman" w:eastAsia="Times New Roman" w:hAnsi="Times New Roman"/>
          <w:sz w:val="22"/>
          <w:szCs w:val="22"/>
          <w:u w:val="single" w:color="auto"/>
          <w:color w:val="auto"/>
        </w:rPr>
        <w:t>Section 2.05(a)</w:t>
      </w:r>
      <w:r>
        <w:rPr>
          <w:rFonts w:ascii="Times New Roman" w:cs="Times New Roman" w:eastAsia="Times New Roman" w:hAnsi="Times New Roman"/>
          <w:sz w:val="22"/>
          <w:szCs w:val="22"/>
          <w:color w:val="auto"/>
        </w:rPr>
        <w:t xml:space="preserve"> shall be applied to the principal repayment installments thereof 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22" w:right="339" w:bottom="1440" w:gutter="0" w:footer="0" w:header="0"/>
        </w:sectPr>
      </w:pPr>
    </w:p>
    <w:bookmarkStart w:id="169" w:name="page170"/>
    <w:bookmarkEnd w:id="169"/>
    <w:p>
      <w:pPr>
        <w:jc w:val="both"/>
        <w:ind w:left="4" w:right="20"/>
        <w:spacing w:after="0" w:line="257" w:lineRule="auto"/>
        <w:rPr>
          <w:sz w:val="20"/>
          <w:szCs w:val="20"/>
          <w:color w:val="auto"/>
        </w:rPr>
      </w:pPr>
      <w:r>
        <w:rPr>
          <w:rFonts w:ascii="Times New Roman" w:cs="Times New Roman" w:eastAsia="Times New Roman" w:hAnsi="Times New Roman"/>
          <w:sz w:val="22"/>
          <w:szCs w:val="22"/>
          <w:color w:val="auto"/>
        </w:rPr>
        <w:t xml:space="preserve">may direct (and, in the absence of any such direction, on a pro rata basis across the remaining quarterly principal installments thereof). Subject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each such prepayment shall be paid to the Lenders in accordance with their respective Applicable Percentages in respect of each of the relevant Facilities.</w:t>
      </w:r>
    </w:p>
    <w:p>
      <w:pPr>
        <w:spacing w:after="0" w:line="186" w:lineRule="exact"/>
        <w:rPr>
          <w:sz w:val="20"/>
          <w:szCs w:val="20"/>
          <w:color w:val="auto"/>
        </w:rPr>
      </w:pPr>
    </w:p>
    <w:p>
      <w:pPr>
        <w:jc w:val="both"/>
        <w:ind w:left="4" w:firstLine="644"/>
        <w:spacing w:after="0" w:line="248" w:lineRule="auto"/>
        <w:tabs>
          <w:tab w:leader="none" w:pos="1294"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upon notice to the applicable Swing Line Lender (with a copy to the Pro Rata Facilities Administrative Agent), at any time or from time to time, voluntarily prepay Swing Line Loans in whole or in part without premium or penalty;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notice must be received by the applicable Swing Line Lender and the Pro Rata Facilities Administrative Agent not later than 1:00 p.m. New York City time on the date of the prepayment in the case of Swing Line Loans denominated in Dollars and 1:00 p.m. London time on the date of the prepayment in the case of Swing Line Loans denominated in Euros, and (B) any such prepayment shall be in a minimum principal amount of $100,000. Each such notice shall specify the date and amount of such prepayment. If such notice is given by the Company, the applicable Borrower shall make such prepayment and the payment amount specified in such notice shall be due and payable on the date specified therein.</w:t>
      </w:r>
    </w:p>
    <w:p>
      <w:pPr>
        <w:spacing w:after="0" w:line="185" w:lineRule="exact"/>
        <w:rPr>
          <w:rFonts w:ascii="Times New Roman" w:cs="Times New Roman" w:eastAsia="Times New Roman" w:hAnsi="Times New Roman"/>
          <w:sz w:val="22"/>
          <w:szCs w:val="22"/>
          <w:color w:val="auto"/>
        </w:rPr>
      </w:pPr>
    </w:p>
    <w:p>
      <w:pPr>
        <w:jc w:val="both"/>
        <w:ind w:left="4" w:firstLine="644"/>
        <w:spacing w:after="0" w:line="250" w:lineRule="auto"/>
        <w:tabs>
          <w:tab w:leader="none" w:pos="1300"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on or prior to the date that is six (6) months after the Amendment No. 5 Effective Date, the Company (i) makes any prepayment of Term B Loans in connection with any Repricing Event or (ii) effects any amendment of this Agreement resulting in a Repricing Event, the Company shall pay or cause to be paid to the Term Loan B Administrative Agent, for the ratable account of each of the applicable Term B Lenders, (x) in the case of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 prepayment premium of 1.00% of the amount of the Term B Loans being prepaid and (y) in the case of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an amount equal to 1.00% of the aggregate amount of the applicable Term B Loans outstanding immediately prior to such amendment.</w:t>
      </w:r>
    </w:p>
    <w:p>
      <w:pPr>
        <w:spacing w:after="0" w:line="193"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288"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Company or any of its Restricted Subsidiaries Disposes of any property (other than any Disposition of any property permitted by </w:t>
      </w:r>
      <w:r>
        <w:rPr>
          <w:rFonts w:ascii="Times New Roman" w:cs="Times New Roman" w:eastAsia="Times New Roman" w:hAnsi="Times New Roman"/>
          <w:sz w:val="22"/>
          <w:szCs w:val="22"/>
          <w:u w:val="single" w:color="auto"/>
          <w:color w:val="auto"/>
        </w:rPr>
        <w:t>Section 7.05(a)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which results in the realization by such Person of Net Cash Proceeds (other than from the Company or a Restricted Subsidiary in a transaction permitted hereby), the Borrowers shall prepay an aggregate principal amount of Loans equal to 100% of such Net Cash Proceeds immediately upon receipt thereof by such Person (such prepayments to be applied as set forth in clauses (iv) and (vi)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 prepayment shall be required to be made (x) for any Disposition where such Disposition (when combined with all other Dispositions in a series of related Dispositions) is under $10,000,000 and (y) with the first $25,000,000 of Net Cash Proceeds from Dispositions (including Dispositions of less than $10,000,000)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any exclusion of prepayments from Net Cash Proceeds of Extraordinary Receipts resulting from the application of proviso (A) to clause (iii) below) in any fiscal year of the Company and (B) with respect to any Net Cash Proceeds realized under a Disposition described in this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 at the election of the Company (as notified by the Company to the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0584"/>
          </w:cols>
          <w:pgMar w:left="976" w:top="1422" w:right="339" w:bottom="1440" w:gutter="0" w:footer="0" w:header="0"/>
        </w:sectPr>
      </w:pPr>
    </w:p>
    <w:bookmarkStart w:id="170" w:name="page171"/>
    <w:bookmarkEnd w:id="170"/>
    <w:p>
      <w:pPr>
        <w:jc w:val="both"/>
        <w:ind w:left="4"/>
        <w:spacing w:after="0" w:line="263" w:lineRule="auto"/>
        <w:rPr>
          <w:sz w:val="20"/>
          <w:szCs w:val="20"/>
          <w:color w:val="auto"/>
        </w:rPr>
      </w:pPr>
      <w:r>
        <w:rPr>
          <w:rFonts w:ascii="Times New Roman" w:cs="Times New Roman" w:eastAsia="Times New Roman" w:hAnsi="Times New Roman"/>
          <w:sz w:val="21"/>
          <w:szCs w:val="21"/>
          <w:color w:val="auto"/>
        </w:rPr>
        <w:t xml:space="preserve">Administrative Agent) on or prior to the date of such Disposition), and so long as no Default shall have occurred and be continuing, the Company or such Restricted Subsidiary may reinvest all or any portion of such Net Cash Proceeds in operating assets or assets useful in the business of the Company and its Restricted Subsidiaries, including Permitted Acquisitions, so long as (x) within 365 days after the receipt of such Net Cash Proceeds, such reinvestment shall have been consummated (as certified by the Company in writing to the General Administrative Agent) and (y) if a definitive agreement to so reinvest has been executed within such 365-day period, then such reinvestment shall have been consummated within 545 days after the receipt of such Net Cash Proceeds (as certified by the Company in writing to the General Administrative Agent), it being understood that any Net Cash Proceeds not so reinvested shall be immediately applied to the prepayment of the Loans as set forth in this </w:t>
      </w:r>
      <w:r>
        <w:rPr>
          <w:rFonts w:ascii="Times New Roman" w:cs="Times New Roman" w:eastAsia="Times New Roman" w:hAnsi="Times New Roman"/>
          <w:sz w:val="21"/>
          <w:szCs w:val="21"/>
          <w:u w:val="single" w:color="auto"/>
          <w:color w:val="auto"/>
        </w:rPr>
        <w:t>Section 2.05(b)(i)</w:t>
      </w:r>
      <w:r>
        <w:rPr>
          <w:rFonts w:ascii="Times New Roman" w:cs="Times New Roman" w:eastAsia="Times New Roman" w:hAnsi="Times New Roman"/>
          <w:sz w:val="21"/>
          <w:szCs w:val="21"/>
          <w:color w:val="auto"/>
        </w:rPr>
        <w:t>) (giving effect to the preceding proviso (A)).</w:t>
      </w:r>
    </w:p>
    <w:p>
      <w:pPr>
        <w:spacing w:after="0" w:line="170" w:lineRule="exact"/>
        <w:rPr>
          <w:sz w:val="20"/>
          <w:szCs w:val="20"/>
          <w:color w:val="auto"/>
        </w:rPr>
      </w:pPr>
    </w:p>
    <w:p>
      <w:pPr>
        <w:jc w:val="both"/>
        <w:ind w:left="4" w:firstLine="644"/>
        <w:spacing w:after="0" w:line="260" w:lineRule="auto"/>
        <w:tabs>
          <w:tab w:leader="none" w:pos="1294"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incurrence or issuance by the Company or any of its Restricted Subsidiaries of any Indebtedness (other than Indebtedness expressly permitted to be incurred or issued pursuant to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the Borrowers shall prepay an aggregate principal amount of Loans equal to 100% of all Net Cash Proceeds received therefrom immediately upon receipt thereof by the Company or such Restricted Subsidiary (such prepayments to be applied as set forth in clauses</w:t>
      </w:r>
    </w:p>
    <w:p>
      <w:pPr>
        <w:spacing w:after="0" w:line="3" w:lineRule="exact"/>
        <w:rPr>
          <w:rFonts w:ascii="Times New Roman" w:cs="Times New Roman" w:eastAsia="Times New Roman" w:hAnsi="Times New Roman"/>
          <w:sz w:val="21"/>
          <w:szCs w:val="21"/>
          <w:color w:val="auto"/>
        </w:rPr>
      </w:pPr>
    </w:p>
    <w:p>
      <w:pPr>
        <w:ind w:left="304" w:hanging="304"/>
        <w:spacing w:after="0"/>
        <w:tabs>
          <w:tab w:leader="none" w:pos="30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(vii) below).</w:t>
      </w:r>
    </w:p>
    <w:p>
      <w:pPr>
        <w:spacing w:after="0" w:line="209" w:lineRule="exact"/>
        <w:rPr>
          <w:rFonts w:ascii="Times New Roman" w:cs="Times New Roman" w:eastAsia="Times New Roman" w:hAnsi="Times New Roman"/>
          <w:sz w:val="22"/>
          <w:szCs w:val="22"/>
          <w:color w:val="auto"/>
        </w:rPr>
      </w:pPr>
    </w:p>
    <w:p>
      <w:pPr>
        <w:jc w:val="both"/>
        <w:ind w:left="4" w:firstLine="644"/>
        <w:spacing w:after="0" w:line="247" w:lineRule="auto"/>
        <w:tabs>
          <w:tab w:leader="none" w:pos="130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any Extraordinary Receipt received by or paid to or for the account of the Company or any of its Restricted Subsidiaries, and not otherwise included in clause (i) or (ii) of this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the Borrowers shall prepay an aggregate principal amount of Loans equal to 100% of such Net Cash Proceeds received therefrom immediately upon receipt thereof by the Company or such Restricted Subsidiary (such prepayments to be applied as set forth in clauses (iv) and (vi)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 prepayment shall be required to be made (x) if the Extraordinary Receipts from such occurrence or series of occurrences are less than $10,000,000 and (y) with the first $25,000,000 of Net Cash Proceeds from Extraordinary Receipts (including Extraordinary Receipts of less than $10,000,000)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any exclusion of prepayments from Net Cash Proceeds of Dispositions resulting from the application of proviso (A) to clause (i) above) in any fiscal year of the Company and (B) with respect to any proceeds of insurance or condemnation awards (or payments in lieu thereof), at the election of the Company (as notified by the Company to the General Administrative Agent on or prior to the date of receipt of such insurance proceeds or condemnation awards), and so long as no Default shall have occurred and be continuing, the Company or such Restricted Subsidiary may apply such cash proceeds to replace or repair the equipment, fixed assets or real property in respect of which such cash proceeds were received or other assets useful in the business of the Company and its Restricted Subsidiaries, including Permitted Acquisitions, so long as (x) within 365 days after the receipt of such Net Cash Proceeds, such reinvestment shall have been consummated (as certified by the Company in writing to the General Administrative Agent) and (y) if a definitive agreement to so reinvest has been executed within such 365-day period, then such reinvestment shall have been consummated within 545 days after the receipt of such Net Cash Proceeds (as certified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0584"/>
          </w:cols>
          <w:pgMar w:left="976" w:top="1422" w:right="339" w:bottom="1440" w:gutter="0" w:footer="0" w:header="0"/>
        </w:sectPr>
      </w:pPr>
    </w:p>
    <w:bookmarkStart w:id="171" w:name="page172"/>
    <w:bookmarkEnd w:id="171"/>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the Company in writing to the General Administrative Agent), it being understood that any Net Cash Proceeds not so applied shall be immediately applied to the prepayment of the Loans as set forth in this </w:t>
      </w:r>
      <w:r>
        <w:rPr>
          <w:rFonts w:ascii="Times New Roman" w:cs="Times New Roman" w:eastAsia="Times New Roman" w:hAnsi="Times New Roman"/>
          <w:sz w:val="22"/>
          <w:szCs w:val="22"/>
          <w:u w:val="single" w:color="auto"/>
          <w:color w:val="auto"/>
        </w:rPr>
        <w:t>Section 2.05(b)(iii)</w:t>
      </w:r>
      <w:r>
        <w:rPr>
          <w:rFonts w:ascii="Times New Roman" w:cs="Times New Roman" w:eastAsia="Times New Roman" w:hAnsi="Times New Roman"/>
          <w:sz w:val="22"/>
          <w:szCs w:val="22"/>
          <w:color w:val="auto"/>
        </w:rPr>
        <w:t xml:space="preserve"> (giving effect to the preceding proviso (A)).</w:t>
      </w:r>
    </w:p>
    <w:p>
      <w:pPr>
        <w:spacing w:after="0" w:line="204" w:lineRule="exact"/>
        <w:rPr>
          <w:sz w:val="20"/>
          <w:szCs w:val="20"/>
          <w:color w:val="auto"/>
        </w:rPr>
      </w:pPr>
    </w:p>
    <w:p>
      <w:pPr>
        <w:jc w:val="both"/>
        <w:ind w:firstLine="644"/>
        <w:spacing w:after="0" w:line="248" w:lineRule="auto"/>
        <w:tabs>
          <w:tab w:leader="none" w:pos="128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Within ten Business Days after the date on which financial statements have been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6.01(a)</w:t>
      </w:r>
      <w:r>
        <w:rPr>
          <w:rFonts w:ascii="Times New Roman" w:cs="Times New Roman" w:eastAsia="Times New Roman" w:hAnsi="Times New Roman"/>
          <w:sz w:val="20"/>
          <w:szCs w:val="20"/>
          <w:color w:val="auto"/>
        </w:rPr>
        <w:t xml:space="preserve"> and the related Compliance Certificate has been delivered pursuant to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xml:space="preserve"> commencing with the financial statements for the first full fiscal year ending after the Amendment No. 5 Effective Date, the Company shall prepay an aggregate principal amount of Term B Loans (the “</w:t>
      </w:r>
      <w:r>
        <w:rPr>
          <w:rFonts w:ascii="Times New Roman" w:cs="Times New Roman" w:eastAsia="Times New Roman" w:hAnsi="Times New Roman"/>
          <w:sz w:val="20"/>
          <w:szCs w:val="20"/>
          <w:u w:val="single" w:color="auto"/>
          <w:color w:val="auto"/>
        </w:rPr>
        <w:t>ECF Payment Amount</w:t>
      </w:r>
      <w:r>
        <w:rPr>
          <w:rFonts w:ascii="Times New Roman" w:cs="Times New Roman" w:eastAsia="Times New Roman" w:hAnsi="Times New Roman"/>
          <w:sz w:val="20"/>
          <w:szCs w:val="20"/>
          <w:color w:val="auto"/>
        </w:rPr>
        <w:t>”) equal to (A) the Applicable ECF Percentage of the amount equal to Excess Cash Flow for the applicable Excess Cash Flow Period minus (B) at the option of the Company, without duplication, the sum of:</w:t>
      </w:r>
    </w:p>
    <w:p>
      <w:pPr>
        <w:spacing w:after="0" w:line="192" w:lineRule="exact"/>
        <w:rPr>
          <w:rFonts w:ascii="Times New Roman" w:cs="Times New Roman" w:eastAsia="Times New Roman" w:hAnsi="Times New Roman"/>
          <w:sz w:val="22"/>
          <w:szCs w:val="22"/>
          <w:color w:val="auto"/>
        </w:rPr>
      </w:pPr>
    </w:p>
    <w:p>
      <w:pPr>
        <w:jc w:val="both"/>
        <w:ind w:left="640" w:firstLine="652"/>
        <w:spacing w:after="0" w:line="253" w:lineRule="auto"/>
        <w:tabs>
          <w:tab w:leader="none" w:pos="1925"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voluntary or mandatory prepayments of Term Loans and any other prepayments of Incremental Equivalent Debt and/or other Indebtedness secured by Liens on the Collateral on a pari passu basis or senior basis to the Liens on the Collateral securing the Term Loans (including in connection with debt buybacks made by the Company in an amount equal to the discounted amount actually paid in respect thereof and/or otherwise, and/or application of any “yank-a-bank” provisions), </w:t>
      </w:r>
      <w:r>
        <w:rPr>
          <w:rFonts w:ascii="Times New Roman" w:cs="Times New Roman" w:eastAsia="Times New Roman" w:hAnsi="Times New Roman"/>
          <w:sz w:val="22"/>
          <w:szCs w:val="22"/>
          <w:u w:val="single" w:color="auto"/>
          <w:color w:val="auto"/>
        </w:rPr>
        <w:t>plus</w:t>
      </w:r>
    </w:p>
    <w:p>
      <w:pPr>
        <w:spacing w:after="0" w:line="205" w:lineRule="exact"/>
        <w:rPr>
          <w:rFonts w:ascii="Times New Roman" w:cs="Times New Roman" w:eastAsia="Times New Roman" w:hAnsi="Times New Roman"/>
          <w:sz w:val="22"/>
          <w:szCs w:val="22"/>
          <w:color w:val="auto"/>
        </w:rPr>
      </w:pPr>
    </w:p>
    <w:p>
      <w:pPr>
        <w:jc w:val="both"/>
        <w:ind w:left="640" w:firstLine="652"/>
        <w:spacing w:after="0" w:line="253" w:lineRule="auto"/>
        <w:tabs>
          <w:tab w:leader="none" w:pos="1927"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voluntary or mandatory prepayments of Revolving Credit Loans to the extent the applicable Revolving Credit Commitments are permanently reduced by the amount of such payments or any voluntary or mandatory prepayments of revolving loans or other revolving Indebtedness secured by Liens on the Collateral on a pari passu basis or senior basis to the Liens on the Collateral securing the Revolving Credit Loans to the extent the applicable commitments are permanently reduced by the amount of such payments,</w:t>
      </w:r>
    </w:p>
    <w:p>
      <w:pPr>
        <w:spacing w:after="0" w:line="17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in each case made during such Excess Cash Flow Period or, without duplication, after the end of such Excess Cash Flow Period but prior to the date on which the ECF Payment Amount is due.</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Notwithstanding anything to the contrary herein no prepayment of Term B Loans shall be required under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unless, and solely to the extent that, the ECF Payment Amount for such fiscal year exceeds $30,000,000 (such threshold, the “</w:t>
      </w:r>
      <w:r>
        <w:rPr>
          <w:rFonts w:ascii="Times New Roman" w:cs="Times New Roman" w:eastAsia="Times New Roman" w:hAnsi="Times New Roman"/>
          <w:sz w:val="20"/>
          <w:szCs w:val="20"/>
          <w:u w:val="single" w:color="auto"/>
          <w:color w:val="auto"/>
        </w:rPr>
        <w:t>ECF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Threshold</w:t>
      </w:r>
      <w:r>
        <w:rPr>
          <w:rFonts w:ascii="Times New Roman" w:cs="Times New Roman" w:eastAsia="Times New Roman" w:hAnsi="Times New Roman"/>
          <w:sz w:val="20"/>
          <w:szCs w:val="20"/>
          <w:color w:val="auto"/>
        </w:rPr>
        <w:t xml:space="preserve">”) (it being understood that the Company shall only be required to repay Term B Loans under this </w:t>
      </w:r>
      <w:r>
        <w:rPr>
          <w:rFonts w:ascii="Times New Roman" w:cs="Times New Roman" w:eastAsia="Times New Roman" w:hAnsi="Times New Roman"/>
          <w:sz w:val="20"/>
          <w:szCs w:val="20"/>
          <w:u w:val="single" w:color="auto"/>
          <w:color w:val="auto"/>
        </w:rPr>
        <w:t>Section 2.05(b)(iv)</w:t>
      </w:r>
      <w:r>
        <w:rPr>
          <w:rFonts w:ascii="Times New Roman" w:cs="Times New Roman" w:eastAsia="Times New Roman" w:hAnsi="Times New Roman"/>
          <w:sz w:val="20"/>
          <w:szCs w:val="20"/>
          <w:color w:val="auto"/>
        </w:rPr>
        <w:t xml:space="preserve"> for such fiscal year in the amount by which the ECF Payment Amount exceeds the ECF Threshold).</w:t>
      </w:r>
    </w:p>
    <w:p>
      <w:pPr>
        <w:spacing w:after="0" w:line="221" w:lineRule="exact"/>
        <w:rPr>
          <w:sz w:val="20"/>
          <w:szCs w:val="20"/>
          <w:color w:val="auto"/>
        </w:rPr>
      </w:pPr>
    </w:p>
    <w:p>
      <w:pPr>
        <w:jc w:val="both"/>
        <w:ind w:firstLine="644"/>
        <w:spacing w:after="0" w:line="251" w:lineRule="auto"/>
        <w:tabs>
          <w:tab w:leader="none" w:pos="129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direct that the prepayment of Loans pursuant to the foregoing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be applied to the repayment of the U.S. Term Facility, the Euro Term Facility or the Term Facilities. Each prepayment of Loans pursuant to the foregoing provisions of this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shall be applied,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ratably to the applicable Term Facilities, as directed by the Company, and to the principal repayment installments thereof in direct order of maturity to the next four principal repayment installments of the applicable Term Facility and, thereafter,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0580"/>
          </w:cols>
          <w:pgMar w:left="980" w:top="1422" w:right="339" w:bottom="1440" w:gutter="0" w:footer="0" w:header="0"/>
        </w:sectPr>
      </w:pPr>
    </w:p>
    <w:bookmarkStart w:id="172" w:name="page173"/>
    <w:bookmarkEnd w:id="172"/>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the remaining principal repayment installments (including any installment on the Maturity Date) of the applicable Term Facility on a pro rata basis and,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ratably to the other Term Facilities to the principal repayment installments thereof in direct order of maturity to the next four principal repayment installments of the applicable Term Facility and, thereafter, to the remaining principal repayment installments (including any installment on the Maturity Date) of the applicable Term Facility on a pro rata basis. Each prepayment pursuant to </w:t>
      </w:r>
      <w:r>
        <w:rPr>
          <w:rFonts w:ascii="Times New Roman" w:cs="Times New Roman" w:eastAsia="Times New Roman" w:hAnsi="Times New Roman"/>
          <w:sz w:val="21"/>
          <w:szCs w:val="21"/>
          <w:u w:val="single" w:color="auto"/>
          <w:color w:val="auto"/>
        </w:rPr>
        <w:t>Section 2.05(b)(iv)</w:t>
      </w:r>
      <w:r>
        <w:rPr>
          <w:rFonts w:ascii="Times New Roman" w:cs="Times New Roman" w:eastAsia="Times New Roman" w:hAnsi="Times New Roman"/>
          <w:sz w:val="21"/>
          <w:szCs w:val="21"/>
          <w:color w:val="auto"/>
        </w:rPr>
        <w:t xml:space="preserve"> shall be applied to the repayment of Term B Loans to the principal repayment installments thereof in direct order of maturity to the next four principal repayment installments of the applicable Term B Facility and, thereafter, to the remaining principal repayment installments (including any installment on the Maturity Date of the Term B Facility) of the Term B Facility on a pro rata basis.</w:t>
      </w:r>
    </w:p>
    <w:p>
      <w:pPr>
        <w:spacing w:after="0" w:line="186" w:lineRule="exact"/>
        <w:rPr>
          <w:sz w:val="20"/>
          <w:szCs w:val="20"/>
          <w:color w:val="auto"/>
        </w:rPr>
      </w:pPr>
    </w:p>
    <w:p>
      <w:pPr>
        <w:jc w:val="both"/>
        <w:ind w:firstLine="644"/>
        <w:spacing w:after="0" w:line="252" w:lineRule="auto"/>
        <w:tabs>
          <w:tab w:leader="none" w:pos="128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reason the Total Revolving Credit Outstandings at any time exceed the Revolving Credit Facility at such time, the Borrowers shall immediately prepay Revolving Credit Loans, Swing Line Loans and L/C Borrowings and/or Cash Collateralize the L/C Obligations (other than the L/C Borrowings) in an aggregate amount equal to such excess.</w:t>
      </w:r>
    </w:p>
    <w:p>
      <w:pPr>
        <w:spacing w:after="0" w:line="179" w:lineRule="exact"/>
        <w:rPr>
          <w:rFonts w:ascii="Times New Roman" w:cs="Times New Roman" w:eastAsia="Times New Roman" w:hAnsi="Times New Roman"/>
          <w:sz w:val="22"/>
          <w:szCs w:val="22"/>
          <w:color w:val="auto"/>
        </w:rPr>
      </w:pPr>
    </w:p>
    <w:p>
      <w:pPr>
        <w:jc w:val="both"/>
        <w:ind w:firstLine="644"/>
        <w:spacing w:after="0" w:line="260" w:lineRule="auto"/>
        <w:tabs>
          <w:tab w:leader="none" w:pos="129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notify the Applicable Facility Agent in writing of any mandatory prepayment of Term Loans required to be made pursuant to </w:t>
      </w:r>
      <w:r>
        <w:rPr>
          <w:rFonts w:ascii="Times New Roman" w:cs="Times New Roman" w:eastAsia="Times New Roman" w:hAnsi="Times New Roman"/>
          <w:sz w:val="21"/>
          <w:szCs w:val="21"/>
          <w:u w:val="single" w:color="auto"/>
          <w:color w:val="auto"/>
        </w:rPr>
        <w:t>Section 2.05(b)(i), (iii)</w:t>
      </w:r>
      <w:r>
        <w:rPr>
          <w:rFonts w:ascii="Times New Roman" w:cs="Times New Roman" w:eastAsia="Times New Roman" w:hAnsi="Times New Roman"/>
          <w:sz w:val="21"/>
          <w:szCs w:val="21"/>
          <w:color w:val="auto"/>
        </w:rPr>
        <w:t xml:space="preserve"> and (iv), in each case at least three Business Days prior to the date such prepayment is required to be made (or such shorter period of time as agreed to by the Applicable Facility Agent in its reasonable discretion). Each such notice shall be revocable and specify the anticipated date of such prepayment and provide a reasonably detailed estimated calculation of the amount of such prepayment. The Applicable Facility Agent will promptly notify each Lender holding Term Loans to be prepaid in accordance with such prepayment notice of the contents of the Company’s prepayment notice and of such Lender’s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share of the prepayment. Each Lender may reject all or a portion of its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share of any such prepayment of Term Loans required to be made pursuant to </w:t>
      </w:r>
      <w:r>
        <w:rPr>
          <w:rFonts w:ascii="Times New Roman" w:cs="Times New Roman" w:eastAsia="Times New Roman" w:hAnsi="Times New Roman"/>
          <w:sz w:val="21"/>
          <w:szCs w:val="21"/>
          <w:u w:val="single" w:color="auto"/>
          <w:color w:val="auto"/>
        </w:rPr>
        <w:t>Section 2.05(b)(i),</w:t>
      </w:r>
      <w:r>
        <w:rPr>
          <w:rFonts w:ascii="Times New Roman" w:cs="Times New Roman" w:eastAsia="Times New Roman" w:hAnsi="Times New Roman"/>
          <w:sz w:val="21"/>
          <w:szCs w:val="21"/>
          <w:color w:val="auto"/>
        </w:rPr>
        <w:t xml:space="preserve"> (iii) and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(such declined amounts of Term Loans required to be prepaid pursuant to </w:t>
      </w:r>
      <w:r>
        <w:rPr>
          <w:rFonts w:ascii="Times New Roman" w:cs="Times New Roman" w:eastAsia="Times New Roman" w:hAnsi="Times New Roman"/>
          <w:sz w:val="21"/>
          <w:szCs w:val="21"/>
          <w:u w:val="single" w:color="auto"/>
          <w:color w:val="auto"/>
        </w:rPr>
        <w:t>Section 2.05(b)(i), (iii)</w:t>
      </w:r>
      <w:r>
        <w:rPr>
          <w:rFonts w:ascii="Times New Roman" w:cs="Times New Roman" w:eastAsia="Times New Roman" w:hAnsi="Times New Roman"/>
          <w:sz w:val="21"/>
          <w:szCs w:val="21"/>
          <w:color w:val="auto"/>
        </w:rPr>
        <w:t xml:space="preserve"> and (iv), the “</w:t>
      </w:r>
      <w:r>
        <w:rPr>
          <w:rFonts w:ascii="Times New Roman" w:cs="Times New Roman" w:eastAsia="Times New Roman" w:hAnsi="Times New Roman"/>
          <w:sz w:val="21"/>
          <w:szCs w:val="21"/>
          <w:u w:val="single" w:color="auto"/>
          <w:color w:val="auto"/>
        </w:rPr>
        <w:t>Declined Amounts</w:t>
      </w:r>
      <w:r>
        <w:rPr>
          <w:rFonts w:ascii="Times New Roman" w:cs="Times New Roman" w:eastAsia="Times New Roman" w:hAnsi="Times New Roman"/>
          <w:sz w:val="21"/>
          <w:szCs w:val="21"/>
          <w:color w:val="auto"/>
        </w:rPr>
        <w:t>”) by providing written notice (each, a “</w:t>
      </w:r>
      <w:r>
        <w:rPr>
          <w:rFonts w:ascii="Times New Roman" w:cs="Times New Roman" w:eastAsia="Times New Roman" w:hAnsi="Times New Roman"/>
          <w:sz w:val="21"/>
          <w:szCs w:val="21"/>
          <w:u w:val="single" w:color="auto"/>
          <w:color w:val="auto"/>
        </w:rPr>
        <w:t>Rejection Notice</w:t>
      </w:r>
      <w:r>
        <w:rPr>
          <w:rFonts w:ascii="Times New Roman" w:cs="Times New Roman" w:eastAsia="Times New Roman" w:hAnsi="Times New Roman"/>
          <w:sz w:val="21"/>
          <w:szCs w:val="21"/>
          <w:color w:val="auto"/>
        </w:rPr>
        <w:t>”) to the Applicable Facility Agent and the Company no later than 5:00 p.m. one Business Day after the date of such Lender’s receipt of notice from the Applicable Facility Agent regarding such prepayment. Each Rejection Notice shall specify the principal amount of the mandatory prepayment of Term Loans to be rejected by such Lender. If a Lender fails to deliver a Rejection Notice to the Applicable Facility Agent within the time frame specified above or such Rejection Notice fails to specify the principal amount of the Term Loans to be rejected, any such failure will be deemed an acceptance of the total amount of such prepayment of Term Loans. Any Declined Amounts shall be retained by the Company.</w:t>
      </w:r>
    </w:p>
    <w:p>
      <w:pPr>
        <w:spacing w:after="0" w:line="174" w:lineRule="exact"/>
        <w:rPr>
          <w:rFonts w:ascii="Times New Roman" w:cs="Times New Roman" w:eastAsia="Times New Roman" w:hAnsi="Times New Roman"/>
          <w:sz w:val="21"/>
          <w:szCs w:val="21"/>
          <w:color w:val="auto"/>
        </w:rPr>
      </w:pPr>
    </w:p>
    <w:p>
      <w:pPr>
        <w:jc w:val="both"/>
        <w:ind w:firstLine="644"/>
        <w:spacing w:after="0" w:line="263" w:lineRule="auto"/>
        <w:tabs>
          <w:tab w:leader="none" w:pos="129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to the extent attributable to a Disposition by a Restricted Subsidiary or an Extraordinary Receipt received by a Restricted Subsidiary, that is, in either case, a Foreign Subsidiary and in any such case a Restricted Payment or other distribution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0580"/>
          </w:cols>
          <w:pgMar w:left="980" w:top="1422" w:right="339" w:bottom="1440" w:gutter="0" w:footer="0" w:header="0"/>
        </w:sectPr>
      </w:pPr>
    </w:p>
    <w:bookmarkStart w:id="173" w:name="page174"/>
    <w:bookmarkEnd w:id="173"/>
    <w:p>
      <w:pPr>
        <w:jc w:val="both"/>
        <w:ind w:left="660"/>
        <w:spacing w:after="0" w:line="247" w:lineRule="auto"/>
        <w:rPr>
          <w:sz w:val="20"/>
          <w:szCs w:val="20"/>
          <w:color w:val="auto"/>
        </w:rPr>
      </w:pPr>
      <w:r>
        <w:rPr>
          <w:rFonts w:ascii="Times New Roman" w:cs="Times New Roman" w:eastAsia="Times New Roman" w:hAnsi="Times New Roman"/>
          <w:sz w:val="22"/>
          <w:szCs w:val="22"/>
          <w:color w:val="auto"/>
        </w:rPr>
        <w:t xml:space="preserve">applicable Borrower or the Company is required (notwithstanding the Loan Parties’ commercially reasonable efforts to make such mandatory prepayment without making such Restricted Payment or other payment) in connection with such prepayment (or portion thereof), no prepayment (or a portion thereof) required under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shall be made if either of the Company or any Restricted Subsidiary determines in good faith that it would incur a liability in respect of Taxes (including any withholding tax) in connection with making such Restricted Payment or other distribution which the Company, in its reasonable judgment, deems to be material (after giving effect to distributions or payments to Foreign Designated Borrowers). Notwithstanding anything in the preceding sentence to the contrary, in the event the limitations or restrictions described therein cease to apply to any such required prepayment, the Borrowers shall make such prepayment in an amount equal to the lesser of (1) the amount of such prepayment previously required to have been made without having given effect to such limitations or restrictions and (2) the amount of cash and Cash Equivalents on hand at such time, in each case, less the amount by which the Net Cash Proceeds from the applicable Disposition or Extraordinary Receipt were previously used for the permanent repayment of Indebtedness (including any reductions in commitments related thereto).</w:t>
      </w:r>
    </w:p>
    <w:p>
      <w:pPr>
        <w:spacing w:after="0" w:line="193" w:lineRule="exact"/>
        <w:rPr>
          <w:sz w:val="20"/>
          <w:szCs w:val="20"/>
          <w:color w:val="auto"/>
        </w:rPr>
      </w:pPr>
    </w:p>
    <w:p>
      <w:pPr>
        <w:jc w:val="both"/>
        <w:ind w:left="660" w:firstLine="644"/>
        <w:spacing w:after="0" w:line="263" w:lineRule="auto"/>
        <w:tabs>
          <w:tab w:leader="none" w:pos="194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any prepayment pursuant to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would require that the Borrowers pay compensation under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the Borrowers may defer such payment until such date as no such compensation would be required provided it shall not be deferred by more than 30 days.</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2.06 </w:t>
      </w:r>
      <w:r>
        <w:rPr>
          <w:rFonts w:ascii="Times New Roman" w:cs="Times New Roman" w:eastAsia="Times New Roman" w:hAnsi="Times New Roman"/>
          <w:sz w:val="22"/>
          <w:szCs w:val="22"/>
          <w:u w:val="single" w:color="auto"/>
          <w:color w:val="auto"/>
        </w:rPr>
        <w:t>Termination or Reduction of Commitments</w:t>
      </w:r>
      <w:r>
        <w:rPr>
          <w:rFonts w:ascii="Times New Roman" w:cs="Times New Roman" w:eastAsia="Times New Roman" w:hAnsi="Times New Roman"/>
          <w:sz w:val="19"/>
          <w:szCs w:val="19"/>
          <w:color w:val="auto"/>
        </w:rPr>
        <w: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Optional</w:t>
      </w:r>
      <w:r>
        <w:rPr>
          <w:rFonts w:ascii="Times New Roman" w:cs="Times New Roman" w:eastAsia="Times New Roman" w:hAnsi="Times New Roman"/>
          <w:sz w:val="19"/>
          <w:szCs w:val="19"/>
          <w:color w:val="auto"/>
        </w:rPr>
        <w:t>. The Company may, upon notice to the Pro Rata Facilities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Administrative Agent, terminate the Revolving Credit Facility, the Letter of Credit Sublimit or the Swing Line Sublimit, or from time to time permanently reduce the Revolving Credit Facility, the Letter of Credit Sublimit or the Swing Line Sublimit;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any such notice shall be received by the Pro Rata Facilities Administrative Agent not later than 11:00 a.m. five Business Days prior to the date of termination or reduction, (ii) any such partial reduction shall be in an aggregate amount of $10,000,000 or any whole multiple of $1,000,000 in excess thereof and (iii) the Company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Swing Line Sublimit.</w:t>
      </w:r>
    </w:p>
    <w:p>
      <w:pPr>
        <w:spacing w:after="0" w:line="5" w:lineRule="exact"/>
        <w:rPr>
          <w:sz w:val="20"/>
          <w:szCs w:val="20"/>
          <w:color w:val="auto"/>
        </w:rPr>
      </w:pPr>
    </w:p>
    <w:p>
      <w:pPr>
        <w:ind w:left="1300" w:hanging="644"/>
        <w:spacing w:after="0"/>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w:t>
      </w:r>
      <w:r>
        <w:rPr>
          <w:rFonts w:ascii="Times New Roman" w:cs="Times New Roman" w:eastAsia="Times New Roman" w:hAnsi="Times New Roman"/>
          <w:sz w:val="22"/>
          <w:szCs w:val="22"/>
          <w:color w:val="auto"/>
        </w:rPr>
        <w:t>.</w:t>
      </w:r>
    </w:p>
    <w:p>
      <w:pPr>
        <w:spacing w:after="0" w:line="21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4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U.S. Term Commitments shall be automatically and permanently reduced to zero on the date of the U.S. Term Borrowings.</w:t>
      </w:r>
    </w:p>
    <w:p>
      <w:pPr>
        <w:spacing w:after="0" w:line="171" w:lineRule="exact"/>
        <w:rPr>
          <w:rFonts w:ascii="Times New Roman" w:cs="Times New Roman" w:eastAsia="Times New Roman" w:hAnsi="Times New Roman"/>
          <w:sz w:val="22"/>
          <w:szCs w:val="22"/>
          <w:color w:val="auto"/>
        </w:rPr>
      </w:pPr>
    </w:p>
    <w:p>
      <w:pPr>
        <w:ind w:left="660" w:firstLine="644"/>
        <w:spacing w:after="0" w:line="271" w:lineRule="auto"/>
        <w:tabs>
          <w:tab w:leader="none" w:pos="195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Euro Term Commitments shall be automatically and permanently reduced to zero on the date of the Euro Term Borrowing.</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Term B Commitments shall be automatically and permanently reduced to zero on the date of the Term B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22" w:right="339" w:bottom="1440" w:gutter="0" w:footer="0" w:header="0"/>
        </w:sectPr>
      </w:pPr>
    </w:p>
    <w:bookmarkStart w:id="174" w:name="page175"/>
    <w:bookmarkEnd w:id="174"/>
    <w:p>
      <w:pPr>
        <w:jc w:val="both"/>
        <w:ind w:left="660" w:firstLine="644"/>
        <w:spacing w:after="0" w:line="256" w:lineRule="auto"/>
        <w:tabs>
          <w:tab w:leader="none" w:pos="1944"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giving effect to any reduction or termination of Revolving Credit Commitments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w:t>
      </w:r>
      <w:r>
        <w:rPr>
          <w:rFonts w:ascii="Times New Roman" w:cs="Times New Roman" w:eastAsia="Times New Roman" w:hAnsi="Times New Roman"/>
          <w:sz w:val="22"/>
          <w:szCs w:val="22"/>
          <w:color w:val="auto"/>
        </w:rPr>
        <w:t>, the Letter of Credit Sublimit or the Swing Line Sublimit exceeds the Revolving Credit Facility at such time, the Letter of Credit Sublimit or the Swing Line Sublimit, as the case may be, shall be automatically reduced by the amount of such excess.</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Commitment Reductions; Payment of Fees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4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 Rata Facilities Administrative Agent will promptly notify the Lenders of any termination or reduction of the Letter of Credit Sublimit, Swing Line Sublimit or the Revolving Credit Commitment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w:t>
      </w:r>
      <w:r>
        <w:rPr>
          <w:rFonts w:ascii="Times New Roman" w:cs="Times New Roman" w:eastAsia="Times New Roman" w:hAnsi="Times New Roman"/>
          <w:sz w:val="22"/>
          <w:szCs w:val="22"/>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spacing w:after="0" w:line="18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2.07 </w:t>
      </w:r>
      <w:r>
        <w:rPr>
          <w:rFonts w:ascii="Times New Roman" w:cs="Times New Roman" w:eastAsia="Times New Roman" w:hAnsi="Times New Roman"/>
          <w:sz w:val="22"/>
          <w:szCs w:val="22"/>
          <w:u w:val="single" w:color="auto"/>
          <w:color w:val="auto"/>
        </w:rPr>
        <w:t>Repayment of Loans</w:t>
      </w:r>
      <w:r>
        <w:rPr>
          <w:rFonts w:ascii="Times New Roman" w:cs="Times New Roman" w:eastAsia="Times New Roman" w:hAnsi="Times New Roman"/>
          <w:sz w:val="19"/>
          <w:szCs w:val="19"/>
          <w:color w:val="auto"/>
        </w:rPr>
        <w: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U.S. Term Loans</w:t>
      </w:r>
      <w:r>
        <w:rPr>
          <w:rFonts w:ascii="Times New Roman" w:cs="Times New Roman" w:eastAsia="Times New Roman" w:hAnsi="Times New Roman"/>
          <w:sz w:val="19"/>
          <w:szCs w:val="19"/>
          <w:color w:val="auto"/>
        </w:rPr>
        <w:t>. The Company shall repay to the U.S. Term Lenders the aggregate principal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amount of all U.S. Term Loans outstanding on the third Business Day after the last day of each fiscal quarter set forth below (with the first such payment date being the third Business Day after the last day of the first full fiscal quarter of the Company after the fiscal quarter in which the Amendment No. 4 Effective Date occurs) in an amount in Dollars equal to the percentage set forth opposite such date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the aggregate initial principal amount of the U.S. Term Loans actually made on the Amendment No. 4 Effective Date pursuant to </w:t>
      </w:r>
      <w:r>
        <w:rPr>
          <w:rFonts w:ascii="Times New Roman" w:cs="Times New Roman" w:eastAsia="Times New Roman" w:hAnsi="Times New Roman"/>
          <w:sz w:val="19"/>
          <w:szCs w:val="19"/>
          <w:u w:val="single" w:color="auto"/>
          <w:color w:val="auto"/>
        </w:rPr>
        <w:t>Section 2.01(a)</w:t>
      </w:r>
      <w:r>
        <w:rPr>
          <w:rFonts w:ascii="Times New Roman" w:cs="Times New Roman" w:eastAsia="Times New Roman" w:hAnsi="Times New Roman"/>
          <w:sz w:val="19"/>
          <w:szCs w:val="19"/>
          <w:color w:val="auto"/>
        </w:rPr>
        <w:t xml:space="preserve"> (which amounts shall be reduced as a result of the application of mandatory and voluntary prepayments as set forth herein):</w:t>
      </w:r>
    </w:p>
    <w:tbl>
      <w:tblPr>
        <w:tblLayout w:type="fixed"/>
        <w:tblInd w:w="1890" w:type="dxa"/>
        <w:tblCellMar>
          <w:top w:w="0" w:type="dxa"/>
          <w:left w:w="0" w:type="dxa"/>
          <w:bottom w:w="0" w:type="dxa"/>
          <w:right w:w="0" w:type="dxa"/>
        </w:tblCellMar>
      </w:tblPr>
      <w:tr>
        <w:trPr>
          <w:trHeight w:val="283"/>
        </w:trPr>
        <w:tc>
          <w:tcPr>
            <w:tcW w:w="28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Quarterly Payment Date</w:t>
            </w:r>
          </w:p>
        </w:tc>
        <w:tc>
          <w:tcPr>
            <w:tcW w:w="2620" w:type="dxa"/>
            <w:vAlign w:val="bottom"/>
            <w:tcBorders>
              <w:top w:val="single" w:sz="8" w:color="auto"/>
              <w:right w:val="single" w:sz="8" w:color="auto"/>
            </w:tcBorders>
          </w:tcPr>
          <w:p>
            <w:pPr>
              <w:jc w:val="right"/>
              <w:ind w:right="1801"/>
              <w:spacing w:after="0"/>
              <w:rPr>
                <w:sz w:val="20"/>
                <w:szCs w:val="20"/>
                <w:color w:val="auto"/>
              </w:rPr>
            </w:pPr>
            <w:r>
              <w:rPr>
                <w:rFonts w:ascii="Times New Roman" w:cs="Times New Roman" w:eastAsia="Times New Roman" w:hAnsi="Times New Roman"/>
                <w:sz w:val="20"/>
                <w:szCs w:val="20"/>
                <w:color w:val="auto"/>
              </w:rPr>
              <w:t>Amount</w:t>
            </w:r>
          </w:p>
        </w:tc>
      </w:tr>
      <w:tr>
        <w:trPr>
          <w:trHeight w:val="48"/>
        </w:trPr>
        <w:tc>
          <w:tcPr>
            <w:tcW w:w="2800" w:type="dxa"/>
            <w:vAlign w:val="bottom"/>
            <w:tcBorders>
              <w:left w:val="single" w:sz="8" w:color="auto"/>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r>
      <w:tr>
        <w:trPr>
          <w:trHeight w:val="268"/>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First eight quarterly payment</w:t>
            </w:r>
          </w:p>
        </w:tc>
        <w:tc>
          <w:tcPr>
            <w:tcW w:w="2620" w:type="dxa"/>
            <w:vAlign w:val="bottom"/>
            <w:tcBorders>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0.625%</w:t>
            </w:r>
          </w:p>
        </w:tc>
      </w:tr>
      <w:tr>
        <w:trPr>
          <w:trHeight w:val="258"/>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dates</w:t>
            </w:r>
          </w:p>
        </w:tc>
        <w:tc>
          <w:tcPr>
            <w:tcW w:w="2620" w:type="dxa"/>
            <w:vAlign w:val="bottom"/>
            <w:tcBorders>
              <w:right w:val="single" w:sz="8" w:color="auto"/>
            </w:tcBorders>
          </w:tcPr>
          <w:p>
            <w:pPr>
              <w:spacing w:after="0"/>
              <w:rPr>
                <w:sz w:val="22"/>
                <w:szCs w:val="22"/>
                <w:color w:val="auto"/>
              </w:rPr>
            </w:pPr>
          </w:p>
        </w:tc>
      </w:tr>
      <w:tr>
        <w:trPr>
          <w:trHeight w:val="48"/>
        </w:trPr>
        <w:tc>
          <w:tcPr>
            <w:tcW w:w="2800" w:type="dxa"/>
            <w:vAlign w:val="bottom"/>
            <w:tcBorders>
              <w:left w:val="single" w:sz="8" w:color="auto"/>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r>
      <w:tr>
        <w:trPr>
          <w:trHeight w:val="268"/>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Each quarterly payment date</w:t>
            </w:r>
          </w:p>
        </w:tc>
        <w:tc>
          <w:tcPr>
            <w:tcW w:w="2620" w:type="dxa"/>
            <w:vAlign w:val="bottom"/>
            <w:tcBorders>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1.250%</w:t>
            </w:r>
          </w:p>
        </w:tc>
      </w:tr>
      <w:tr>
        <w:trPr>
          <w:trHeight w:val="258"/>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thereafter</w:t>
            </w:r>
          </w:p>
        </w:tc>
        <w:tc>
          <w:tcPr>
            <w:tcW w:w="2620" w:type="dxa"/>
            <w:vAlign w:val="bottom"/>
            <w:tcBorders>
              <w:right w:val="single" w:sz="8" w:color="auto"/>
            </w:tcBorders>
          </w:tcPr>
          <w:p>
            <w:pPr>
              <w:spacing w:after="0"/>
              <w:rPr>
                <w:sz w:val="22"/>
                <w:szCs w:val="22"/>
                <w:color w:val="auto"/>
              </w:rPr>
            </w:pPr>
          </w:p>
        </w:tc>
      </w:tr>
      <w:tr>
        <w:trPr>
          <w:trHeight w:val="48"/>
        </w:trPr>
        <w:tc>
          <w:tcPr>
            <w:tcW w:w="2800" w:type="dxa"/>
            <w:vAlign w:val="bottom"/>
            <w:tcBorders>
              <w:left w:val="single" w:sz="8" w:color="auto"/>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final principal repayment installment of the U.S. Term Loans shall be repaid on the Maturity Date for the U.S. Term Facility and in any event shall be in an amount equal to the aggregate principal amount of all U.S. Term Loans outstanding on such date.</w:t>
      </w:r>
    </w:p>
    <w:p>
      <w:pPr>
        <w:spacing w:after="0" w:line="167" w:lineRule="exact"/>
        <w:rPr>
          <w:sz w:val="20"/>
          <w:szCs w:val="20"/>
          <w:color w:val="auto"/>
        </w:rPr>
      </w:pPr>
    </w:p>
    <w:p>
      <w:pPr>
        <w:jc w:val="both"/>
        <w:ind w:firstLine="656"/>
        <w:spacing w:after="0" w:line="250" w:lineRule="auto"/>
        <w:tabs>
          <w:tab w:leader="none" w:pos="129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Euro Term Loans</w:t>
      </w:r>
      <w:r>
        <w:rPr>
          <w:rFonts w:ascii="Times New Roman" w:cs="Times New Roman" w:eastAsia="Times New Roman" w:hAnsi="Times New Roman"/>
          <w:sz w:val="22"/>
          <w:szCs w:val="22"/>
          <w:color w:val="auto"/>
        </w:rPr>
        <w:t xml:space="preserve">. The Dutch Borrower shall repay to the Euro Term Lenders the aggregate principal amount of all Euro Term Loans outstanding on the third Business Day after the last day of each fiscal quarter set forth below (with the first such payment date being the third Business Day after the last day of the first full fiscal quarter of the Company after the fiscal quarter in which the Amendment No. 4 Effective Date occurs) in an amount in Euros equal to the percentage set forth opposite such date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aggregate initial principal amount of the Euro Term Loans actually made on the Amendment No. 4 Effective Date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(which amounts shall be reduced as a result of the application of mandatory and voluntary prepayments as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22" w:right="339" w:bottom="1440" w:gutter="0" w:footer="0" w:header="0"/>
        </w:sectPr>
      </w:pPr>
    </w:p>
    <w:bookmarkStart w:id="175" w:name="page176"/>
    <w:bookmarkEnd w:id="175"/>
    <w:p>
      <w:pPr>
        <w:spacing w:after="0" w:line="200" w:lineRule="exact"/>
        <w:rPr>
          <w:sz w:val="20"/>
          <w:szCs w:val="20"/>
          <w:color w:val="auto"/>
        </w:rPr>
      </w:pPr>
    </w:p>
    <w:p>
      <w:pPr>
        <w:spacing w:after="0" w:line="262" w:lineRule="exact"/>
        <w:rPr>
          <w:sz w:val="20"/>
          <w:szCs w:val="20"/>
          <w:color w:val="auto"/>
        </w:rPr>
      </w:pPr>
    </w:p>
    <w:tbl>
      <w:tblPr>
        <w:tblLayout w:type="fixed"/>
        <w:tblInd w:w="1890" w:type="dxa"/>
        <w:tblCellMar>
          <w:top w:w="0" w:type="dxa"/>
          <w:left w:w="0" w:type="dxa"/>
          <w:bottom w:w="0" w:type="dxa"/>
          <w:right w:w="0" w:type="dxa"/>
        </w:tblCellMar>
      </w:tblPr>
      <w:tr>
        <w:trPr>
          <w:trHeight w:val="289"/>
        </w:trPr>
        <w:tc>
          <w:tcPr>
            <w:tcW w:w="28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Quarterly Payment Date</w:t>
            </w:r>
          </w:p>
        </w:tc>
        <w:tc>
          <w:tcPr>
            <w:tcW w:w="2620" w:type="dxa"/>
            <w:vAlign w:val="bottom"/>
            <w:tcBorders>
              <w:top w:val="single" w:sz="8" w:color="auto"/>
              <w:right w:val="single" w:sz="8" w:color="auto"/>
            </w:tcBorders>
          </w:tcPr>
          <w:p>
            <w:pPr>
              <w:jc w:val="right"/>
              <w:ind w:right="1801"/>
              <w:spacing w:after="0"/>
              <w:rPr>
                <w:sz w:val="20"/>
                <w:szCs w:val="20"/>
                <w:color w:val="auto"/>
              </w:rPr>
            </w:pPr>
            <w:r>
              <w:rPr>
                <w:rFonts w:ascii="Times New Roman" w:cs="Times New Roman" w:eastAsia="Times New Roman" w:hAnsi="Times New Roman"/>
                <w:sz w:val="20"/>
                <w:szCs w:val="20"/>
                <w:color w:val="auto"/>
              </w:rPr>
              <w:t>Amount</w:t>
            </w:r>
          </w:p>
        </w:tc>
      </w:tr>
      <w:tr>
        <w:trPr>
          <w:trHeight w:val="48"/>
        </w:trPr>
        <w:tc>
          <w:tcPr>
            <w:tcW w:w="2800" w:type="dxa"/>
            <w:vAlign w:val="bottom"/>
            <w:tcBorders>
              <w:left w:val="single" w:sz="8" w:color="auto"/>
              <w:bottom w:val="single" w:sz="8" w:color="auto"/>
              <w:right w:val="single" w:sz="8" w:color="auto"/>
            </w:tcBorders>
          </w:tcPr>
          <w:p>
            <w:pPr>
              <w:spacing w:after="0"/>
              <w:rPr>
                <w:sz w:val="4"/>
                <w:szCs w:val="4"/>
                <w:color w:val="auto"/>
              </w:rPr>
            </w:pPr>
          </w:p>
        </w:tc>
        <w:tc>
          <w:tcPr>
            <w:tcW w:w="2620" w:type="dxa"/>
            <w:vAlign w:val="bottom"/>
            <w:tcBorders>
              <w:bottom w:val="single" w:sz="8" w:color="auto"/>
              <w:right w:val="single" w:sz="8" w:color="auto"/>
            </w:tcBorders>
          </w:tcPr>
          <w:p>
            <w:pPr>
              <w:spacing w:after="0"/>
              <w:rPr>
                <w:sz w:val="4"/>
                <w:szCs w:val="4"/>
                <w:color w:val="auto"/>
              </w:rPr>
            </w:pPr>
          </w:p>
        </w:tc>
      </w:tr>
      <w:tr>
        <w:trPr>
          <w:trHeight w:val="269"/>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First eight quarterly payment</w:t>
            </w:r>
          </w:p>
        </w:tc>
        <w:tc>
          <w:tcPr>
            <w:tcW w:w="2620" w:type="dxa"/>
            <w:vAlign w:val="bottom"/>
            <w:tcBorders>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0.625%</w:t>
            </w:r>
          </w:p>
        </w:tc>
      </w:tr>
      <w:tr>
        <w:trPr>
          <w:trHeight w:val="270"/>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dates</w:t>
            </w:r>
          </w:p>
        </w:tc>
        <w:tc>
          <w:tcPr>
            <w:tcW w:w="2620" w:type="dxa"/>
            <w:vAlign w:val="bottom"/>
            <w:tcBorders>
              <w:right w:val="single" w:sz="8" w:color="auto"/>
            </w:tcBorders>
          </w:tcPr>
          <w:p>
            <w:pPr>
              <w:spacing w:after="0"/>
              <w:rPr>
                <w:sz w:val="23"/>
                <w:szCs w:val="23"/>
                <w:color w:val="auto"/>
              </w:rPr>
            </w:pPr>
          </w:p>
        </w:tc>
      </w:tr>
      <w:tr>
        <w:trPr>
          <w:trHeight w:val="35"/>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r>
      <w:tr>
        <w:trPr>
          <w:trHeight w:val="269"/>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Each quarterly payment date</w:t>
            </w:r>
          </w:p>
        </w:tc>
        <w:tc>
          <w:tcPr>
            <w:tcW w:w="2620" w:type="dxa"/>
            <w:vAlign w:val="bottom"/>
            <w:tcBorders>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1.250%</w:t>
            </w:r>
          </w:p>
        </w:tc>
      </w:tr>
      <w:tr>
        <w:trPr>
          <w:trHeight w:val="270"/>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thereafter</w:t>
            </w:r>
          </w:p>
        </w:tc>
        <w:tc>
          <w:tcPr>
            <w:tcW w:w="2620" w:type="dxa"/>
            <w:vAlign w:val="bottom"/>
            <w:tcBorders>
              <w:right w:val="single" w:sz="8" w:color="auto"/>
            </w:tcBorders>
          </w:tcPr>
          <w:p>
            <w:pPr>
              <w:spacing w:after="0"/>
              <w:rPr>
                <w:sz w:val="23"/>
                <w:szCs w:val="23"/>
                <w:color w:val="auto"/>
              </w:rPr>
            </w:pPr>
          </w:p>
        </w:tc>
      </w:tr>
      <w:tr>
        <w:trPr>
          <w:trHeight w:val="34"/>
        </w:trPr>
        <w:tc>
          <w:tcPr>
            <w:tcW w:w="2800" w:type="dxa"/>
            <w:vAlign w:val="bottom"/>
            <w:tcBorders>
              <w:left w:val="single" w:sz="8" w:color="auto"/>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r>
    </w:tbl>
    <w:p>
      <w:pPr>
        <w:spacing w:after="0" w:line="3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final principal repayment installment of the Euro Term Loans shall be repaid on the Maturity Date for the Euro Term Facility and in any event shall be in an amount equal to the aggregate principal amount of all Euro Term Loans outstanding on such date.</w:t>
      </w:r>
    </w:p>
    <w:p>
      <w:pPr>
        <w:spacing w:after="0" w:line="173" w:lineRule="exact"/>
        <w:rPr>
          <w:sz w:val="20"/>
          <w:szCs w:val="20"/>
          <w:color w:val="auto"/>
        </w:rPr>
      </w:pPr>
    </w:p>
    <w:p>
      <w:pPr>
        <w:jc w:val="both"/>
        <w:ind w:firstLine="656"/>
        <w:spacing w:after="0" w:line="250" w:lineRule="auto"/>
        <w:tabs>
          <w:tab w:leader="none" w:pos="129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B Loans</w:t>
      </w:r>
      <w:r>
        <w:rPr>
          <w:rFonts w:ascii="Times New Roman" w:cs="Times New Roman" w:eastAsia="Times New Roman" w:hAnsi="Times New Roman"/>
          <w:sz w:val="22"/>
          <w:szCs w:val="22"/>
          <w:color w:val="auto"/>
        </w:rPr>
        <w:t xml:space="preserve">. The Company shall repay to the Term B Lenders on the last Business Day of each March, June, September and December (with the first such payment date being the last Business Day of the first full fiscal quarter of the Company after the fiscal quarter in which the Amendment No. 5 Effective Date occurs) an aggregate amount equal to 0.25%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aggregate initial principal amount of the Term B Loans actually made on the Amendment No. 5 Effective Date pursuant to </w:t>
      </w:r>
      <w:r>
        <w:rPr>
          <w:rFonts w:ascii="Times New Roman" w:cs="Times New Roman" w:eastAsia="Times New Roman" w:hAnsi="Times New Roman"/>
          <w:sz w:val="22"/>
          <w:szCs w:val="22"/>
          <w:u w:val="single" w:color="auto"/>
          <w:color w:val="auto"/>
        </w:rPr>
        <w:t>Section 2.01(d)</w:t>
      </w:r>
      <w:r>
        <w:rPr>
          <w:rFonts w:ascii="Times New Roman" w:cs="Times New Roman" w:eastAsia="Times New Roman" w:hAnsi="Times New Roman"/>
          <w:sz w:val="22"/>
          <w:szCs w:val="22"/>
          <w:color w:val="auto"/>
        </w:rPr>
        <w:t xml:space="preserve"> (which amounts shall be reduced as a result of the application of mandatory and voluntary prepayments as set forth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final principal repayment installment of the Term B Loans shall be repaid on the Maturity Date for the Term B Loan Facility and in any event shall be in an amount equal to the aggregate principal amount of all Term B Loans outstanding on such date.</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Revolving Credit Loans</w:t>
      </w:r>
      <w:r>
        <w:rPr>
          <w:rFonts w:ascii="Times New Roman" w:cs="Times New Roman" w:eastAsia="Times New Roman" w:hAnsi="Times New Roman"/>
          <w:sz w:val="22"/>
          <w:szCs w:val="22"/>
          <w:color w:val="auto"/>
        </w:rPr>
        <w:t>. The Borrowers shall repay to the Revolving Credit Lenders on the Maturity Date for the Revolving Credit Facility the aggregate principal amount of all Revolving Credit Loans outstanding on such date.</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Swing Line Loans</w:t>
      </w:r>
      <w:r>
        <w:rPr>
          <w:rFonts w:ascii="Times New Roman" w:cs="Times New Roman" w:eastAsia="Times New Roman" w:hAnsi="Times New Roman"/>
          <w:sz w:val="22"/>
          <w:szCs w:val="22"/>
          <w:color w:val="auto"/>
        </w:rPr>
        <w:t>. The Company and the applicable Designated Borrowers, as applicable, shall repay each Swing Line Loan on the earlier to occur of (i) the date ten Business Days after such Loan is made and (ii) the Maturity Date for the Revolving Credit Facility. Swing Line Loans may be repaid with proceeds of other Swing Line Loans.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2.08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19"/>
          <w:szCs w:val="19"/>
          <w:color w:val="auto"/>
        </w:rPr>
        <w:t>. (a) Subject to the provisions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2.08(b)</w:t>
      </w:r>
      <w:r>
        <w:rPr>
          <w:rFonts w:ascii="Times New Roman" w:cs="Times New Roman" w:eastAsia="Times New Roman" w:hAnsi="Times New Roman"/>
          <w:sz w:val="19"/>
          <w:szCs w:val="19"/>
          <w:color w:val="auto"/>
        </w:rPr>
        <w:t>, (i) each Term SOFR Loan under a Facility shall bear interest on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outstanding principal amount thereof for each Interest Period at a rate per annum equal to the Term SOFR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for such Facility; (ii) each Base Rate Loan under a Facility shall bear interest on the outstanding principal amount thereof from the applicable borrowing date at a rate per annum equal to the Base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for such Facility; (iii) each Alternative Currency Daily Rate Loan shall bear interest on the outstanding principal amount thereof from the applicable borrowing date at a rate per annum equal to the Alternative Currency Daily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(iv) each Alternative Currency Term Rate Loan shall bear interest on the outstanding principal amount thereof for each Interest Period at a rate per annum equal to the Alternative Currency Term Rate for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(v) each Swing Line Loan denominated in Dollars shall bear interest on the outstanding principal amount thereof from the applicable borrowing date at a rate per annum equal to the SOFR Daily Floating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 and (vi) each Swing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61" w:lineRule="auto"/>
        <w:rPr>
          <w:sz w:val="20"/>
          <w:szCs w:val="20"/>
          <w:color w:val="auto"/>
        </w:rPr>
      </w:pPr>
      <w:r>
        <w:rPr>
          <w:rFonts w:ascii="Times New Roman" w:cs="Times New Roman" w:eastAsia="Times New Roman" w:hAnsi="Times New Roman"/>
          <w:sz w:val="20"/>
          <w:szCs w:val="20"/>
          <w:color w:val="auto"/>
        </w:rPr>
        <w:t xml:space="preserve">Loan denominated in Euros shall bear interest on the outstanding principal amount thereof from the applicable borrowing date at a rate per annum equal to the Basic ESTR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jc w:val="both"/>
        <w:ind w:left="660" w:firstLine="644"/>
        <w:spacing w:after="0" w:line="281" w:lineRule="auto"/>
        <w:tabs>
          <w:tab w:leader="none" w:pos="1944"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56" w:lineRule="auto"/>
        <w:tabs>
          <w:tab w:leader="none" w:pos="195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6"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request of the Required Lenders, while any Event of Default exists (other than as set forth in </w:t>
      </w:r>
      <w:r>
        <w:rPr>
          <w:rFonts w:ascii="Times New Roman" w:cs="Times New Roman" w:eastAsia="Times New Roman" w:hAnsi="Times New Roman"/>
          <w:sz w:val="22"/>
          <w:szCs w:val="22"/>
          <w:u w:val="single" w:color="auto"/>
          <w:color w:val="auto"/>
        </w:rPr>
        <w:t>clauses 2.08(b)(i)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(b)(ii)</w:t>
      </w:r>
      <w:r>
        <w:rPr>
          <w:rFonts w:ascii="Times New Roman" w:cs="Times New Roman" w:eastAsia="Times New Roman" w:hAnsi="Times New Roman"/>
          <w:sz w:val="22"/>
          <w:szCs w:val="22"/>
          <w:color w:val="auto"/>
        </w:rPr>
        <w:t xml:space="preserve"> above), the Borrowers shall pay interest on the principal amount of all outstanding Obligations hereunder at a fluctuating interest rate per annum at all times equal to the Default Rate to the fullest extent permitted by applicable Laws.</w:t>
      </w:r>
    </w:p>
    <w:p>
      <w:pPr>
        <w:spacing w:after="0" w:line="179" w:lineRule="exact"/>
        <w:rPr>
          <w:rFonts w:ascii="Times New Roman" w:cs="Times New Roman" w:eastAsia="Times New Roman" w:hAnsi="Times New Roman"/>
          <w:sz w:val="22"/>
          <w:szCs w:val="22"/>
          <w:color w:val="auto"/>
        </w:rPr>
      </w:pPr>
    </w:p>
    <w:p>
      <w:pPr>
        <w:ind w:left="660" w:firstLine="644"/>
        <w:spacing w:after="0" w:line="284" w:lineRule="auto"/>
        <w:tabs>
          <w:tab w:leader="none" w:pos="1944"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and unpaid interest on past due amounts (including interest on past due interest) shall be due and payable upon demand.</w:t>
      </w:r>
    </w:p>
    <w:p>
      <w:pPr>
        <w:spacing w:after="0" w:line="14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2.09</w:t>
      </w:r>
      <w:r>
        <w:rPr>
          <w:sz w:val="20"/>
          <w:szCs w:val="20"/>
          <w:color w:val="auto"/>
        </w:rPr>
        <w:tab/>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19"/>
          <w:szCs w:val="19"/>
          <w:color w:val="auto"/>
        </w:rPr>
        <w:t>. In addition to certain fees described 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19"/>
          <w:szCs w:val="19"/>
          <w:u w:val="single" w:color="auto"/>
          <w:color w:val="auto"/>
        </w:rPr>
        <w:t>Sections 2.03(h) and (i)</w:t>
      </w:r>
      <w:r>
        <w:rPr>
          <w:rFonts w:ascii="Times New Roman" w:cs="Times New Roman" w:eastAsia="Times New Roman" w:hAnsi="Times New Roman"/>
          <w:sz w:val="19"/>
          <w:szCs w:val="19"/>
          <w:color w:val="auto"/>
        </w:rPr>
        <w:t>:</w:t>
      </w:r>
    </w:p>
    <w:p>
      <w:pPr>
        <w:spacing w:after="0" w:line="29" w:lineRule="exact"/>
        <w:rPr>
          <w:sz w:val="20"/>
          <w:szCs w:val="20"/>
          <w:color w:val="auto"/>
        </w:rPr>
      </w:pPr>
    </w:p>
    <w:p>
      <w:pPr>
        <w:jc w:val="both"/>
        <w:ind w:firstLine="656"/>
        <w:spacing w:after="0" w:line="247" w:lineRule="auto"/>
        <w:tabs>
          <w:tab w:leader="none" w:pos="129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2.18(a)(iii)(A)</w:t>
      </w:r>
      <w:r>
        <w:rPr>
          <w:rFonts w:ascii="Times New Roman" w:cs="Times New Roman" w:eastAsia="Times New Roman" w:hAnsi="Times New Roman"/>
          <w:sz w:val="22"/>
          <w:szCs w:val="22"/>
          <w:color w:val="auto"/>
        </w:rPr>
        <w:t xml:space="preserve"> with respect to Defaulting Lenders, the Company shall pay to the Pro Rata Facilities Administrative Agent for the account of each Revolving Credit Lender in accordance with its Applicable Revolving Credit Percentage, a commitment fee equal to the Applicable Rate with respect to the “Commitment Fee”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actual daily amount by which the Revolving Credit Facility exceeds the sum of (i) the Outstanding Amount of Revolving Credit Loans and (ii) the Outstanding Amount of L/C Obligations, subject to adjustment as provided in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For the avoidance of doubt, the Outstanding Amount of Swing Line Loans shall not be counted towards or considered usage of the Aggregate Commitments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is not met, and shall be due and payable quarterly in arrears on the last Business Day of each March, June, September and December, commencing with the first such date to occur after the Amendment No. 4 Effective Date, and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13" w:right="339" w:bottom="1440" w:gutter="0" w:footer="0" w:header="0"/>
        </w:sectPr>
      </w:pPr>
    </w:p>
    <w:bookmarkStart w:id="177" w:name="page178"/>
    <w:bookmarkEnd w:id="177"/>
    <w:p>
      <w:pPr>
        <w:jc w:val="both"/>
        <w:spacing w:after="0" w:line="257" w:lineRule="auto"/>
        <w:rPr>
          <w:sz w:val="20"/>
          <w:szCs w:val="20"/>
          <w:color w:val="auto"/>
        </w:rPr>
      </w:pPr>
      <w:r>
        <w:rPr>
          <w:rFonts w:ascii="Times New Roman" w:cs="Times New Roman" w:eastAsia="Times New Roman" w:hAnsi="Times New Roman"/>
          <w:sz w:val="22"/>
          <w:szCs w:val="22"/>
          <w:color w:val="auto"/>
        </w:rPr>
        <w:t>the last day of the Availability Period for the Revolving Credit Facility.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6" w:lineRule="exact"/>
        <w:rPr>
          <w:sz w:val="20"/>
          <w:szCs w:val="20"/>
          <w:color w:val="auto"/>
        </w:rPr>
      </w:pPr>
    </w:p>
    <w:p>
      <w:pPr>
        <w:ind w:left="1300" w:hanging="644"/>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Fees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44"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the Arrangers and the Administrative Agents for their own respective accounts fees in the amounts and at the times specified in the Engagement Letters and Fee Letters. Such fees shall be fully earned when paid and shall not be refundable for any reason whatsoever.</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the Lenders such fees as shall have been separately agreed upon in writing in the amounts and at the times so specified. Such fees shall be fully earned when paid and shall not be refundable for any reason whatsoever.</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Computation of Interest and Fees; Retroactive Adjustments of Applicable Rate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48" w:lineRule="auto"/>
        <w:tabs>
          <w:tab w:leader="none" w:pos="1293"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computations of interest for Base Rate Loans (including Base Rate Loans determined by reference to Term SOFR) and Loans denominated in Alternative Currencies (other than an Alternative Currency with respect to EURIBOR) shall be made on the basis of a year of 365 or 366 days, as the case may be, and actual days elapsed, or, in the case of interest in respect of Loans denominated in Alternative Currencies as to which market practice differs from the foregoing, in accordance with such market practice. All other computations of fees and interest, including those with respect to Alternative Currency Loans determined by reference to EURIBOR,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Loan that is repaid on the same day on which it is made shall,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2.12(a)</w:t>
      </w:r>
      <w:r>
        <w:rPr>
          <w:rFonts w:ascii="Times New Roman" w:cs="Times New Roman" w:eastAsia="Times New Roman" w:hAnsi="Times New Roman"/>
          <w:sz w:val="22"/>
          <w:szCs w:val="22"/>
          <w:color w:val="auto"/>
        </w:rPr>
        <w:t>, bear interest for one day. Each determination by the Applicable Facility Agent of an interest rate or fee hereunder shall be conclusive and binding for all purposes, absent manifest error.</w:t>
      </w:r>
    </w:p>
    <w:p>
      <w:pPr>
        <w:spacing w:after="0" w:line="188" w:lineRule="exact"/>
        <w:rPr>
          <w:rFonts w:ascii="Times New Roman" w:cs="Times New Roman" w:eastAsia="Times New Roman" w:hAnsi="Times New Roman"/>
          <w:sz w:val="22"/>
          <w:szCs w:val="22"/>
          <w:color w:val="auto"/>
        </w:rPr>
      </w:pPr>
    </w:p>
    <w:p>
      <w:pPr>
        <w:jc w:val="both"/>
        <w:ind w:firstLine="656"/>
        <w:spacing w:after="0" w:line="263" w:lineRule="auto"/>
        <w:tabs>
          <w:tab w:leader="none" w:pos="115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as a result of any restatement of or other adjustment to the financial statements of the Company or for any other reason, the Company or the Lenders determine that (i) the Consolidated Net Leverage Ratio as calculated by the Company as of any applicable date was inaccurate and (ii) a proper calculation of the Consolidated Net Leverage Ratio would have resulted in higher pricing for such period, each Borrower shall immediately and retroactively be obligated to pay to the Applicable Facility Agent for the account of the applicable Lenders or the L/C Issuer, as the case may be, promptly on demand by the Applicable Facility Agent (or, after the occurrence of an actual or deemed entry of an order for relief with respect to any Borrower under the Bankruptcy Code of the United States, automatically and without further action by the Applicable Facility Agent, any Lender or the L/C Issuer), an amount equal to the excess of the amount of interest and fees that should have been paid for such period over the amount of interest and fees actually paid for such period. This clause (b) shall not limit the rights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22" w:right="339" w:bottom="1440" w:gutter="0" w:footer="0" w:header="0"/>
        </w:sectPr>
      </w:pPr>
    </w:p>
    <w:bookmarkStart w:id="178" w:name="page179"/>
    <w:bookmarkEnd w:id="178"/>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Applicable Facility Agent, any Lender or the L/C Issuer, as the case may be, under Section </w:t>
      </w:r>
      <w:r>
        <w:rPr>
          <w:rFonts w:ascii="Times New Roman" w:cs="Times New Roman" w:eastAsia="Times New Roman" w:hAnsi="Times New Roman"/>
          <w:sz w:val="22"/>
          <w:szCs w:val="22"/>
          <w:u w:val="single" w:color="auto"/>
          <w:color w:val="auto"/>
        </w:rPr>
        <w:t>2.03(c)(iii)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2.08(b)</w:t>
      </w:r>
      <w:r>
        <w:rPr>
          <w:rFonts w:ascii="Times New Roman" w:cs="Times New Roman" w:eastAsia="Times New Roman" w:hAnsi="Times New Roman"/>
          <w:sz w:val="22"/>
          <w:szCs w:val="22"/>
          <w:color w:val="auto"/>
        </w:rPr>
        <w:t xml:space="preserve"> or under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The Borrowers’ obligations under this paragraph shall survive the termination of the Aggregate Commitments and the repayment of all other Obligations hereunder.</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Evidence of Debt</w:t>
      </w:r>
      <w:r>
        <w:rPr>
          <w:rFonts w:ascii="Times New Roman" w:cs="Times New Roman" w:eastAsia="Times New Roman" w:hAnsi="Times New Roman"/>
          <w:sz w:val="19"/>
          <w:szCs w:val="19"/>
          <w:color w:val="auto"/>
        </w:rPr>
        <w:t>. (a) The Credit Extensions made by each Lender shall be evidenced by one or more accounts or records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maintained by such Lender and by the Applicable Facility Agent in the ordinary course of business. The accounts or records maintained by the Applicable Facility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Applicable Facility Agent in respect of such matters, the accounts and records of the Applicable Facility Agent shall control in the absence of manifest error. Upon the request of any Lender to a Borrower made through the Applicable Facility Agent, such Borrower shall execute and deliver to such Lender (through the Applicable Facility)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230" w:lineRule="exact"/>
        <w:rPr>
          <w:sz w:val="20"/>
          <w:szCs w:val="20"/>
          <w:color w:val="auto"/>
        </w:rPr>
      </w:pPr>
    </w:p>
    <w:p>
      <w:pPr>
        <w:jc w:val="both"/>
        <w:ind w:firstLine="656"/>
        <w:spacing w:after="0" w:line="263" w:lineRule="auto"/>
        <w:tabs>
          <w:tab w:leader="none" w:pos="129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accounts and records referred to in </w:t>
      </w:r>
      <w:r>
        <w:rPr>
          <w:rFonts w:ascii="Times New Roman" w:cs="Times New Roman" w:eastAsia="Times New Roman" w:hAnsi="Times New Roman"/>
          <w:sz w:val="21"/>
          <w:szCs w:val="21"/>
          <w:u w:val="single" w:color="auto"/>
          <w:color w:val="auto"/>
        </w:rPr>
        <w:t>Section 2.11(a)</w:t>
      </w:r>
      <w:r>
        <w:rPr>
          <w:rFonts w:ascii="Times New Roman" w:cs="Times New Roman" w:eastAsia="Times New Roman" w:hAnsi="Times New Roman"/>
          <w:sz w:val="21"/>
          <w:szCs w:val="21"/>
          <w:color w:val="auto"/>
        </w:rPr>
        <w:t>, each Lender and the Pro Rata Facilities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Pro Rata Facilities Administrative Agent and the accounts and records of any Lender in respect of such matters, the accounts and records of the Pro Rata Facilities Administrative Agent shall control in the absence of manifest error.</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u w:val="single" w:color="auto"/>
          <w:color w:val="auto"/>
        </w:rPr>
        <w:t>Payments Generally; Administrative Agents’ Clawback</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49" w:lineRule="auto"/>
        <w:tabs>
          <w:tab w:leader="none" w:pos="129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Applicable Facility Agent, for the account of the respective Lenders to which such payment is owed, at the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Pro Rata Facilities Administrative Agent, for the account of the respective Lenders to which such payment is owed, at the</w:t>
      </w:r>
    </w:p>
    <w:p>
      <w:pPr>
        <w:spacing w:after="0" w:line="3" w:lineRule="exact"/>
        <w:rPr>
          <w:rFonts w:ascii="Times New Roman" w:cs="Times New Roman" w:eastAsia="Times New Roman" w:hAnsi="Times New Roman"/>
          <w:sz w:val="22"/>
          <w:szCs w:val="22"/>
          <w:color w:val="auto"/>
        </w:rPr>
      </w:pPr>
    </w:p>
    <w:p>
      <w:pPr>
        <w:jc w:val="both"/>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Agent’s Office in such Alternative Currency (and in the applicable Alternative Currency Equivalent thereof) and in Same Day Funds not later than the Applicable Time specified by the Pro Rata Facilities Administrative Agent on the dates specified herein. Without limiting the generality of the foregoing, the Pro Rata Facilities Administrative Agent may require that any payments due under this Agreement be made in the United States. If,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22" w:right="339" w:bottom="1440" w:gutter="0" w:footer="0" w:header="0"/>
        </w:sectPr>
      </w:pPr>
    </w:p>
    <w:bookmarkStart w:id="179" w:name="page180"/>
    <w:bookmarkEnd w:id="179"/>
    <w:p>
      <w:pPr>
        <w:jc w:val="both"/>
        <w:spacing w:after="0" w:line="272" w:lineRule="auto"/>
        <w:rPr>
          <w:sz w:val="20"/>
          <w:szCs w:val="20"/>
          <w:color w:val="auto"/>
        </w:rPr>
      </w:pPr>
      <w:r>
        <w:rPr>
          <w:rFonts w:ascii="Times New Roman" w:cs="Times New Roman" w:eastAsia="Times New Roman" w:hAnsi="Times New Roman"/>
          <w:sz w:val="21"/>
          <w:szCs w:val="21"/>
          <w:color w:val="auto"/>
        </w:rPr>
        <w:t>any Borrower is prohibited by any Law from making any required payment hereunder in an Alternative Currency, such Borrower shall make such payment in Dollars in the Dollar Equivalent of the Alternative Currency payment amount. The Applicable Facility Agent will promptly distribute to each Lender its Applicable Percentage in respect of the relevant Facility (or other applicable share as provided herein) of such payment in like funds as received by wire transfer to such Lender’s Lending Office.</w:t>
      </w:r>
    </w:p>
    <w:p>
      <w:pPr>
        <w:spacing w:after="0" w:line="161" w:lineRule="exact"/>
        <w:rPr>
          <w:sz w:val="20"/>
          <w:szCs w:val="20"/>
          <w:color w:val="auto"/>
        </w:rPr>
      </w:pPr>
    </w:p>
    <w:p>
      <w:pPr>
        <w:ind w:left="1300" w:hanging="644"/>
        <w:spacing w:after="0"/>
        <w:tabs>
          <w:tab w:leader="none" w:pos="130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received by the Applicable Facility Agent (i) after 2:00 p.m., in the case of payments in Dollars, or</w:t>
      </w:r>
    </w:p>
    <w:p>
      <w:pPr>
        <w:spacing w:after="0" w:line="27" w:lineRule="exact"/>
        <w:rPr>
          <w:rFonts w:ascii="Times New Roman" w:cs="Times New Roman" w:eastAsia="Times New Roman" w:hAnsi="Times New Roman"/>
          <w:sz w:val="22"/>
          <w:szCs w:val="22"/>
          <w:color w:val="auto"/>
        </w:rPr>
      </w:pPr>
    </w:p>
    <w:p>
      <w:pPr>
        <w:jc w:val="both"/>
        <w:ind w:firstLine="8"/>
        <w:spacing w:after="0" w:line="260" w:lineRule="auto"/>
        <w:tabs>
          <w:tab w:leader="none" w:pos="323"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the Applicable Time specified by the Pro Rata Facilities Administrative Agent in the case of payments in an Alternative Currency, shall in each case be deemed received on the next succeeding Business Day and any applicable interest or fee shall continue to accrue. Notwithstanding the foregoing sentence, if any payment is received on the Business Day when due, the receipt of such payment after 2:00 p.m. shall not be deemed to be a Default or an Event of Default under </w:t>
      </w:r>
      <w:r>
        <w:rPr>
          <w:rFonts w:ascii="Times New Roman" w:cs="Times New Roman" w:eastAsia="Times New Roman" w:hAnsi="Times New Roman"/>
          <w:sz w:val="21"/>
          <w:szCs w:val="21"/>
          <w:u w:val="single" w:color="auto"/>
          <w:color w:val="auto"/>
        </w:rPr>
        <w:t>Section 8.01(a)(i)</w:t>
      </w:r>
      <w:r>
        <w:rPr>
          <w:rFonts w:ascii="Times New Roman" w:cs="Times New Roman" w:eastAsia="Times New Roman" w:hAnsi="Times New Roman"/>
          <w:sz w:val="21"/>
          <w:szCs w:val="21"/>
          <w:color w:val="auto"/>
        </w:rPr>
        <w:t>.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74" w:lineRule="exact"/>
        <w:rPr>
          <w:rFonts w:ascii="Times New Roman" w:cs="Times New Roman" w:eastAsia="Times New Roman" w:hAnsi="Times New Roman"/>
          <w:sz w:val="21"/>
          <w:szCs w:val="21"/>
          <w:color w:val="auto"/>
        </w:rPr>
      </w:pPr>
    </w:p>
    <w:p>
      <w:pPr>
        <w:jc w:val="both"/>
        <w:ind w:left="660" w:firstLine="644"/>
        <w:spacing w:after="0" w:line="259" w:lineRule="auto"/>
        <w:tabs>
          <w:tab w:leader="none" w:pos="1944" w:val="left"/>
        </w:tabs>
        <w:numPr>
          <w:ilvl w:val="2"/>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Funding by Lenders; Presumption by Administrative Agents</w:t>
      </w:r>
      <w:r>
        <w:rPr>
          <w:rFonts w:ascii="Times New Roman" w:cs="Times New Roman" w:eastAsia="Times New Roman" w:hAnsi="Times New Roman"/>
          <w:sz w:val="21"/>
          <w:szCs w:val="21"/>
          <w:color w:val="auto"/>
        </w:rPr>
        <w:t xml:space="preserve">. Unless the Applicable Facility Agent shall have received notice from a Lender prior to the proposed date of any Borrowing of Term SOFR Loans or Alternative Currency Loans (or, in the case of any Borrowing of Base Rate Loans, SOFR Daily Floating Rate Loans or Euro Swing Line Rate Loans, prior to 12:00 noon on the date of such Borrowing) that such Lender will not make available to the Applicable Facility Agent such Lender’s share of such Borrowing, the Applicable Facility Agent may assume that such Lender has made such share available on such date in accordance with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(or, in the case of a Borrowing of Base Rate Loans, SOFR Daily Floating Rate Loans or Euro Swing Line Rate Loans, that such Lender has made such share available in accordance with and at the time required by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and may, in reliance upon such assumption, make available to the applicable Borrower a corresponding amount. In such event, if a Lender has not in fact made its share of the applicable Borrowing available to the Applicable Facility Agent, then the applicable Lender and the applicable Borrower severally agree to pay to the Applicable Facility Agent forthwith on demand such corresponding amount in Same Day Funds with interest thereon, for each day from and including the date such amount is made available to such Borrower to but excluding the date of payment to the Applicable Facility Agent, at (A) in the case of a payment to be made by such Lender, the greater of the applicable Overnight Rate and a rate determined by the Applicable Facility Agent in accordance with banking industry rules on interbank compensation, plus any administrative, processing or similar fees customarily charged by the Applicable Facility Agent in connection with the foregoing, and (B) in the case of a payment to be made by such Borrower, the interest rate applicable to Base Rate Loans, SOFR Daily Floating Rate Loans or Euro Swing Line Rate Loans, or in the case of Alternative Currencies, in accordance with such market practice, in each case, as applicable. If such Borrower and such Lender shall pay such interest to the Applicable Facility Agent for the same or an overlapping period, the Applicable Facility Agent shall promptly remit to such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22" w:right="339" w:bottom="1440" w:gutter="0" w:footer="0" w:header="0"/>
        </w:sectPr>
      </w:pPr>
    </w:p>
    <w:bookmarkStart w:id="180" w:name="page181"/>
    <w:bookmarkEnd w:id="180"/>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the amount of such interest paid by such Borrower for such period. If such Lender pays its share of the applicable Borrowing to the Applicable Facility Agent, then the amount so paid shall constitute such Lender’s Loan included in such Borrowing. Any payment by such Borrower shall be without prejudice to any claim such Borrower may have against a Lender that shall have failed to make such payment to the Applicable Facility Agent.</w:t>
      </w:r>
    </w:p>
    <w:p>
      <w:pPr>
        <w:spacing w:after="0" w:line="176" w:lineRule="exact"/>
        <w:rPr>
          <w:sz w:val="20"/>
          <w:szCs w:val="20"/>
          <w:color w:val="auto"/>
        </w:rPr>
      </w:pPr>
    </w:p>
    <w:p>
      <w:pPr>
        <w:jc w:val="both"/>
        <w:ind w:left="660" w:firstLine="644"/>
        <w:spacing w:after="0" w:line="247" w:lineRule="auto"/>
        <w:tabs>
          <w:tab w:leader="none" w:pos="195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by Borrowers; Presumptions by Administrative Agents</w:t>
      </w:r>
      <w:r>
        <w:rPr>
          <w:rFonts w:ascii="Times New Roman" w:cs="Times New Roman" w:eastAsia="Times New Roman" w:hAnsi="Times New Roman"/>
          <w:sz w:val="22"/>
          <w:szCs w:val="22"/>
          <w:color w:val="auto"/>
        </w:rPr>
        <w:t>. Unless the Applicable Facility Agent shall have received notice from a Borrower prior to the time at which any payment is due to the Applicable Facility Agent for the account of the Lenders or the L/C Issuer hereunder that such Borrower will not make such payment, the Applicable Facility Agent may assume that such Borrower has made such payment on such date in accordance herewith and may, in reliance upon such assumption, distribute to the Appropriate Lenders or the L/C Issuer, as the case may be, the amount due. With respect to any payment that the Applicable Facility Agent makes for the account of the Lenders or the L/C Issuer hereunder as to which the Applicable Facility Agent determines (which determination shall be conclusive absent manifest error) that any of the following applies (such payment referred to as the “</w:t>
      </w:r>
      <w:r>
        <w:rPr>
          <w:rFonts w:ascii="Times New Roman" w:cs="Times New Roman" w:eastAsia="Times New Roman" w:hAnsi="Times New Roman"/>
          <w:sz w:val="22"/>
          <w:szCs w:val="22"/>
          <w:u w:val="single" w:color="auto"/>
          <w:color w:val="auto"/>
        </w:rPr>
        <w:t>Rescindable Amount</w:t>
      </w:r>
      <w:r>
        <w:rPr>
          <w:rFonts w:ascii="Times New Roman" w:cs="Times New Roman" w:eastAsia="Times New Roman" w:hAnsi="Times New Roman"/>
          <w:sz w:val="22"/>
          <w:szCs w:val="22"/>
          <w:color w:val="auto"/>
        </w:rPr>
        <w:t>”): (1) such Borrower had not in fact made such payment; (2) the Applicable Facility Agent has made a payment in excess of the amount so paid by such Borrower (whether or not owed); or (3) the Applicable Facility Agent has for any reason otherwise erroneously made such payment; then each of the Lenders or the L/C Issuer, as the case may be, severally agrees to repay to the Applicable Facility Agent forthwith on demand the Rescindable Amount so distributed to such Lender or the L/C Issuer, in Same Day Funds with interest thereon, for each day from and including the date such amount is distributed to it to but excluding the date of payment to the Applicable Facility Agent, at the greater of the Federal Funds Rate and a rate determined by the Applicable Facility Agent in accordance with banking industry rules on interbank compensation.</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A notice of the Applicable Facility Agent to any Lender or Borrower with respect to any amount owing under this </w:t>
      </w:r>
      <w:r>
        <w:rPr>
          <w:rFonts w:ascii="Times New Roman" w:cs="Times New Roman" w:eastAsia="Times New Roman" w:hAnsi="Times New Roman"/>
          <w:sz w:val="21"/>
          <w:szCs w:val="21"/>
          <w:u w:val="single" w:color="auto"/>
          <w:color w:val="auto"/>
        </w:rPr>
        <w:t>clause</w:t>
      </w:r>
    </w:p>
    <w:p>
      <w:pPr>
        <w:spacing w:after="0" w:line="39" w:lineRule="exact"/>
        <w:rPr>
          <w:sz w:val="20"/>
          <w:szCs w:val="20"/>
          <w:color w:val="auto"/>
        </w:rPr>
      </w:pPr>
    </w:p>
    <w:p>
      <w:pPr>
        <w:ind w:left="320" w:hanging="312"/>
        <w:spacing w:after="0"/>
        <w:tabs>
          <w:tab w:leader="none" w:pos="320" w:val="left"/>
        </w:tabs>
        <w:numPr>
          <w:ilvl w:val="0"/>
          <w:numId w:val="16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shall be conclusive, absent manifest error.</w:t>
      </w:r>
    </w:p>
    <w:p>
      <w:pPr>
        <w:spacing w:after="0" w:line="195" w:lineRule="exact"/>
        <w:rPr>
          <w:rFonts w:ascii="Times New Roman" w:cs="Times New Roman" w:eastAsia="Times New Roman" w:hAnsi="Times New Roman"/>
          <w:sz w:val="22"/>
          <w:szCs w:val="22"/>
          <w:u w:val="single" w:color="auto"/>
          <w:color w:val="auto"/>
        </w:rPr>
      </w:pPr>
    </w:p>
    <w:p>
      <w:pPr>
        <w:jc w:val="both"/>
        <w:ind w:firstLine="656"/>
        <w:spacing w:after="0" w:line="253" w:lineRule="auto"/>
        <w:tabs>
          <w:tab w:leader="none" w:pos="1293"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Satisfy Conditions Precedent</w:t>
      </w:r>
      <w:r>
        <w:rPr>
          <w:rFonts w:ascii="Times New Roman" w:cs="Times New Roman" w:eastAsia="Times New Roman" w:hAnsi="Times New Roman"/>
          <w:sz w:val="22"/>
          <w:szCs w:val="22"/>
          <w:color w:val="auto"/>
        </w:rPr>
        <w:t xml:space="preserve">. If any Lender makes available to the Applicable Facility Agent funds for any Loan to be made by such Lender to any Borrower as provided in the foregoing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such funds are not made available to such Borrower by the Applicable Facility Agent because the conditions to the applicable Credit Extension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not satisfied or waived in accordance with the terms hereof, the Applicable Facility Agent shall return such funds (in like funds as received from such Lender) to such Lender, without interest.</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1"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Lenders Several</w:t>
      </w:r>
      <w:r>
        <w:rPr>
          <w:rFonts w:ascii="Times New Roman" w:cs="Times New Roman" w:eastAsia="Times New Roman" w:hAnsi="Times New Roman"/>
          <w:sz w:val="22"/>
          <w:szCs w:val="22"/>
          <w:color w:val="auto"/>
        </w:rPr>
        <w:t xml:space="preserve">. The obligations of the Lenders hereunder to make Term Loans and Revolving Credit Loans, to fund participations in Letters of Credit and Swing Line Loans and to make payments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10.04(c)</w:t>
      </w:r>
      <w:r>
        <w:rPr>
          <w:rFonts w:ascii="Times New Roman" w:cs="Times New Roman" w:eastAsia="Times New Roman" w:hAnsi="Times New Roman"/>
          <w:sz w:val="22"/>
          <w:szCs w:val="22"/>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xml:space="preserve"> on any date required hereunder shall not relieve any other Lender of its corresponding obligation to do so on such date, and no Lender shall be responsible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22" w:right="339" w:bottom="1440" w:gutter="0" w:footer="0" w:header="0"/>
        </w:sectPr>
      </w:pPr>
    </w:p>
    <w:bookmarkStart w:id="181" w:name="page182"/>
    <w:bookmarkEnd w:id="181"/>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for the failure of any other Lender to so make its Loan, to purchase its participation or to make its payment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10.04(c)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56"/>
        <w:spacing w:after="0" w:line="263" w:lineRule="auto"/>
        <w:tabs>
          <w:tab w:leader="none" w:pos="129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Source</w:t>
      </w:r>
      <w:r>
        <w:rPr>
          <w:rFonts w:ascii="Times New Roman" w:cs="Times New Roman" w:eastAsia="Times New Roman" w:hAnsi="Times New Roman"/>
          <w:sz w:val="22"/>
          <w:szCs w:val="22"/>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7"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Insufficient Funds</w:t>
      </w:r>
      <w:r>
        <w:rPr>
          <w:rFonts w:ascii="Times New Roman" w:cs="Times New Roman" w:eastAsia="Times New Roman" w:hAnsi="Times New Roman"/>
          <w:sz w:val="22"/>
          <w:szCs w:val="22"/>
          <w:color w:val="auto"/>
        </w:rPr>
        <w:t xml:space="preserve">. If at any time insufficient funds are received by and available to the Applicable Facility Agent to pay fully all amounts of principal, L/C Borrowings, interest and fees then due hereunder, such funds shall be applied (i)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toward payment of principal and L/C Borrowings then due hereunder, ratably among the parties entitled thereto in accordance with the amounts of principal and L/C Borrowings then due to such parties.</w:t>
      </w:r>
    </w:p>
    <w:p>
      <w:pPr>
        <w:spacing w:after="0" w:line="18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Sharing of Payments by Lenders</w:t>
      </w:r>
      <w:r>
        <w:rPr>
          <w:rFonts w:ascii="Times New Roman" w:cs="Times New Roman" w:eastAsia="Times New Roman" w:hAnsi="Times New Roman"/>
          <w:sz w:val="19"/>
          <w:szCs w:val="19"/>
          <w:color w:val="auto"/>
        </w:rPr>
        <w:t>. If any Lender shall, by exercising any right of setoff or counterclaim or otherwise,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obtain payment in respect of (a) Obligations due and payable to such Lender hereunder and under the other Loan Documents at such time in excess of its ratable share (according to the proportion of (i) the amount of such Obligations due and payable to such Lender at such time to</w:t>
      </w:r>
    </w:p>
    <w:p>
      <w:pPr>
        <w:spacing w:after="0" w:line="2" w:lineRule="exact"/>
        <w:rPr>
          <w:sz w:val="20"/>
          <w:szCs w:val="20"/>
          <w:color w:val="auto"/>
        </w:rPr>
      </w:pPr>
    </w:p>
    <w:p>
      <w:pPr>
        <w:jc w:val="both"/>
        <w:ind w:firstLine="8"/>
        <w:spacing w:after="0" w:line="261" w:lineRule="auto"/>
        <w:tabs>
          <w:tab w:leader="none" w:pos="298"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Documents at such time) of payment on account of the Obligations owing (but not due and payable) to all Lenders hereunder and under the other Loan Documents at such time obtained by all of the Lenders at such time then the Lender receiving such greater proportion shall (a) notify the Applicable Facility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5" w:lineRule="exact"/>
        <w:rPr>
          <w:rFonts w:ascii="Times New Roman" w:cs="Times New Roman" w:eastAsia="Times New Roman" w:hAnsi="Times New Roman"/>
          <w:sz w:val="19"/>
          <w:szCs w:val="19"/>
          <w:color w:val="auto"/>
        </w:rPr>
      </w:pPr>
    </w:p>
    <w:p>
      <w:pPr>
        <w:jc w:val="both"/>
        <w:ind w:left="660" w:firstLine="644"/>
        <w:spacing w:after="0" w:line="254" w:lineRule="auto"/>
        <w:tabs>
          <w:tab w:leader="none" w:pos="1944"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5"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0" w:val="left"/>
        </w:tabs>
        <w:numPr>
          <w:ilvl w:val="2"/>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Section shall not be construed to apply to (A) any payment made by or on behalf of any Borrower pursuant to and in accordance with the express terms of this Agreement (including the application of funds arising from the existence of a Defaulting Lender), (B) the application of Cash Collateral provided for in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or</w:t>
      </w:r>
    </w:p>
    <w:p>
      <w:pPr>
        <w:spacing w:after="0" w:line="1" w:lineRule="exact"/>
        <w:rPr>
          <w:rFonts w:ascii="Times New Roman" w:cs="Times New Roman" w:eastAsia="Times New Roman" w:hAnsi="Times New Roman"/>
          <w:sz w:val="21"/>
          <w:szCs w:val="21"/>
          <w:color w:val="auto"/>
        </w:rPr>
      </w:pPr>
    </w:p>
    <w:p>
      <w:pPr>
        <w:ind w:left="1000" w:hanging="344"/>
        <w:spacing w:after="0"/>
        <w:tabs>
          <w:tab w:leader="none" w:pos="1000"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obtained by a Lender as consideration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22" w:right="339" w:bottom="1440" w:gutter="0" w:footer="0" w:header="0"/>
        </w:sectPr>
      </w:pPr>
    </w:p>
    <w:bookmarkStart w:id="182" w:name="page183"/>
    <w:bookmarkEnd w:id="182"/>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assignment of or sale of a participation in any of its Loans or subparticipations in L/C Obligations or Swing Line Loans to any assignee or participant, other than an assignment to the Company or any Affiliate thereof (as to which the provisions of this Section shall apply).</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u w:val="single" w:color="auto"/>
          <w:color w:val="auto"/>
        </w:rPr>
        <w:t>Designation of Unrestricted and Restricted Subsidiaries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56"/>
        <w:spacing w:after="0" w:line="259" w:lineRule="auto"/>
        <w:tabs>
          <w:tab w:leader="none" w:pos="1293"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after the Amendment No. 4 Effective Date, upon written notice to the General Administrative Agent (which written notice shall contain a certification as to the matters set forth in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the Company may designate any Restricted Subsidiary of the Company (along with all Subsidiaries of such Restricted Subsidiary) as an “Unrestricted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both before and after giving effect to such designation, no Default or Event of Default shall have occurred and be continuing, (ii) after giving effect to such designation, the Company and its Restricted Subsidiaries shall be in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compliance with each of the covenants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as of the last day of the most recent fiscal quarter for which financial statements have been delivered pursuant to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(or, if prior to any such delivery, as of the date of the most recent Audited Financial Statements, with the required financial covenant levels being deemed for such purpose to be the testing levels set forth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(b) without giving effect to any Consolidated Net Leverage Ratio Increase or Consolidated Secured Net Leverage Ratio Increase, as applicable), (iii) the Investment in such Unrestricted Subsidiary must be permitted at such time under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(with the amount of such Investment being deemed to be the Fair Market Value of the net assets of such Subsidiary at the time such Subsidiary is designated an Unrestricted Subsidiary), (iv) once designated as an Unrestricted Subsidiary, the Company may re-designate such Subsidiary as a “Restricted Subsidiary” pursuant to </w:t>
      </w:r>
      <w:r>
        <w:rPr>
          <w:rFonts w:ascii="Times New Roman" w:cs="Times New Roman" w:eastAsia="Times New Roman" w:hAnsi="Times New Roman"/>
          <w:sz w:val="21"/>
          <w:szCs w:val="21"/>
          <w:u w:val="single" w:color="auto"/>
          <w:color w:val="auto"/>
        </w:rPr>
        <w:t>Section 2.14(b)</w:t>
      </w:r>
      <w:r>
        <w:rPr>
          <w:rFonts w:ascii="Times New Roman" w:cs="Times New Roman" w:eastAsia="Times New Roman" w:hAnsi="Times New Roman"/>
          <w:sz w:val="21"/>
          <w:szCs w:val="21"/>
          <w:color w:val="auto"/>
        </w:rPr>
        <w:t xml:space="preserve">, but, thereafter, the Company shall not re-designate such Subsidiary as an “Unrestricted Subsidiary” pursuant to this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xml:space="preserve">, (v) no Subsidiary may be designated as an Unrestricted Subsidiary or continue as an Unrestricted Subsidiary (A) if it is a “Restricted Subsidiary” for the purpose of any other Indebtedness of a Loan Party or (B) unless each of its direct and indirect Subsidiaries is also designated an Unrestricted Subsidiary pursuant to this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and (vi) the Company and its Restricted Subsidiaries (excluding the proposed Unrestricted Subsidiary) shall at the time of the designation represent, on a combined basis (and without taking into account the assets or Consolidated EBITDA of any Unrestricted Subsidiary (including the proposed Unrestricted Subsidiary) or the value of any Investment therein), at least 90% of the consolidated total assets and at least 90% of the Consolidated EBITDA of the Company and its Subsidiaries (with Consolidated EBITDA and the definitions used therein being measured for this purpose for the Company and all Subsidiaries, notwithstanding such definitions otherwise being for the Company and its Restricted Subsidiaries). The designation of any Subsidiary as an Unrestricted Subsidiary shall constitute an Investment (with the amount of such Investment being deemed to be the Fair Market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22" w:right="339" w:bottom="1440" w:gutter="0" w:footer="0" w:header="0"/>
        </w:sectPr>
      </w:pPr>
    </w:p>
    <w:bookmarkStart w:id="183" w:name="page184"/>
    <w:bookmarkEnd w:id="183"/>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net assets of such Subsidiary at the time such Subsidiary is designated an Unrestricted Subsidiary) by the Company or a Restricted Subsidiary therein at the date of designation. Notwithstanding anything herein to the contrary in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(i) if any Restricted Subsidiary owns or holds any Material Intellectual Property, no such Restricted Subsidiary or Loan Party may be designated as an Unrestricted Subsidiary, (ii) neither the Company nor any of its Restricted Subsidiaries shall (A) make any Investment in, Restricted Payment to or otherwise dispose of Material Intellectual Property to, any Unrestricted Subsidiary (including by transferring any capital stock or Equity Interests of a Restricted Subsidiary to an Unrestricted Subsidiary) and (iii) no Unrestricted Subsidiary shall own or hold rights to any Material Intellectual Property.</w:t>
      </w:r>
    </w:p>
    <w:p>
      <w:pPr>
        <w:spacing w:after="0" w:line="180" w:lineRule="exact"/>
        <w:rPr>
          <w:sz w:val="20"/>
          <w:szCs w:val="20"/>
          <w:color w:val="auto"/>
        </w:rPr>
      </w:pPr>
    </w:p>
    <w:p>
      <w:pPr>
        <w:jc w:val="both"/>
        <w:ind w:firstLine="656"/>
        <w:spacing w:after="0" w:line="248" w:lineRule="auto"/>
        <w:tabs>
          <w:tab w:leader="none" w:pos="136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after the Amendment No. 4 Effective Date and upon written notice to the General Administrative Agent, the Company may re-designate any Unrestricted Subsidiary as a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Subsidiary holding or owning Equity Interests in such re-designated Restricted Subsidiary shall be an Unrestricted Subsidiary (unless also being re-designated at such time), (ii) both before and after giving effect to such designation, no Event of Default shall have occurred and be continuing and (iii) after giving effect to such designation, the Company and its Restricted Subsidiaries shall be in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compliance with each of the covenants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as of the last day of the most recently ended fiscal quarter for which financial statements have been delivered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(or, if prior to any such delivery, as of the date of the most recent Audited Financial Statements, with the required financial covenant levels being deemed for such purpose to be the testing levels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(b) without giving effect to any Consolidated Net Leverage Ratio Increase or Consolidated Secured Net Leverage Ratio Increase, as applicable). The re-designation of any Unrestricted Subsidiary as a Restricted Subsidiary shall constitute (i) the incurrence at the time of designation of any Investment, Indebtedness or Liens of such re-designated Restricted Subsidiary existing at such time and (ii) a return on any Investment by the Company or other applicable Restricted Subsidiary in such re-designated Restricted Subsidiary in an amount equal to the Fair Market Value at the date of such designation of the Company’s or its Restricted Subsidiary’s (as applicable) Investment in such re-designated Restricted Subsidiary.</w:t>
      </w:r>
    </w:p>
    <w:p>
      <w:pPr>
        <w:spacing w:after="0" w:line="182"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3"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designation of a Subsidiary as an Unrestricted Subsidiary or a Restricted Subsidiary shall be deemed a representation and warranty by the Company that each of the requirements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2.14(b)</w:t>
      </w:r>
      <w:r>
        <w:rPr>
          <w:rFonts w:ascii="Times New Roman" w:cs="Times New Roman" w:eastAsia="Times New Roman" w:hAnsi="Times New Roman"/>
          <w:sz w:val="22"/>
          <w:szCs w:val="22"/>
          <w:color w:val="auto"/>
        </w:rPr>
        <w:t>, as applicable, are satisfied in all respects.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u w:val="single" w:color="auto"/>
          <w:color w:val="auto"/>
        </w:rPr>
        <w:t>Designated Borrowers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56"/>
        <w:spacing w:after="0" w:line="271" w:lineRule="auto"/>
        <w:tabs>
          <w:tab w:leader="none" w:pos="129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Amendment No. 4 Effective Date the Dutch Borrower shall be a “Designated Borrower” hereunder and may receive Loans for its account on the terms and conditions set forth in this Agreement.</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at any time after the Amendment No. 4 Effective Date (with the consent of the Pro Rata Facilities Administrative Agent and, other than in the case of a Domestic Subsidiary, each Revolving Credit Lender), upon not less than 15 Business Days’ notice from the Company to the Pro Rata Facilities Administrative Agent (or such shorter period as may be agreed by the Pro Rata Facilities Administrative Agent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22" w:right="339" w:bottom="1440" w:gutter="0" w:footer="0" w:header="0"/>
        </w:sectPr>
      </w:pPr>
    </w:p>
    <w:bookmarkStart w:id="184" w:name="page185"/>
    <w:bookmarkEnd w:id="184"/>
    <w:p>
      <w:pPr>
        <w:jc w:val="both"/>
        <w:spacing w:after="0" w:line="259" w:lineRule="auto"/>
        <w:rPr>
          <w:sz w:val="20"/>
          <w:szCs w:val="20"/>
          <w:color w:val="auto"/>
        </w:rPr>
      </w:pPr>
      <w:r>
        <w:rPr>
          <w:rFonts w:ascii="Times New Roman" w:cs="Times New Roman" w:eastAsia="Times New Roman" w:hAnsi="Times New Roman"/>
          <w:sz w:val="21"/>
          <w:szCs w:val="21"/>
          <w:color w:val="auto"/>
        </w:rPr>
        <w:t>designate any additional wholly-owned Restricted Subsidiary of the Company (an “</w:t>
      </w:r>
      <w:r>
        <w:rPr>
          <w:rFonts w:ascii="Times New Roman" w:cs="Times New Roman" w:eastAsia="Times New Roman" w:hAnsi="Times New Roman"/>
          <w:sz w:val="21"/>
          <w:szCs w:val="21"/>
          <w:u w:val="single" w:color="auto"/>
          <w:color w:val="auto"/>
        </w:rPr>
        <w:t>Applicant Borrower</w:t>
      </w:r>
      <w:r>
        <w:rPr>
          <w:rFonts w:ascii="Times New Roman" w:cs="Times New Roman" w:eastAsia="Times New Roman" w:hAnsi="Times New Roman"/>
          <w:sz w:val="21"/>
          <w:szCs w:val="21"/>
          <w:color w:val="auto"/>
        </w:rPr>
        <w:t xml:space="preserve">”) as a Designated Borrower to receive Revolving Credit Loans hereunder by delivering to the Pro Rata Facilities Administrative Agent (which shall promptly deliver counterparts thereof to each Lender) a duly executed notice and agreement in substantially the form of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Designated Borrower Request and Assumption Agreement</w:t>
      </w:r>
      <w:r>
        <w:rPr>
          <w:rFonts w:ascii="Times New Roman" w:cs="Times New Roman" w:eastAsia="Times New Roman" w:hAnsi="Times New Roman"/>
          <w:sz w:val="21"/>
          <w:szCs w:val="21"/>
          <w:color w:val="auto"/>
        </w:rPr>
        <w:t xml:space="preserve">”). The parties hereto acknowledge and agree that prior to any Applicant Borrower becoming entitled to utilize the Revolving Credit Facility provided for herein the Pro Rata Facilities Administrative Agent and the Revolving Credit Lenders shall have received such supporting resolutions, incumbency certificates, opinions of counsel and other documents or information, in form, content and scope reasonably satisfactory to the Pro Rata Facilities Administrative Agent, as may be required by the Pro Rata Facilities Administrative Agent or the Required Revolving Lenders in their sole discretion (and each Revolving Credit Lender shall have satisfied with the documentation and other information so requested in connection with applicable “know your customer” and anti-money-laundering rules and regulations, including, without limitation, the PATRIOT Act and any Designated Borrower that qualifies as a “legal entity customer” under the Beneficial Ownership Regulation shall have delivered, to each Revolving Credit Lender that so requests, a Beneficial Ownership Certification in relation to such Designated Borrower), and Notes signed by such new Designated Borrowers to the extent any Revolving Credit Lenders so require. If the Pro Rata Facilities Administrative Agent and, if necessary, the appropriate Revolving Credit Lenders agree that an Applicant Borrower shall have satisfied the requirements to be a Designated Borrower under the Revolving Credit Facility, then promptly following receipt of all such requested resolutions, incumbency certificates, opinions of counsel and other documents or information, the Pro Rata Facilities Administrative Agent shall send a notice in substantially the form of </w:t>
      </w:r>
      <w:r>
        <w:rPr>
          <w:rFonts w:ascii="Times New Roman" w:cs="Times New Roman" w:eastAsia="Times New Roman" w:hAnsi="Times New Roman"/>
          <w:sz w:val="21"/>
          <w:szCs w:val="21"/>
          <w:u w:val="single" w:color="auto"/>
          <w:color w:val="auto"/>
        </w:rPr>
        <w:t>Exhibit I</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Designated Borrower Notice</w:t>
      </w:r>
      <w:r>
        <w:rPr>
          <w:rFonts w:ascii="Times New Roman" w:cs="Times New Roman" w:eastAsia="Times New Roman" w:hAnsi="Times New Roman"/>
          <w:sz w:val="21"/>
          <w:szCs w:val="21"/>
          <w:color w:val="auto"/>
        </w:rPr>
        <w:t xml:space="preserve">”) to the Company and the Revolving Credit Lenders specifying the effective date upon which the Applicant Borrower shall constitute a Designated Borrower for purposes hereof, whereupon each of the Lenders agrees to permit such Designated Borrower to be a Borrower under the Revolving Credit Facility,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Committed Loan Notice or Letter of Credit Application may be submitted by or on behalf of such Designated Borrower until the date five Business Days after such effective date.</w:t>
      </w:r>
    </w:p>
    <w:p>
      <w:pPr>
        <w:spacing w:after="0" w:line="176" w:lineRule="exact"/>
        <w:rPr>
          <w:sz w:val="20"/>
          <w:szCs w:val="20"/>
          <w:color w:val="auto"/>
        </w:rPr>
      </w:pPr>
    </w:p>
    <w:p>
      <w:pPr>
        <w:jc w:val="both"/>
        <w:ind w:firstLine="656"/>
        <w:spacing w:after="0" w:line="281" w:lineRule="auto"/>
        <w:tabs>
          <w:tab w:leader="none" w:pos="1293"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Domestic Designated Borrower shall be jointly and severally liable for all Obligations of all Borrowers. All Foreign Designated Borrowers shall be jointly and severally liable for the Obligations of each other Foreign Designated Borrower but shall not be liable for the Obligations of the Company or any Domestic Designated Borrower.</w:t>
      </w:r>
    </w:p>
    <w:p>
      <w:pPr>
        <w:spacing w:after="0" w:line="150" w:lineRule="exact"/>
        <w:rPr>
          <w:rFonts w:ascii="Times New Roman" w:cs="Times New Roman" w:eastAsia="Times New Roman" w:hAnsi="Times New Roman"/>
          <w:sz w:val="21"/>
          <w:szCs w:val="21"/>
          <w:color w:val="auto"/>
        </w:rPr>
      </w:pPr>
    </w:p>
    <w:p>
      <w:pPr>
        <w:jc w:val="both"/>
        <w:ind w:firstLine="656"/>
        <w:spacing w:after="0" w:line="251" w:lineRule="auto"/>
        <w:tabs>
          <w:tab w:leader="none" w:pos="129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Subsidiary of the Company that is or becomes a “Designated Borrower” pursuant to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 or by each Borrower acting singly,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22" w:right="339" w:bottom="1440" w:gutter="0" w:footer="0" w:header="0"/>
        </w:sectPr>
      </w:pPr>
    </w:p>
    <w:bookmarkStart w:id="185" w:name="page186"/>
    <w:bookmarkEnd w:id="185"/>
    <w:p>
      <w:pPr>
        <w:jc w:val="both"/>
        <w:spacing w:after="0" w:line="257" w:lineRule="auto"/>
        <w:rPr>
          <w:sz w:val="20"/>
          <w:szCs w:val="20"/>
          <w:color w:val="auto"/>
        </w:rPr>
      </w:pPr>
      <w:r>
        <w:rPr>
          <w:rFonts w:ascii="Times New Roman" w:cs="Times New Roman" w:eastAsia="Times New Roman" w:hAnsi="Times New Roman"/>
          <w:sz w:val="22"/>
          <w:szCs w:val="22"/>
          <w:color w:val="auto"/>
        </w:rPr>
        <w:t>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86" w:lineRule="exact"/>
        <w:rPr>
          <w:sz w:val="20"/>
          <w:szCs w:val="20"/>
          <w:color w:val="auto"/>
        </w:rPr>
      </w:pPr>
    </w:p>
    <w:p>
      <w:pPr>
        <w:jc w:val="both"/>
        <w:ind w:firstLine="656"/>
        <w:spacing w:after="0" w:line="251" w:lineRule="auto"/>
        <w:tabs>
          <w:tab w:leader="none" w:pos="1293"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from time to time, upon not less than 15 Business Days’ notice from the Company to the Pro Rata Facilities Administrative Agent (or such shorter period as may be agreed by the Pro Rata Facilities Administrative Agent in its sole discretion), terminate a Designated Borrower’s status as such,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there are no outstanding Loans payable by such Designated Borrower, or other amounts payable by such Designated Borrower on account of any Loans made to it, as of the effective date of such termination. The Administrative Agents will promptly notify the Lenders of any such termination of a Designated Borrower’s status.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1"/>
          <w:szCs w:val="21"/>
          <w:u w:val="single" w:color="auto"/>
          <w:color w:val="auto"/>
        </w:rPr>
        <w:t>Incremental Facilities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9" w:lineRule="auto"/>
        <w:tabs>
          <w:tab w:leader="none" w:pos="1293"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Request for Incremental Facilities</w:t>
      </w:r>
      <w:r>
        <w:rPr>
          <w:rFonts w:ascii="Times New Roman" w:cs="Times New Roman" w:eastAsia="Times New Roman" w:hAnsi="Times New Roman"/>
          <w:sz w:val="21"/>
          <w:szCs w:val="21"/>
          <w:color w:val="auto"/>
        </w:rPr>
        <w:t>. The Company may, from time to time, request by notice to the Applicable Facility Agent (x) one or more increases in the Revolving Credit Facility (each, a “</w:t>
      </w:r>
      <w:r>
        <w:rPr>
          <w:rFonts w:ascii="Times New Roman" w:cs="Times New Roman" w:eastAsia="Times New Roman" w:hAnsi="Times New Roman"/>
          <w:sz w:val="21"/>
          <w:szCs w:val="21"/>
          <w:u w:val="single" w:color="auto"/>
          <w:color w:val="auto"/>
        </w:rPr>
        <w:t>Revolving Credit Increase</w:t>
      </w:r>
      <w:r>
        <w:rPr>
          <w:rFonts w:ascii="Times New Roman" w:cs="Times New Roman" w:eastAsia="Times New Roman" w:hAnsi="Times New Roman"/>
          <w:sz w:val="21"/>
          <w:szCs w:val="21"/>
          <w:color w:val="auto"/>
        </w:rPr>
        <w:t>”), (y) one or more increases in any Term Facility (each, a “</w:t>
      </w:r>
      <w:r>
        <w:rPr>
          <w:rFonts w:ascii="Times New Roman" w:cs="Times New Roman" w:eastAsia="Times New Roman" w:hAnsi="Times New Roman"/>
          <w:sz w:val="21"/>
          <w:szCs w:val="21"/>
          <w:u w:val="single" w:color="auto"/>
          <w:color w:val="auto"/>
        </w:rPr>
        <w:t>Term Loan Increase</w:t>
      </w:r>
      <w:r>
        <w:rPr>
          <w:rFonts w:ascii="Times New Roman" w:cs="Times New Roman" w:eastAsia="Times New Roman" w:hAnsi="Times New Roman"/>
          <w:sz w:val="21"/>
          <w:szCs w:val="21"/>
          <w:color w:val="auto"/>
        </w:rPr>
        <w:t>”) or (z) one or more term loan tranches to be made available to the Company or a Designated Borrower (each, an “</w:t>
      </w:r>
      <w:r>
        <w:rPr>
          <w:rFonts w:ascii="Times New Roman" w:cs="Times New Roman" w:eastAsia="Times New Roman" w:hAnsi="Times New Roman"/>
          <w:sz w:val="21"/>
          <w:szCs w:val="21"/>
          <w:u w:val="single" w:color="auto"/>
          <w:color w:val="auto"/>
        </w:rPr>
        <w:t>Incremental Term Loan</w:t>
      </w:r>
      <w:r>
        <w:rPr>
          <w:rFonts w:ascii="Times New Roman" w:cs="Times New Roman" w:eastAsia="Times New Roman" w:hAnsi="Times New Roman"/>
          <w:sz w:val="21"/>
          <w:szCs w:val="21"/>
          <w:color w:val="auto"/>
        </w:rPr>
        <w:t>”; each Incremental Term Loan, each Revolving Credit Increase and each Term Loan Increase, collectively, referred to as the “</w:t>
      </w:r>
      <w:r>
        <w:rPr>
          <w:rFonts w:ascii="Times New Roman" w:cs="Times New Roman" w:eastAsia="Times New Roman" w:hAnsi="Times New Roman"/>
          <w:sz w:val="21"/>
          <w:szCs w:val="21"/>
          <w:u w:val="single" w:color="auto"/>
          <w:color w:val="auto"/>
        </w:rPr>
        <w:t>Incremental Facilities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aggregate principal amount for all such Incremental Facilities shall not exceed the Incremental Available Amount; (ii) any such request for an Incremental Facility shall be in a minimum amount of $25,000,000 (or a lesser amount in the event such amount represents all remaining availability under this Section); (iii) no Revolving Credit Increase shall (A) increase the Letter of Credit Sublimit without the consent of the L/C Issuer or (B) increase the Swing Line Sublimit without the consent of each of the Swing Line Lenders; (iv) no Incremental Term Loan shall mature earlier than the Latest Maturity Date in effect or have a shorter weighted average life to maturity than the remaining weighted average life to maturity of any Term Facility (determined without giving effect to any prepayments except for any prepayments in full of a Term Facility); provided that the requirements set forth in this clause (iv) shall not apply to any Qualified Bridge Facility or any Permitted Earlier Maturity Debt; (v) each Incremental Term Loan shall (A) rank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or junior to any applicable then-existing Class of Loans and Commitments (x) in right of payment and (y) other than during a Collateral Release Period, in right of security (if secured) (and any Incremental Term Loans that are junior in right of payment and/or security shall have customary second lien, prepayment, standstill and other provisions, including any applicable intercreditor agreement, in each case reasonably acceptable to the General Administrative Agent, the Applicable Facility Agent and the Company) and (B) rank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or junior to any applicable then-existing Class of Term Loans in prepayment and/or voting (unless agreed to be subordinate, paid after the Term Loans or have fewer voting rights by the Lenders providing such Incremental Term Loan) and (C) shall have an Applicable Rate or pricing grid as determined by the Lenders providing such Incremental Term Loans and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Incremental Term Loan that is a “term b” facility (as designated by the Company and the Lenders providing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22" w:right="339" w:bottom="1440" w:gutter="0" w:footer="0" w:header="0"/>
        </w:sectPr>
      </w:pPr>
    </w:p>
    <w:bookmarkStart w:id="186" w:name="page187"/>
    <w:bookmarkEnd w:id="186"/>
    <w:p>
      <w:pPr>
        <w:jc w:val="both"/>
        <w:spacing w:after="0" w:line="247" w:lineRule="auto"/>
        <w:rPr>
          <w:sz w:val="20"/>
          <w:szCs w:val="20"/>
          <w:color w:val="auto"/>
        </w:rPr>
      </w:pPr>
      <w:r>
        <w:rPr>
          <w:rFonts w:ascii="Times New Roman" w:cs="Times New Roman" w:eastAsia="Times New Roman" w:hAnsi="Times New Roman"/>
          <w:sz w:val="22"/>
          <w:szCs w:val="22"/>
          <w:color w:val="auto"/>
        </w:rPr>
        <w:t>Incremental Term Facility) (an “</w:t>
      </w:r>
      <w:r>
        <w:rPr>
          <w:rFonts w:ascii="Times New Roman" w:cs="Times New Roman" w:eastAsia="Times New Roman" w:hAnsi="Times New Roman"/>
          <w:sz w:val="22"/>
          <w:szCs w:val="22"/>
          <w:u w:val="single" w:color="auto"/>
          <w:color w:val="auto"/>
        </w:rPr>
        <w:t>Incremental Term Loan B Facility</w:t>
      </w:r>
      <w:r>
        <w:rPr>
          <w:rFonts w:ascii="Times New Roman" w:cs="Times New Roman" w:eastAsia="Times New Roman" w:hAnsi="Times New Roman"/>
          <w:sz w:val="22"/>
          <w:szCs w:val="22"/>
          <w:color w:val="auto"/>
        </w:rPr>
        <w:t xml:space="preserve">”) that is incurred prior to the date that is six months after the Amendment No. 5 Effective Date and secured by the Collateral on a pari passu basis with the Term B Loans (other than any Incremental Term Loan B Facility (A) that has a final maturity date that is more than one year after the Latest Maturity Date in respect of the Term B Facility as of the Amendment No. 5 Effective Date or (B) the proceeds of which are used to finance a permitted acquisition or any other permitted investment), if the All-In-Rate applicable to such Incremental Term Loan B Facility is more than 0.50% higher than the corresponding All-In-Rate applicable to the Term B Loans, then the Applicable Rate for the Term B Loans shall be increased by an amount equal to the difference between the All-In-Rate with respect to such Incremental Term Loan B Facility and the corresponding All-In-Rate on the Term B Loans minus 0.50%; (vi) except as provided above, all other terms and conditions applicable to any Incremental Term Loan, to the extent not consistent with the terms and conditions of the existing Facilities, shall be reasonably satisfactory to the Applicable Facility Agent, the applicable Lenders providing such Incremental Term Loan and the Company and taken as a whole (as determined by the Company in good faith) shall either (a) reflect market terms and conditions (taken as a whole) at the time of incurrence of such Indebtedness or (b) be substantially similar to, or no more restrictive to the Company and its Restricted Subsidiaries than, the terms, taken as a whole, applicable to the existing Term Loans (except to the extent such terms (x) are conformed or added for the benefit of the existing Facilities, (y) apply solely to any period after the Latest Maturity Date, or (z) are otherwise reasonably acceptable to the Applicable Facility Agent); (vii) each Incremental Facility shall constitute Obligations hereunder and, except as provided above with respect to any Incremental Term Loan that is junior in right of payment, prepayment, voting and/or security, shall be guaranteed and secured pursuant to the Guaranty and the Collateral Documents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other Obligations hereunder, (ix) any Term Loan Increase shall have the same terms as the Term Facility being increased (except for such upfront fees as may be agreed between the Lenders providing such Term Loan Increase and the Company), (x) any Revolving Credit Increase shall have the same terms (except for such upfront fees as may be agreed between the Lenders providing such Revolving Credit Increase and the Company) as the Revolving Credit Facility, (xi) no Incremental Facility shall have guarantees from any Person that is not a Domestic Guarantor or, solely with respect to obligations of a Foreign Obligor, a Foreign Guarantor, (xii) no Incremental Facility shall be secured by any assets that are not Collateral and (xiii) for the avoidance of doubt, during a Collateral Release Period, any Incremental Facility shall be unsecured.</w:t>
      </w:r>
    </w:p>
    <w:p>
      <w:pPr>
        <w:spacing w:after="0" w:line="187" w:lineRule="exact"/>
        <w:rPr>
          <w:sz w:val="20"/>
          <w:szCs w:val="20"/>
          <w:color w:val="auto"/>
        </w:rPr>
      </w:pPr>
    </w:p>
    <w:p>
      <w:pPr>
        <w:jc w:val="both"/>
        <w:ind w:firstLine="656"/>
        <w:spacing w:after="0" w:line="248" w:lineRule="auto"/>
        <w:tabs>
          <w:tab w:leader="none" w:pos="1293"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Process for Incremental Facilities</w:t>
      </w:r>
      <w:r>
        <w:rPr>
          <w:rFonts w:ascii="Times New Roman" w:cs="Times New Roman" w:eastAsia="Times New Roman" w:hAnsi="Times New Roman"/>
          <w:sz w:val="22"/>
          <w:szCs w:val="22"/>
          <w:color w:val="auto"/>
        </w:rPr>
        <w:t xml:space="preserve">. Incremental Facilities may be (but shall not be required to be) provided by any existing Lender, in each case on terms permitted in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and otherwise on terms reasonably acceptable to the Company and the Applicable Facility Agent, or by any other Person that qualifies as an Eligible Assignee (each such other Person, an “</w:t>
      </w:r>
      <w:r>
        <w:rPr>
          <w:rFonts w:ascii="Times New Roman" w:cs="Times New Roman" w:eastAsia="Times New Roman" w:hAnsi="Times New Roman"/>
          <w:sz w:val="22"/>
          <w:szCs w:val="22"/>
          <w:u w:val="single" w:color="auto"/>
          <w:color w:val="auto"/>
        </w:rPr>
        <w:t>Additional Lender</w:t>
      </w:r>
      <w:r>
        <w:rPr>
          <w:rFonts w:ascii="Times New Roman" w:cs="Times New Roman" w:eastAsia="Times New Roman" w:hAnsi="Times New Roman"/>
          <w:sz w:val="22"/>
          <w:szCs w:val="22"/>
          <w:color w:val="auto"/>
        </w:rPr>
        <w:t xml:space="preserve">”) pursuant to an amendment or a joinder agreement in form and substance reasonably satisfactory to the Applicable Facility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Applicable Facility Agent shall have consented (in each case, such consent not to be unreasonably withheld, delayed or conditioned) to each proposed Additional Lender providing such Incremental Facility to the extent the Applicable Facility Agent would be required to consent to an assignment to such Additional Lender pursuant to </w:t>
      </w:r>
      <w:r>
        <w:rPr>
          <w:rFonts w:ascii="Times New Roman" w:cs="Times New Roman" w:eastAsia="Times New Roman" w:hAnsi="Times New Roman"/>
          <w:sz w:val="22"/>
          <w:szCs w:val="22"/>
          <w:u w:val="single" w:color="auto"/>
          <w:color w:val="auto"/>
        </w:rPr>
        <w:t>Section 10.06(b)(iii)</w:t>
      </w:r>
      <w:r>
        <w:rPr>
          <w:rFonts w:ascii="Times New Roman" w:cs="Times New Roman" w:eastAsia="Times New Roman" w:hAnsi="Times New Roman"/>
          <w:sz w:val="22"/>
          <w:szCs w:val="22"/>
          <w:color w:val="auto"/>
        </w:rPr>
        <w:t xml:space="preserve"> and (ii) in the case of any Revolving Credit Increase, the L/C Issuer and the Swing Line Lenders shall have consented (in each case,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22" w:right="339" w:bottom="1440" w:gutter="0" w:footer="0" w:header="0"/>
        </w:sectPr>
      </w:pPr>
    </w:p>
    <w:bookmarkStart w:id="187" w:name="page188"/>
    <w:bookmarkEnd w:id="187"/>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consent not to be unreasonably withheld, delayed or conditioned) to each such Lender or proposed Additional Lender providing such Revolving Credit Increase if such consent by the L/C Issuer or the Swing Line Lenders, as the case may be, would be required under </w:t>
      </w:r>
      <w:r>
        <w:rPr>
          <w:rFonts w:ascii="Times New Roman" w:cs="Times New Roman" w:eastAsia="Times New Roman" w:hAnsi="Times New Roman"/>
          <w:sz w:val="22"/>
          <w:szCs w:val="22"/>
          <w:u w:val="single" w:color="auto"/>
          <w:color w:val="auto"/>
        </w:rPr>
        <w:t>Section 10.06(b)(iii)</w:t>
      </w:r>
      <w:r>
        <w:rPr>
          <w:rFonts w:ascii="Times New Roman" w:cs="Times New Roman" w:eastAsia="Times New Roman" w:hAnsi="Times New Roman"/>
          <w:sz w:val="22"/>
          <w:szCs w:val="22"/>
          <w:color w:val="auto"/>
        </w:rPr>
        <w:t xml:space="preserve"> for an assignment of Revolving Credit Loans or Revolving Credit Commitments to such Lender or proposed Additional Lender;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Company shall not be required to offer or accept commitments from existing Lenders for any Incremental Facility. No Lender shall have any obligation to increase its Revolving Commitment, increase its Term Commitments or Term Loans or participate in any Incremental Term Loan, as the case may be, and no consent of any Lender, other than the Lenders agreeing to provide any portion of an Incremental Facility, shall be required to effectuate such Incremental Facility. Commitments and loans in respect of Incremental Facilities shall be documented under this agreement pursuant to an amendment (an “</w:t>
      </w:r>
      <w:r>
        <w:rPr>
          <w:rFonts w:ascii="Times New Roman" w:cs="Times New Roman" w:eastAsia="Times New Roman" w:hAnsi="Times New Roman"/>
          <w:sz w:val="22"/>
          <w:szCs w:val="22"/>
          <w:u w:val="single" w:color="auto"/>
          <w:color w:val="auto"/>
        </w:rPr>
        <w:t>Incremental Facility Amendment</w:t>
      </w:r>
      <w:r>
        <w:rPr>
          <w:rFonts w:ascii="Times New Roman" w:cs="Times New Roman" w:eastAsia="Times New Roman" w:hAnsi="Times New Roman"/>
          <w:sz w:val="22"/>
          <w:szCs w:val="22"/>
          <w:color w:val="auto"/>
        </w:rPr>
        <w:t>”) to this Agreement and, as appropriate, the other Loan Documents, executed by the Company, each Lender or Additional Lender, if any, agreeing to provide such Commitments and/or loans and the Applicable Facility Agent.</w:t>
      </w:r>
    </w:p>
    <w:p>
      <w:pPr>
        <w:spacing w:after="0" w:line="189" w:lineRule="exact"/>
        <w:rPr>
          <w:sz w:val="20"/>
          <w:szCs w:val="20"/>
          <w:color w:val="auto"/>
        </w:rPr>
      </w:pPr>
    </w:p>
    <w:p>
      <w:pPr>
        <w:jc w:val="both"/>
        <w:ind w:firstLine="656"/>
        <w:spacing w:after="0" w:line="257" w:lineRule="auto"/>
        <w:tabs>
          <w:tab w:leader="none" w:pos="129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and Allocations</w:t>
      </w:r>
      <w:r>
        <w:rPr>
          <w:rFonts w:ascii="Times New Roman" w:cs="Times New Roman" w:eastAsia="Times New Roman" w:hAnsi="Times New Roman"/>
          <w:sz w:val="22"/>
          <w:szCs w:val="22"/>
          <w:color w:val="auto"/>
        </w:rPr>
        <w:t>. The Applicable Facility Agent and the Company shall determine the effective date of any Incremental Facility (the “</w:t>
      </w:r>
      <w:r>
        <w:rPr>
          <w:rFonts w:ascii="Times New Roman" w:cs="Times New Roman" w:eastAsia="Times New Roman" w:hAnsi="Times New Roman"/>
          <w:sz w:val="22"/>
          <w:szCs w:val="22"/>
          <w:u w:val="single" w:color="auto"/>
          <w:color w:val="auto"/>
        </w:rPr>
        <w:t>Incremental Effective Date</w:t>
      </w:r>
      <w:r>
        <w:rPr>
          <w:rFonts w:ascii="Times New Roman" w:cs="Times New Roman" w:eastAsia="Times New Roman" w:hAnsi="Times New Roman"/>
          <w:sz w:val="22"/>
          <w:szCs w:val="22"/>
          <w:color w:val="auto"/>
        </w:rPr>
        <w:t>”). The Applicable Facility Agent shall promptly notify the Company and the Lenders of the final allocation of such Incremental Facility and the Incremental Effective Date.</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Effectiveness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44"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precedent to each Incremental Facility, the Company shall deliver to the Applicable Facility Agent a certificate of the Company (and, in the case of any Incremental Facility also available to any other Borrower, of such Borrower) and, if reasonably determined by the Applicable Facility Agent to be necessary or desirable under applicable Law with respect to the Guaranty of a Guarantor, of each such Guarantor, dated as of the Incremental Effective Date, signed by a Responsible Officer of the applicable Borrower or Guarantor and (x) certifying and attaching the resolutions adopted by the applicable Borrower or Guarantor approving or consenting to such Incremental Facility (which, with respect to any such Loan Party, may, if applicable, be the resolutions entered into by such Loan Party in connection with the incurrence of the Obligations on the Amendment No. 4 Effective Date) and (y) certifying that, before and after giving effect to such increase:</w:t>
      </w:r>
    </w:p>
    <w:p>
      <w:pPr>
        <w:spacing w:after="0" w:line="198" w:lineRule="exact"/>
        <w:rPr>
          <w:rFonts w:ascii="Times New Roman" w:cs="Times New Roman" w:eastAsia="Times New Roman" w:hAnsi="Times New Roman"/>
          <w:sz w:val="22"/>
          <w:szCs w:val="22"/>
          <w:color w:val="auto"/>
        </w:rPr>
      </w:pPr>
    </w:p>
    <w:p>
      <w:pPr>
        <w:jc w:val="both"/>
        <w:ind w:left="1300" w:firstLine="652"/>
        <w:spacing w:after="0" w:line="249" w:lineRule="auto"/>
        <w:tabs>
          <w:tab w:leader="none" w:pos="2585" w:val="left"/>
        </w:tabs>
        <w:numPr>
          <w:ilvl w:val="2"/>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and the other Loan Documents shall be true and correct in all material respects (or, with respect to representations and warranties modified by a materiality or Material Adverse Effect standard, in all respects) on and as of the Incremental Effective Date, except to the extent that such representations and warranties specifically refer to an earlier date, in which case they shall be true and correct in all material respects (or, with respect to representations and warranties modified by a materiality or Material Adverse Effect standard, in all respects) as of such earlier date, and except that for purposes of this </w:t>
      </w:r>
      <w:r>
        <w:rPr>
          <w:rFonts w:ascii="Times New Roman" w:cs="Times New Roman" w:eastAsia="Times New Roman" w:hAnsi="Times New Roman"/>
          <w:sz w:val="22"/>
          <w:szCs w:val="22"/>
          <w:u w:val="single" w:color="auto"/>
          <w:color w:val="auto"/>
        </w:rPr>
        <w:t>Section 2.16(d)(i)(A)</w:t>
      </w:r>
      <w:r>
        <w:rPr>
          <w:rFonts w:ascii="Times New Roman" w:cs="Times New Roman" w:eastAsia="Times New Roman" w:hAnsi="Times New Roman"/>
          <w:sz w:val="22"/>
          <w:szCs w:val="22"/>
          <w:color w:val="auto"/>
        </w:rPr>
        <w:t xml:space="preserve">, the representations and warranties contained in </w:t>
      </w:r>
      <w:r>
        <w:rPr>
          <w:rFonts w:ascii="Times New Roman" w:cs="Times New Roman" w:eastAsia="Times New Roman" w:hAnsi="Times New Roman"/>
          <w:sz w:val="22"/>
          <w:szCs w:val="22"/>
          <w:u w:val="single" w:color="auto"/>
          <w:color w:val="auto"/>
        </w:rPr>
        <w:t>subsections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 xml:space="preserv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22" w:right="339" w:bottom="1440" w:gutter="0" w:footer="0" w:header="0"/>
        </w:sectPr>
      </w:pPr>
    </w:p>
    <w:bookmarkStart w:id="188" w:name="page189"/>
    <w:bookmarkEnd w:id="188"/>
    <w:p>
      <w:pPr>
        <w:jc w:val="both"/>
        <w:ind w:left="180"/>
        <w:spacing w:after="0" w:line="252" w:lineRule="auto"/>
        <w:rPr>
          <w:sz w:val="20"/>
          <w:szCs w:val="20"/>
          <w:color w:val="auto"/>
        </w:rPr>
      </w:pPr>
      <w:r>
        <w:rPr>
          <w:rFonts w:ascii="Times New Roman" w:cs="Times New Roman" w:eastAsia="Times New Roman" w:hAnsi="Times New Roman"/>
          <w:sz w:val="22"/>
          <w:szCs w:val="22"/>
          <w:color w:val="auto"/>
        </w:rPr>
        <w:t xml:space="preserve">deemed to refer to the most recent statements of the Company and its Subsidiaries furnished pursuant to </w:t>
      </w:r>
      <w:r>
        <w:rPr>
          <w:rFonts w:ascii="Times New Roman" w:cs="Times New Roman" w:eastAsia="Times New Roman" w:hAnsi="Times New Roman"/>
          <w:sz w:val="22"/>
          <w:szCs w:val="22"/>
          <w:u w:val="single" w:color="auto"/>
          <w:color w:val="auto"/>
        </w:rPr>
        <w:t>subsections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respectively,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Incremental Facility the proceeds of which are to be used (in whole or in part) to finance a Limited Condition Transaction, the applicable representations and warranties may, if agreed to by the lenders providing such Incremental Facility, be limited to</w:t>
      </w:r>
    </w:p>
    <w:p>
      <w:pPr>
        <w:spacing w:after="0" w:line="1" w:lineRule="exact"/>
        <w:rPr>
          <w:sz w:val="20"/>
          <w:szCs w:val="20"/>
          <w:color w:val="auto"/>
        </w:rPr>
      </w:pPr>
    </w:p>
    <w:p>
      <w:pPr>
        <w:jc w:val="both"/>
        <w:ind w:left="180" w:firstLine="4"/>
        <w:spacing w:after="0" w:line="245" w:lineRule="auto"/>
        <w:tabs>
          <w:tab w:leader="none" w:pos="50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Specified Representations (or such other formulation thereof as may be agreed by the lenders providing such Incremental Facility) and (2) customary acquisition agreement representations for limited condition acquisitions (or such other formulation thereof as may be agreed by the lenders providing such Incremental Facility);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such a case, on the applicable LCT Test Date (and as a condition to the requested Incremental Facility), such representations and warranties shall be true and correct in all material respects (or, with respect to representations and warranties modified by a materiality or Material Adverse Effect standard, in all respects) on and as of such LCT Test Date, except to the extent that such representations and warranties specifically refer to an earlier date, in which case they shall be true and correct in all material respects (or, with respect to representations and warranties modified by a materiality or Material Adverse Effect standard, in all respects) as of such earlier date;</w:t>
      </w:r>
    </w:p>
    <w:p>
      <w:pPr>
        <w:spacing w:after="0" w:line="201" w:lineRule="exact"/>
        <w:rPr>
          <w:rFonts w:ascii="Times New Roman" w:cs="Times New Roman" w:eastAsia="Times New Roman" w:hAnsi="Times New Roman"/>
          <w:sz w:val="22"/>
          <w:szCs w:val="22"/>
          <w:color w:val="auto"/>
        </w:rPr>
      </w:pPr>
    </w:p>
    <w:p>
      <w:pPr>
        <w:jc w:val="both"/>
        <w:ind w:left="180" w:firstLine="652"/>
        <w:spacing w:after="0" w:line="265" w:lineRule="auto"/>
        <w:tabs>
          <w:tab w:leader="none" w:pos="1467"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Default shall exist and be continuing or would result therefrom;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any Incremental Facility the proceeds of which are to be used (in whole or in part) to finance a Limited Condition Transaction, at the election of the Company and to the extent agreed by the lenders providing such Incremental Facility, (x) as of the applicable LCT Test Date, no Default shall have occurred and be continuing or shall occur as a result thereof and (y) on the date of effectiveness of any such Incremental Facility and the making of any Loan thereunder, no Specified Default shall have occurred and be continuing or shall occur as a result thereof; and</w:t>
      </w:r>
    </w:p>
    <w:p>
      <w:pPr>
        <w:spacing w:after="0" w:line="164" w:lineRule="exact"/>
        <w:rPr>
          <w:rFonts w:ascii="Times New Roman" w:cs="Times New Roman" w:eastAsia="Times New Roman" w:hAnsi="Times New Roman"/>
          <w:sz w:val="21"/>
          <w:szCs w:val="21"/>
          <w:color w:val="auto"/>
        </w:rPr>
      </w:pPr>
    </w:p>
    <w:p>
      <w:pPr>
        <w:jc w:val="both"/>
        <w:ind w:left="180" w:firstLine="652"/>
        <w:spacing w:after="0" w:line="250" w:lineRule="auto"/>
        <w:tabs>
          <w:tab w:leader="none" w:pos="1467"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and its Restricted Subsidiaries shall be in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compliance with each of the financial covenants contained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(and assuming such Incremental Facility is fully drawn and without netting any cash proceeds of such Incremental Facility for purposes of calculating the Consolidated Net Leverage Ratio or Consolidated Secured Net Leverage Ratio,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Incremental Facility the proceeds of which are to be used (in whole or in part) to finance a Limited Condition Transaction, if the Company so requests, to the extent agreed by the lenders providing such Incremental Facility, such compliance may be measured on the applicable LCT Test Date.</w:t>
      </w:r>
    </w:p>
    <w:p>
      <w:pPr>
        <w:spacing w:after="0" w:line="184" w:lineRule="exact"/>
        <w:rPr>
          <w:sz w:val="20"/>
          <w:szCs w:val="20"/>
          <w:color w:val="auto"/>
        </w:rPr>
      </w:pPr>
    </w:p>
    <w:p>
      <w:pPr>
        <w:jc w:val="both"/>
        <w:ind w:left="-460" w:firstLine="644"/>
        <w:spacing w:after="0" w:line="257" w:lineRule="auto"/>
        <w:tabs>
          <w:tab w:leader="none" w:pos="83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Revolving Credit Increase shall have the same terms as the outstanding Revolving Credit Loans and be part of the existing Revolving Credit Facility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upfront fees may be agreed between the Company and such Revolving Credit Increase Lender. Upon each Revolving Credit Increase (x)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0120"/>
          </w:cols>
          <w:pgMar w:left="1440" w:top="1422" w:right="339" w:bottom="1440" w:gutter="0" w:footer="0" w:header="0"/>
        </w:sectPr>
      </w:pPr>
    </w:p>
    <w:bookmarkStart w:id="189" w:name="page190"/>
    <w:bookmarkEnd w:id="189"/>
    <w:p>
      <w:pPr>
        <w:jc w:val="both"/>
        <w:ind w:left="660"/>
        <w:spacing w:after="0" w:line="261" w:lineRule="auto"/>
        <w:rPr>
          <w:sz w:val="20"/>
          <w:szCs w:val="20"/>
          <w:color w:val="auto"/>
        </w:rPr>
      </w:pPr>
      <w:r>
        <w:rPr>
          <w:rFonts w:ascii="Times New Roman" w:cs="Times New Roman" w:eastAsia="Times New Roman" w:hAnsi="Times New Roman"/>
          <w:sz w:val="21"/>
          <w:szCs w:val="21"/>
          <w:color w:val="auto"/>
        </w:rPr>
        <w:t>Revolving Credit Lender having a Revolving Credit Commitment immediately prior to such increase will automatically and without further act be deemed to have assigned to each Revolving Credit Lender providing a portion of the Revolving Credit Increase (each, a “</w:t>
      </w:r>
      <w:r>
        <w:rPr>
          <w:rFonts w:ascii="Times New Roman" w:cs="Times New Roman" w:eastAsia="Times New Roman" w:hAnsi="Times New Roman"/>
          <w:sz w:val="21"/>
          <w:szCs w:val="21"/>
          <w:u w:val="single" w:color="auto"/>
          <w:color w:val="auto"/>
        </w:rPr>
        <w:t>Revolving Credit Increase Lender</w:t>
      </w:r>
      <w:r>
        <w:rPr>
          <w:rFonts w:ascii="Times New Roman" w:cs="Times New Roman" w:eastAsia="Times New Roman" w:hAnsi="Times New Roman"/>
          <w:sz w:val="21"/>
          <w:szCs w:val="21"/>
          <w:color w:val="auto"/>
        </w:rPr>
        <w:t>”) in respect of such increase, and each such Revolving Credit Increase Lender will automatically and without further act be deemed to have assumed, a portion of such Revolving Credit Lender’s participations hereunder in outstanding Letters of Credit and Swing Line Loans such that, after giving effect to each such deemed assignment and assumption of participations, the percentage of the aggregate outstanding</w:t>
      </w:r>
    </w:p>
    <w:p>
      <w:pPr>
        <w:spacing w:after="0" w:line="1" w:lineRule="exact"/>
        <w:rPr>
          <w:sz w:val="20"/>
          <w:szCs w:val="20"/>
          <w:color w:val="auto"/>
        </w:rPr>
      </w:pPr>
    </w:p>
    <w:p>
      <w:pPr>
        <w:jc w:val="both"/>
        <w:ind w:left="660" w:hanging="4"/>
        <w:spacing w:after="0" w:line="259" w:lineRule="auto"/>
        <w:tabs>
          <w:tab w:leader="none" w:pos="974"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participations hereunder in Letters of Credit and (2) participations hereunder in Swing Line Loans, will, in each case, equal each Revolving Credit Lender’s Applicable Revolving Credit Percentages (after giving effect to such increase in the Revolving Credit Facility) and (y) if, on the date of such increase there are any Revolving Credit Loans outstanding, the Revolving Credit Lenders shall make such payments among themselves as the Pro Rata Facilities Administrative Agent may reasonably request to the extent necessary to keep the outstanding Revolving Credit Loans ratable with any revised Applicable Revolving Credit Percentages arising from such Revolving Credit Increase, and the Company shall pay to the applicable Lenders any amounts required to be paid pursuant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in connection with such payments among the Revolving Credit Lenders as if such payments were effected by prepayments of Revolving Credit Loans.</w:t>
      </w:r>
    </w:p>
    <w:p>
      <w:pPr>
        <w:spacing w:after="0" w:line="186" w:lineRule="exact"/>
        <w:rPr>
          <w:rFonts w:ascii="Times New Roman" w:cs="Times New Roman" w:eastAsia="Times New Roman" w:hAnsi="Times New Roman"/>
          <w:sz w:val="21"/>
          <w:szCs w:val="21"/>
          <w:color w:val="auto"/>
        </w:rPr>
      </w:pPr>
    </w:p>
    <w:p>
      <w:pPr>
        <w:jc w:val="both"/>
        <w:ind w:left="660" w:firstLine="644"/>
        <w:spacing w:after="0" w:line="247" w:lineRule="auto"/>
        <w:tabs>
          <w:tab w:leader="none" w:pos="1956"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any Incremental Facility shall take the form of a Term Loan Increase or an Incremental Term Loan, this Agreement may be amended to the extent necessary (without the need to obtain the consent of any Lender or any L/C Issuer other than the Lenders providing such Incremental Term Loans or Term Loan Increase), in form and substance reasonably satisfactory to the Applicable Facility Agent and the Company, to include such terms as are customary for a term loan commitment, including mandatory prepayments, assignments and voting provisions;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terms taken as a whole are adverse to the material interests of the existing Lenders or would violate or be contrary to the terms of any other provision of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as reasonably determined by the Applicable Facility Agent, then that shall constitute a reasonable basis for such Applicable Facility Agent not to be satisfied with such terms or amendment and (ii) except as expressly provided in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no such terms or amendment shall contravene any of the terms of the then existing Loan Documents.</w:t>
      </w:r>
    </w:p>
    <w:p>
      <w:pPr>
        <w:spacing w:after="0" w:line="204"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44"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precedent to each Incremental Facility, all fees and expenses relating to each Incremental Facility, to the extent due and payable, shall have been paid in full.</w:t>
      </w:r>
    </w:p>
    <w:p>
      <w:pPr>
        <w:spacing w:after="0" w:line="158" w:lineRule="exact"/>
        <w:rPr>
          <w:sz w:val="20"/>
          <w:szCs w:val="20"/>
          <w:color w:val="auto"/>
        </w:rPr>
      </w:pPr>
    </w:p>
    <w:p>
      <w:pPr>
        <w:jc w:val="both"/>
        <w:ind w:firstLine="656"/>
        <w:spacing w:after="0" w:line="253" w:lineRule="auto"/>
        <w:tabs>
          <w:tab w:leader="none" w:pos="129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Lenders hereby irrevocably authorize the General Administrative Agent and the Applicable Facility Agent to enter into any Incremental Facility Amendment and/or any amendment to any other Loan Document with the Company as may be necessary or appropriate in order to establish any new Class or any increase in any Classes or sub-Classes in respect of Loans or Commitments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(including, for instance, to increase the amortization of any existing Class of Term Loans (or to provide for any existing Class of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22" w:right="339" w:bottom="1440" w:gutter="0" w:footer="0" w:header="0"/>
        </w:sectPr>
      </w:pPr>
    </w:p>
    <w:bookmarkStart w:id="190" w:name="page191"/>
    <w:bookmarkEnd w:id="190"/>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Loans to have (or to again have) amortization) in order to have such existing Class of Term Loans be “fungible” with any Incremental Term Facility that is to be added to such Loans) and such technical amendments as may be necessary or appropriate in the reasonable opinion of the General Administrative Agent, the Applicable Facility Agent and the Company in connection with the establishment or increase, as applicable, of such Classes or sub-Classes, in each case on terms consistent with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right="620" w:hanging="4"/>
        <w:spacing w:after="0" w:line="448" w:lineRule="auto"/>
        <w:tabs>
          <w:tab w:leader="none" w:pos="1305"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Conflicting Provisions</w:t>
      </w:r>
      <w:r>
        <w:rPr>
          <w:rFonts w:ascii="Times New Roman" w:cs="Times New Roman" w:eastAsia="Times New Roman" w:hAnsi="Times New Roman"/>
          <w:sz w:val="22"/>
          <w:szCs w:val="22"/>
          <w:color w:val="auto"/>
        </w:rPr>
        <w:t xml:space="preserve">. This Section shall supersede any provisions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10.01</w:t>
      </w:r>
      <w:r>
        <w:rPr>
          <w:rFonts w:ascii="Times New Roman" w:cs="Times New Roman" w:eastAsia="Times New Roman" w:hAnsi="Times New Roman"/>
          <w:sz w:val="22"/>
          <w:szCs w:val="22"/>
          <w:color w:val="auto"/>
        </w:rPr>
        <w:t xml:space="preserve"> to the contrary. 2.17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656"/>
        <w:spacing w:after="0" w:line="247" w:lineRule="auto"/>
        <w:tabs>
          <w:tab w:leader="none" w:pos="129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Credit Support Events</w:t>
      </w:r>
      <w:r>
        <w:rPr>
          <w:rFonts w:ascii="Times New Roman" w:cs="Times New Roman" w:eastAsia="Times New Roman" w:hAnsi="Times New Roman"/>
          <w:sz w:val="22"/>
          <w:szCs w:val="22"/>
          <w:color w:val="auto"/>
        </w:rPr>
        <w:t xml:space="preserve">. If (i) the L/C Issuer has honored any full or partial drawing request under any Letter of Credit and such drawing has resulted in an L/C Borrowing for so long as such L/C Borrowing is outstanding, (ii) as of the Letter of Credit Expiration Date, any L/C Obligation for any reason remains outstanding, (iii) the Company shall be required to provide Cash Collateral pursuant to </w:t>
      </w:r>
      <w:r>
        <w:rPr>
          <w:rFonts w:ascii="Times New Roman" w:cs="Times New Roman" w:eastAsia="Times New Roman" w:hAnsi="Times New Roman"/>
          <w:sz w:val="22"/>
          <w:szCs w:val="22"/>
          <w:u w:val="single" w:color="auto"/>
          <w:color w:val="auto"/>
        </w:rPr>
        <w:t>Section 8.02(c)</w:t>
      </w:r>
      <w:r>
        <w:rPr>
          <w:rFonts w:ascii="Times New Roman" w:cs="Times New Roman" w:eastAsia="Times New Roman" w:hAnsi="Times New Roman"/>
          <w:sz w:val="22"/>
          <w:szCs w:val="22"/>
          <w:color w:val="auto"/>
        </w:rPr>
        <w:t xml:space="preserve">, or (iv) there shall exist a Defaulting Lender, the Company shall immediately (in the case of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above) or within one Business Day (in all other cases), following any request by the Pro Rata Facilities Administrative Agent or the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above, after giving effect to </w:t>
      </w:r>
      <w:r>
        <w:rPr>
          <w:rFonts w:ascii="Times New Roman" w:cs="Times New Roman" w:eastAsia="Times New Roman" w:hAnsi="Times New Roman"/>
          <w:sz w:val="22"/>
          <w:szCs w:val="22"/>
          <w:u w:val="single" w:color="auto"/>
          <w:color w:val="auto"/>
        </w:rPr>
        <w:t>Section 2.18(a)(iv)</w:t>
      </w:r>
      <w:r>
        <w:rPr>
          <w:rFonts w:ascii="Times New Roman" w:cs="Times New Roman" w:eastAsia="Times New Roman" w:hAnsi="Times New Roman"/>
          <w:sz w:val="22"/>
          <w:szCs w:val="22"/>
          <w:color w:val="auto"/>
        </w:rPr>
        <w:t xml:space="preserve"> and any Cash Collateral provided by the Defaulting Lender). If at any time the Pro Rata Facilities Administrative Agent determines that any funds held as Cash Collateral are subject to any right or claim of any Person other than the Pro Rata Facilities Administrative Agent or that the total amount of such funds is less than the aggregate amount that is required to be held as Cash Collateral pursuant to the preceding sentence, the Company will, forthwith upon demand by the Pro Rata Facilities Administrative Agent, pay to the Pro Rata Facilities Administrative Agent, as additional funds to be deposited as Cash Collateral, an amount equal to the excess of (x) such required amount over (y) the total amount of funds, if any, then held as Cash Collateral that the Pro Rata Facilities Administrative Agent determines to be free and clear of any such right and claim. Upon the drawing of any Letter of Credit for which funds are on deposit as Cash Collateral, such funds shall be applied, to the extent permitted under applicable Laws, to reimburse the L/C Issuer.</w:t>
      </w:r>
    </w:p>
    <w:p>
      <w:pPr>
        <w:spacing w:after="0" w:line="19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 xml:space="preserve">. The Company, and to the extent provided by any Defaulting Lender, such Defaulting Lender, hereby grants to (and subjects to the control of) the General Administrative Agent, for the benefit of the Administrative Agents,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2"/>
          <w:szCs w:val="22"/>
          <w:u w:val="single" w:color="auto"/>
          <w:color w:val="auto"/>
        </w:rPr>
        <w:t>Section 2.17(c)</w:t>
      </w:r>
      <w:r>
        <w:rPr>
          <w:rFonts w:ascii="Times New Roman" w:cs="Times New Roman" w:eastAsia="Times New Roman" w:hAnsi="Times New Roman"/>
          <w:sz w:val="22"/>
          <w:szCs w:val="22"/>
          <w:color w:val="auto"/>
        </w:rPr>
        <w:t>. If at any time the General Administrative Agent determines that Cash Collateral is subject to any right or claim of any Person other than the General Administrative Agent or the L/C Issuer as herein provided, or that the total amount of such Cash Collateral is less than the Minimum Collateral Amount, the Company will, promptly upon demand by the General Administrative Agent, pay or provide to the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22" w:right="339" w:bottom="1440" w:gutter="0" w:footer="0" w:header="0"/>
        </w:sectPr>
      </w:pPr>
    </w:p>
    <w:bookmarkStart w:id="191" w:name="page192"/>
    <w:bookmarkEnd w:id="191"/>
    <w:p>
      <w:pPr>
        <w:jc w:val="both"/>
        <w:spacing w:after="0" w:line="256" w:lineRule="auto"/>
        <w:rPr>
          <w:sz w:val="20"/>
          <w:szCs w:val="20"/>
          <w:color w:val="auto"/>
        </w:rPr>
      </w:pPr>
      <w:r>
        <w:rPr>
          <w:rFonts w:ascii="Times New Roman" w:cs="Times New Roman" w:eastAsia="Times New Roman" w:hAnsi="Times New Roman"/>
          <w:sz w:val="22"/>
          <w:szCs w:val="22"/>
          <w:color w:val="auto"/>
        </w:rPr>
        <w:t>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76" w:lineRule="exact"/>
        <w:rPr>
          <w:sz w:val="20"/>
          <w:szCs w:val="20"/>
          <w:color w:val="auto"/>
        </w:rPr>
      </w:pPr>
    </w:p>
    <w:p>
      <w:pPr>
        <w:jc w:val="both"/>
        <w:ind w:firstLine="656"/>
        <w:spacing w:after="0" w:line="251" w:lineRule="auto"/>
        <w:tabs>
          <w:tab w:leader="none" w:pos="129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xml:space="preserve">. Notwithstanding anything to the contrary contained in this Agreement, Cash Collateral provided under any of this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Sections 2.03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8.02</w:t>
      </w:r>
      <w:r>
        <w:rPr>
          <w:rFonts w:ascii="Times New Roman" w:cs="Times New Roman" w:eastAsia="Times New Roman" w:hAnsi="Times New Roman"/>
          <w:sz w:val="22"/>
          <w:szCs w:val="22"/>
          <w:color w:val="auto"/>
        </w:rPr>
        <w:t xml:space="preserve">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8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2"/>
          <w:szCs w:val="22"/>
          <w:u w:val="single" w:color="auto"/>
          <w:color w:val="auto"/>
        </w:rPr>
        <w:t>Section 10.06(b)(vi)</w:t>
      </w:r>
      <w:r>
        <w:rPr>
          <w:rFonts w:ascii="Times New Roman" w:cs="Times New Roman" w:eastAsia="Times New Roman" w:hAnsi="Times New Roman"/>
          <w:sz w:val="22"/>
          <w:szCs w:val="22"/>
          <w:color w:val="auto"/>
        </w:rPr>
        <w:t xml:space="preserve">)) or (ii) the determination by the General Administrative Agent and the L/C Issuer that there exists excess Cash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9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2.18</w:t>
      </w:r>
      <w:r>
        <w:rPr>
          <w:sz w:val="20"/>
          <w:szCs w:val="20"/>
          <w:color w:val="auto"/>
        </w:rPr>
        <w:tab/>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7" w:lineRule="auto"/>
        <w:tabs>
          <w:tab w:leader="none" w:pos="1293"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44"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Amendments</w:t>
      </w:r>
      <w:r>
        <w:rPr>
          <w:rFonts w:ascii="Times New Roman" w:cs="Times New Roman" w:eastAsia="Times New Roman" w:hAnsi="Times New Roman"/>
          <w:sz w:val="22"/>
          <w:szCs w:val="22"/>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in the definition of “Required Lenders”, “Required Pro Rata Facilities Lenders”, “Required Revolving Lenders”, “Required Term B Lenders”, “Required U.S. Term Lenders” and “Required Euro Term Lenders”.</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5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Waterfall</w:t>
      </w:r>
      <w:r>
        <w:rPr>
          <w:rFonts w:ascii="Times New Roman" w:cs="Times New Roman" w:eastAsia="Times New Roman" w:hAnsi="Times New Roman"/>
          <w:sz w:val="22"/>
          <w:szCs w:val="22"/>
          <w:color w:val="auto"/>
        </w:rPr>
        <w:t xml:space="preserve">. Any payment of principal, interest, fees or other amounts received by any Administrative Agent for the account of such Defaulting Lender (whether voluntary or mandatory, at maturity,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or otherwise) or received by such Administrative Agent from a Defaulting Lender pursuant to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shall be applied at such time or times as may be determined by such Administrative Agent as follows: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payment of any amounts owing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22" w:right="339" w:bottom="1440" w:gutter="0" w:footer="0" w:header="0"/>
        </w:sectPr>
      </w:pPr>
    </w:p>
    <w:bookmarkStart w:id="192" w:name="page193"/>
    <w:bookmarkEnd w:id="192"/>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Defaulting Lender to such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payment on a pro rata basis of any amounts owing by such Defaulting Lender to the L/C Issuer or any Swing Line Lender hereunder;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Cash Collateralize the L/C Issuer’s Fronting Exposure with respect to such Defaulting Lender in accordance with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as the Company may request (so long as no Default exists), to the funding of any Loan in respect of which such Defaulting Lender has failed to fund its portion thereof as required by this Agreement, as determined by such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if so determined by such Administrative Agent and the Company, to be held in a deposit account and released pro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the payment of any amounts owing to the Lenders, the L/C Issuer or Swing Line Lenders as a result of any judgment of a court of competent jurisdiction obtained by any Lender, the L/C Issuer or any Swing Line Lender against such Defaulting Lender as a result of such Defaulting Lender’s breach of its obligations under this Agreement;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xml:space="preserve">, so long as no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to such Defaulting Lender or as otherwise directed by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21"/>
          <w:szCs w:val="21"/>
          <w:u w:val="single" w:color="auto"/>
          <w:color w:val="auto"/>
        </w:rPr>
        <w:t>Section 2.18(a)(iv)</w:t>
      </w:r>
      <w:r>
        <w:rPr>
          <w:rFonts w:ascii="Times New Roman" w:cs="Times New Roman" w:eastAsia="Times New Roman" w:hAnsi="Times New Roman"/>
          <w:sz w:val="21"/>
          <w:szCs w:val="21"/>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1"/>
          <w:szCs w:val="21"/>
          <w:u w:val="single" w:color="auto"/>
          <w:color w:val="auto"/>
        </w:rPr>
        <w:t>Section 2.18(a)(ii)</w:t>
      </w:r>
      <w:r>
        <w:rPr>
          <w:rFonts w:ascii="Times New Roman" w:cs="Times New Roman" w:eastAsia="Times New Roman" w:hAnsi="Times New Roman"/>
          <w:sz w:val="21"/>
          <w:szCs w:val="21"/>
          <w:color w:val="auto"/>
        </w:rPr>
        <w:t xml:space="preserve"> shall be deemed paid to and redirected by such Defaulting Lender, and each Lender irrevocably consents hereto.</w:t>
      </w:r>
    </w:p>
    <w:p>
      <w:pPr>
        <w:spacing w:after="0" w:line="185" w:lineRule="exact"/>
        <w:rPr>
          <w:sz w:val="20"/>
          <w:szCs w:val="20"/>
          <w:color w:val="auto"/>
        </w:rPr>
      </w:pPr>
    </w:p>
    <w:p>
      <w:pPr>
        <w:ind w:left="1300" w:hanging="656"/>
        <w:spacing w:after="0"/>
        <w:tabs>
          <w:tab w:leader="none" w:pos="130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40" w:firstLine="652"/>
        <w:spacing w:after="0" w:line="257" w:lineRule="auto"/>
        <w:tabs>
          <w:tab w:leader="none" w:pos="1925"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Defaulting Lender shall be entitled to receive any fee payable under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72" w:lineRule="exact"/>
        <w:rPr>
          <w:rFonts w:ascii="Times New Roman" w:cs="Times New Roman" w:eastAsia="Times New Roman" w:hAnsi="Times New Roman"/>
          <w:sz w:val="22"/>
          <w:szCs w:val="22"/>
          <w:color w:val="auto"/>
        </w:rPr>
      </w:pPr>
    </w:p>
    <w:p>
      <w:pPr>
        <w:ind w:left="640" w:right="20" w:firstLine="652"/>
        <w:spacing w:after="0" w:line="284" w:lineRule="auto"/>
        <w:tabs>
          <w:tab w:leader="none" w:pos="1927"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Defaulting Lender shall be entitled to receive Letter of Credit Fees for any period during which that Lender is a Defaulting Lender only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0580"/>
          </w:cols>
          <w:pgMar w:left="980" w:top="1418" w:right="339" w:bottom="1440" w:gutter="0" w:footer="0" w:header="0"/>
        </w:sectPr>
      </w:pPr>
    </w:p>
    <w:bookmarkStart w:id="193" w:name="page194"/>
    <w:bookmarkEnd w:id="193"/>
    <w:p>
      <w:pPr>
        <w:ind w:left="1300"/>
        <w:spacing w:after="0" w:line="271" w:lineRule="auto"/>
        <w:rPr>
          <w:sz w:val="20"/>
          <w:szCs w:val="20"/>
          <w:color w:val="auto"/>
        </w:rPr>
      </w:pPr>
      <w:r>
        <w:rPr>
          <w:rFonts w:ascii="Times New Roman" w:cs="Times New Roman" w:eastAsia="Times New Roman" w:hAnsi="Times New Roman"/>
          <w:sz w:val="22"/>
          <w:szCs w:val="22"/>
          <w:color w:val="auto"/>
        </w:rPr>
        <w:t xml:space="preserve">extent allocable to its Applicable Percentage of the stated amount of Letters of Credit for which it has provided Cash Collateral pursuant to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1300" w:firstLine="652"/>
        <w:spacing w:after="0" w:line="250" w:lineRule="auto"/>
        <w:tabs>
          <w:tab w:leader="none" w:pos="2587" w:val="left"/>
        </w:tabs>
        <w:numPr>
          <w:ilvl w:val="2"/>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fee payable under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or any Letter of Credit Fee not required to be paid to any Defaulting Lender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the Company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below, (y) pay to the L/C Issuer and Swing Line Lenders,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62" w:lineRule="auto"/>
        <w:tabs>
          <w:tab w:leader="none" w:pos="1944"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Reallocation of Applicable Percentages to Reduce Fronting Exposure</w:t>
      </w:r>
      <w:r>
        <w:rPr>
          <w:rFonts w:ascii="Times New Roman" w:cs="Times New Roman" w:eastAsia="Times New Roman" w:hAnsi="Times New Roman"/>
          <w:sz w:val="21"/>
          <w:szCs w:val="21"/>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Revolving Credit Commitment.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10.20</w:t>
      </w:r>
      <w:r>
        <w:rPr>
          <w:rFonts w:ascii="Times New Roman" w:cs="Times New Roman" w:eastAsia="Times New Roman" w:hAnsi="Times New Roman"/>
          <w:sz w:val="21"/>
          <w:szCs w:val="21"/>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2" w:lineRule="exact"/>
        <w:rPr>
          <w:rFonts w:ascii="Times New Roman" w:cs="Times New Roman" w:eastAsia="Times New Roman" w:hAnsi="Times New Roman"/>
          <w:sz w:val="21"/>
          <w:szCs w:val="21"/>
          <w:color w:val="auto"/>
        </w:rPr>
      </w:pPr>
    </w:p>
    <w:p>
      <w:pPr>
        <w:jc w:val="both"/>
        <w:ind w:left="660" w:firstLine="644"/>
        <w:spacing w:after="0" w:line="253" w:lineRule="auto"/>
        <w:tabs>
          <w:tab w:leader="none" w:pos="1951"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 Repayment of Swing Line Loans</w:t>
      </w:r>
      <w:r>
        <w:rPr>
          <w:rFonts w:ascii="Times New Roman" w:cs="Times New Roman" w:eastAsia="Times New Roman" w:hAnsi="Times New Roman"/>
          <w:sz w:val="22"/>
          <w:szCs w:val="22"/>
          <w:color w:val="auto"/>
        </w:rPr>
        <w:t xml:space="preserve">. If the reallocation described in </w:t>
      </w:r>
      <w:r>
        <w:rPr>
          <w:rFonts w:ascii="Times New Roman" w:cs="Times New Roman" w:eastAsia="Times New Roman" w:hAnsi="Times New Roman"/>
          <w:sz w:val="22"/>
          <w:szCs w:val="22"/>
          <w:u w:val="single" w:color="auto"/>
          <w:color w:val="auto"/>
        </w:rPr>
        <w:t>clause (a)(iv)</w:t>
      </w:r>
      <w:r>
        <w:rPr>
          <w:rFonts w:ascii="Times New Roman" w:cs="Times New Roman" w:eastAsia="Times New Roman" w:hAnsi="Times New Roman"/>
          <w:sz w:val="22"/>
          <w:szCs w:val="22"/>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Cure</w:t>
      </w:r>
      <w:r>
        <w:rPr>
          <w:rFonts w:ascii="Times New Roman" w:cs="Times New Roman" w:eastAsia="Times New Roman" w:hAnsi="Times New Roman"/>
          <w:sz w:val="22"/>
          <w:szCs w:val="22"/>
          <w:color w:val="auto"/>
        </w:rPr>
        <w:t xml:space="preserve">. If the Company, the Pro Rata Facilities Administrative Agent, the applicable Swing Line Lender and the L/C Issuer agree in writing that a Lender is no longer a Defaulting Lender, the Pro Rata Facilities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Pro Rata Facilities Administrative Agent may determine to be necessary to cause the Revolving Credit Loans and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22"/>
          <w:szCs w:val="22"/>
          <w:u w:val="single" w:color="auto"/>
          <w:color w:val="auto"/>
        </w:rPr>
        <w:t>Section 2.18(a)(iv)</w:t>
      </w:r>
      <w:r>
        <w:rPr>
          <w:rFonts w:ascii="Times New Roman" w:cs="Times New Roman" w:eastAsia="Times New Roman" w:hAnsi="Times New Roman"/>
          <w:sz w:val="22"/>
          <w:szCs w:val="22"/>
          <w:color w:val="auto"/>
        </w:rPr>
        <w:t xml:space="preserve">), whereupon such Lender will cease to be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22" w:right="339" w:bottom="1440" w:gutter="0" w:footer="0" w:header="0"/>
        </w:sectPr>
      </w:pPr>
    </w:p>
    <w:bookmarkStart w:id="194" w:name="page195"/>
    <w:bookmarkEnd w:id="194"/>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2.19</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2.20</w:t>
      </w:r>
      <w:r>
        <w:rPr>
          <w:sz w:val="20"/>
          <w:szCs w:val="20"/>
          <w:color w:val="auto"/>
        </w:rPr>
        <w:tab/>
      </w:r>
      <w:r>
        <w:rPr>
          <w:rFonts w:ascii="Times New Roman" w:cs="Times New Roman" w:eastAsia="Times New Roman" w:hAnsi="Times New Roman"/>
          <w:sz w:val="21"/>
          <w:szCs w:val="21"/>
          <w:u w:val="single" w:color="auto"/>
          <w:color w:val="auto"/>
        </w:rPr>
        <w:t>Foreign Guarantors.</w:t>
      </w:r>
    </w:p>
    <w:p>
      <w:pPr>
        <w:spacing w:after="0" w:line="220" w:lineRule="exact"/>
        <w:rPr>
          <w:sz w:val="20"/>
          <w:szCs w:val="20"/>
          <w:color w:val="auto"/>
        </w:rPr>
      </w:pPr>
    </w:p>
    <w:p>
      <w:pPr>
        <w:jc w:val="both"/>
        <w:ind w:firstLine="656"/>
        <w:spacing w:after="0" w:line="249" w:lineRule="auto"/>
        <w:tabs>
          <w:tab w:leader="none" w:pos="129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at any time after the Amendment No. 4 Effective Date (with the consent of the General Administrative Agent, other than in the case of a Foreign Subsidiary organized under the laws of the same jurisdiction as a Designated Borrower), upon not less than 15 Business Days’ notice from the Company to the General Administrative Agent (or such shorter period as may be agreed by the General Administrative Agent in its sole discretion), designate any additional Foreign Subsidiary of the Company as a Foreign Guarantor hereunder by causing such Foreign Subsidiary to deliver to the General Administrative Agent an executed Guaranty or other executed agreement reasonably satisfactory to the General Administrative Agent pursuant to which it guarantees the Obligations or any portion thereof (it being understood that any Guaranty or other such agreement executed by a Foreign Guarantor shall only Guarantee Obligations of Foreign Obligors).</w:t>
      </w:r>
    </w:p>
    <w:p>
      <w:pPr>
        <w:spacing w:after="0" w:line="195"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acknowledge and agree that prior to any Foreign Subsidiary becoming a Foreign Guarantor the General Administrative Agent shall have received such supporting resolutions, incumbency certificates, opinions of counsel and other documents or information (including any information and documentation reasonably requested by the General Administrative Agent for purposes of compliance with applicable “know your customer” and anti-money-laundering rules and regulations, including, without limitation, the PATRIOT Act and the Beneficial Ownership Regulation), in form, content and scope reasonably satisfactory to the General Administrative Agent, as may be required by the General Administrative Agent in its sole discretion.</w:t>
      </w:r>
    </w:p>
    <w:p>
      <w:pPr>
        <w:spacing w:after="0" w:line="180"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and notwithstanding anything to the contrary in this Agreement, no Foreign Guarantor shall be required to grant any Lien on Collateral in favor of the General Administrative Agent for the benefit of the Secured Parties.</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Foreign Subsidiary that is or becomes a “Foreign Guarantor” pursuant to this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hereby irrevocably appoints the Company as its agent for all purposes relevant to this Agreement and each of the other Loan Documents, including (i) the giving and receipt of notices and (ii) the execution and delivery of all documents, instruments and certificates contemplated herein and all modifications hereto.</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2.21</w:t>
      </w:r>
      <w:r>
        <w:rPr>
          <w:sz w:val="20"/>
          <w:szCs w:val="20"/>
          <w:color w:val="auto"/>
        </w:rPr>
        <w:tab/>
      </w:r>
      <w:r>
        <w:rPr>
          <w:rFonts w:ascii="Times New Roman" w:cs="Times New Roman" w:eastAsia="Times New Roman" w:hAnsi="Times New Roman"/>
          <w:sz w:val="21"/>
          <w:szCs w:val="21"/>
          <w:u w:val="single" w:color="auto"/>
          <w:color w:val="auto"/>
        </w:rPr>
        <w:t>Refinancing Amendments.</w:t>
      </w:r>
    </w:p>
    <w:p>
      <w:pPr>
        <w:spacing w:after="0" w:line="220" w:lineRule="exact"/>
        <w:rPr>
          <w:sz w:val="20"/>
          <w:szCs w:val="20"/>
          <w:color w:val="auto"/>
        </w:rPr>
      </w:pPr>
    </w:p>
    <w:p>
      <w:pPr>
        <w:ind w:firstLine="656"/>
        <w:spacing w:after="0" w:line="284" w:lineRule="auto"/>
        <w:tabs>
          <w:tab w:leader="none" w:pos="1293"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including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(which provisions shall not be applicable to this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the Company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22" w:right="339" w:bottom="1440" w:gutter="0" w:footer="0" w:header="0"/>
        </w:sectPr>
      </w:pPr>
    </w:p>
    <w:bookmarkStart w:id="195" w:name="page196"/>
    <w:bookmarkEnd w:id="195"/>
    <w:p>
      <w:pPr>
        <w:jc w:val="both"/>
        <w:spacing w:after="0" w:line="251" w:lineRule="auto"/>
        <w:rPr>
          <w:sz w:val="20"/>
          <w:szCs w:val="20"/>
          <w:color w:val="auto"/>
        </w:rPr>
      </w:pPr>
      <w:r>
        <w:rPr>
          <w:rFonts w:ascii="Times New Roman" w:cs="Times New Roman" w:eastAsia="Times New Roman" w:hAnsi="Times New Roman"/>
          <w:sz w:val="22"/>
          <w:szCs w:val="22"/>
          <w:color w:val="auto"/>
        </w:rPr>
        <w:t>by written notice to the Applicable Facility Agent establish one or more additional tranches of term loans under this Agreement (such loans, “</w:t>
      </w:r>
      <w:r>
        <w:rPr>
          <w:rFonts w:ascii="Times New Roman" w:cs="Times New Roman" w:eastAsia="Times New Roman" w:hAnsi="Times New Roman"/>
          <w:sz w:val="22"/>
          <w:szCs w:val="22"/>
          <w:u w:val="single" w:color="auto"/>
          <w:color w:val="auto"/>
        </w:rPr>
        <w:t>Refinancing Term Loans</w:t>
      </w:r>
      <w:r>
        <w:rPr>
          <w:rFonts w:ascii="Times New Roman" w:cs="Times New Roman" w:eastAsia="Times New Roman" w:hAnsi="Times New Roman"/>
          <w:sz w:val="22"/>
          <w:szCs w:val="22"/>
          <w:color w:val="auto"/>
        </w:rPr>
        <w:t>”), all Net Cash Proceeds of which are used to refinance in whole or in part any Class of Term Loans being refinanced. Each such notice shall specify the date (each, a “</w:t>
      </w:r>
      <w:r>
        <w:rPr>
          <w:rFonts w:ascii="Times New Roman" w:cs="Times New Roman" w:eastAsia="Times New Roman" w:hAnsi="Times New Roman"/>
          <w:sz w:val="22"/>
          <w:szCs w:val="22"/>
          <w:u w:val="single" w:color="auto"/>
          <w:color w:val="auto"/>
        </w:rPr>
        <w:t>Refinancing Effective Date</w:t>
      </w:r>
      <w:r>
        <w:rPr>
          <w:rFonts w:ascii="Times New Roman" w:cs="Times New Roman" w:eastAsia="Times New Roman" w:hAnsi="Times New Roman"/>
          <w:sz w:val="22"/>
          <w:szCs w:val="22"/>
          <w:color w:val="auto"/>
        </w:rPr>
        <w:t>”) on which the Company proposes that the Refinancing Term Loans shall be made, which shall be a date not earlier than five (5) Business Days after the date on which such notice is delivered to the Applicable Facility Agent (or such shorter period agreed to by the Applicable Facility Agent in its sole discretion); provided that:</w:t>
      </w:r>
    </w:p>
    <w:p>
      <w:pPr>
        <w:spacing w:after="0" w:line="181" w:lineRule="exact"/>
        <w:rPr>
          <w:sz w:val="20"/>
          <w:szCs w:val="20"/>
          <w:color w:val="auto"/>
        </w:rPr>
      </w:pPr>
    </w:p>
    <w:p>
      <w:pPr>
        <w:ind w:left="660" w:firstLine="644"/>
        <w:spacing w:after="0" w:line="271" w:lineRule="auto"/>
        <w:tabs>
          <w:tab w:leader="none" w:pos="194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before and after giving effect to the borrowing of such Refinancing Term Loans on the Refinancing Effective Date each of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shall be satisfied;</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maturity date of the Refinancing Term Loans shall be no earlier than the Maturity Date of the refinanced Term Loans, provided that the requirements set forth in this clause (ii) shall not apply to any Permitted Earlier Maturity Debt or Qualified Bridge Facility;</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weighted average life to maturity of such Refinancing Term Loans shall be no shorter than the then-remaining weighted average life to maturity of the refinanced Term Loans, provided that the requirements set forth in this clause (iii) shall not apply to any Permitted Earlier Maturity Debt or Qualified Bridge Facility;</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4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the Refinancing Term Loans shall not exceed the outstanding principal amount of the refinanced Term Loans plus amounts used to pay fees, premiums, costs and expenses (including original issue discount) and accrued interest associated therewith;</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terms applicable to such Refinancing Term Loans (other than provisions relating to original issue discount, upfront fees, interest rates and any other pricing terms, optional prepayment or mandatory prepayment or redemption terms, which shall be as agreed between the Company and the Lenders providing such Refinancing Term Loans) taken as a whole shall (as determined by the Company in good faith) either (x) reflect market terms and conditions (taken as a whole) at the time of incurrence of such Indebtedness or (y) be substantially similar to, or no more restrictive to the Company and its Restricted Subsidiaries than, the terms, taken as a whole, applicable to the Term Loans being refinanced (except to the extent such covenants and other terms (a) are conformed or added for the benefit of the existing Facilities, (b) apply solely to any period after the Latest Maturity Date, or (c) are otherwise reasonably acceptable to the Applicable Facility Agent);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75" w:lineRule="auto"/>
        <w:tabs>
          <w:tab w:leader="none" w:pos="1944"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Refinancing Term Loans secured by Liens on the Collateral that rank junior in right of security to the Term Loans, such Liens shall be subject to intercreditor arrangements, if any, that are reasonably necessary or advisable (and reasonably satisfactory to the Applicable Facility Agent) to give effect to such security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22" w:right="339" w:bottom="1440" w:gutter="0" w:footer="0" w:header="0"/>
        </w:sectPr>
      </w:pPr>
    </w:p>
    <w:bookmarkStart w:id="196" w:name="page197"/>
    <w:bookmarkEnd w:id="196"/>
    <w:p>
      <w:pPr>
        <w:ind w:left="660" w:firstLine="644"/>
        <w:spacing w:after="0" w:line="271" w:lineRule="auto"/>
        <w:tabs>
          <w:tab w:leader="none" w:pos="195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no borrower (other than a Borrower) and no guarantors (other than a Guarantor) in respect of such Refinancing Term Loans;</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956"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Refinancing Term Loans shall (x) not be secured by any asset of the Company and its subsidiaries other than the Collateral and (y) for the avoidance of doubt, during a Collateral Release Period, be unsecured;</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44"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Refinancing Term Loans may participate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or on a less than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(but not on a greater than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in any mandatory prepayments (other than as provided otherwise in the case of a customary excess cash flow sweep) hereunder, as specified in the applicable Refinancing Amendment;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51"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reasonably requested by the Lenders providing such Refinancing Term Loans, such Lenders shall have received (a) board resolutions, officers’ certificates and/or reaffirmation agreements consistent with those delivered on the Amendment No. 4 Effective Date under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(b) customary legal opinions reasonably acceptable to such Lenders and (c) reaffirmation agreements and/or such amendments to the Collateral Documents as may be reasonably requested by such Lenders in order to ensure that such Refinancing Term Loans are provided with the benefit of the applicable Loan Documents.</w:t>
      </w:r>
    </w:p>
    <w:p>
      <w:pPr>
        <w:spacing w:after="0" w:line="18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approach any Lender or any other person that would be an Eligible Assignee pursuant to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to provide all or a portion of the Refinancing Term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Lender offered or approached to provide all or a portion of the Refinancing Term Loans may elect or decline, in its sole discretion, to provide a Refinancing Term Loan. The election of any Lender to agree to provide all or a portion of the Refinancing Term Loans shall not obligate any other Lender to provide the Refinancing Term Loans. Any Refinancing Term Loans made on any Refinancing Effective Date shall be designated an additional Class of Term Loans for all purposes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Refinancing Term Loans may, to the extent provided in the applicable Refinancing Amendment governing such Refinancing Term Loans, be designated as an increase in any previously established Class of Term Loans made to the applicable Borrower.</w:t>
      </w:r>
    </w:p>
    <w:p>
      <w:pPr>
        <w:spacing w:after="0" w:line="186"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including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(which provisions shall not be applicable to this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the Company may by written notice to the Pro Rata Facilities Administrative Agent establish one or more additional facilities (“</w:t>
      </w:r>
      <w:r>
        <w:rPr>
          <w:rFonts w:ascii="Times New Roman" w:cs="Times New Roman" w:eastAsia="Times New Roman" w:hAnsi="Times New Roman"/>
          <w:sz w:val="22"/>
          <w:szCs w:val="22"/>
          <w:u w:val="single" w:color="auto"/>
          <w:color w:val="auto"/>
        </w:rPr>
        <w:t>Replacement Revolving Facilities</w:t>
      </w:r>
      <w:r>
        <w:rPr>
          <w:rFonts w:ascii="Times New Roman" w:cs="Times New Roman" w:eastAsia="Times New Roman" w:hAnsi="Times New Roman"/>
          <w:sz w:val="22"/>
          <w:szCs w:val="22"/>
          <w:color w:val="auto"/>
        </w:rPr>
        <w:t>”) providing for revolving commitments (“</w:t>
      </w:r>
      <w:r>
        <w:rPr>
          <w:rFonts w:ascii="Times New Roman" w:cs="Times New Roman" w:eastAsia="Times New Roman" w:hAnsi="Times New Roman"/>
          <w:sz w:val="22"/>
          <w:szCs w:val="22"/>
          <w:u w:val="single" w:color="auto"/>
          <w:color w:val="auto"/>
        </w:rPr>
        <w:t>Replacement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Revolving Facility Commitments</w:t>
      </w:r>
      <w:r>
        <w:rPr>
          <w:rFonts w:ascii="Times New Roman" w:cs="Times New Roman" w:eastAsia="Times New Roman" w:hAnsi="Times New Roman"/>
          <w:sz w:val="22"/>
          <w:szCs w:val="22"/>
          <w:color w:val="auto"/>
        </w:rPr>
        <w:t>” and the revolving loans thereunder, “</w:t>
      </w:r>
      <w:r>
        <w:rPr>
          <w:rFonts w:ascii="Times New Roman" w:cs="Times New Roman" w:eastAsia="Times New Roman" w:hAnsi="Times New Roman"/>
          <w:sz w:val="22"/>
          <w:szCs w:val="22"/>
          <w:u w:val="single" w:color="auto"/>
          <w:color w:val="auto"/>
        </w:rPr>
        <w:t>Replacement Revolving Loans</w:t>
      </w:r>
      <w:r>
        <w:rPr>
          <w:rFonts w:ascii="Times New Roman" w:cs="Times New Roman" w:eastAsia="Times New Roman" w:hAnsi="Times New Roman"/>
          <w:sz w:val="22"/>
          <w:szCs w:val="22"/>
          <w:color w:val="auto"/>
        </w:rPr>
        <w:t>”), which replace in whole or in part any Class of Revolving Credit Commitments under this Agreement. Each such notice shall specify the date (each, a “</w:t>
      </w:r>
      <w:r>
        <w:rPr>
          <w:rFonts w:ascii="Times New Roman" w:cs="Times New Roman" w:eastAsia="Times New Roman" w:hAnsi="Times New Roman"/>
          <w:sz w:val="22"/>
          <w:szCs w:val="22"/>
          <w:u w:val="single" w:color="auto"/>
          <w:color w:val="auto"/>
        </w:rPr>
        <w:t>Replacement Revolving Facility Effective Date</w:t>
      </w:r>
      <w:r>
        <w:rPr>
          <w:rFonts w:ascii="Times New Roman" w:cs="Times New Roman" w:eastAsia="Times New Roman" w:hAnsi="Times New Roman"/>
          <w:sz w:val="22"/>
          <w:szCs w:val="22"/>
          <w:color w:val="auto"/>
        </w:rPr>
        <w:t xml:space="preserve">”) on which the Company proposes that the Replacement Revolving Facility Commitments shall become effective, which shall be a date not less than five (5) Business Days after the date on which such notice is delivered to the Pro Rata Facilities Administrative Agent (or such shorter period agreed to by the Pro Rata Facilities Administrative Agent in its reasonable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422" w:right="339" w:bottom="1440" w:gutter="0" w:footer="0" w:header="0"/>
        </w:sectPr>
      </w:pPr>
    </w:p>
    <w:bookmarkStart w:id="197" w:name="page198"/>
    <w:bookmarkEnd w:id="197"/>
    <w:p>
      <w:pPr>
        <w:ind w:left="-460" w:firstLine="644"/>
        <w:spacing w:after="0" w:line="271" w:lineRule="auto"/>
        <w:tabs>
          <w:tab w:leader="none" w:pos="82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before and after giving effect to the establishment of such Replacement Revolving Facility Commitments on the Replacement Revolving Facility Effective Date, each of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shall be satisfied;</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53" w:lineRule="auto"/>
        <w:tabs>
          <w:tab w:leader="none" w:pos="83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establishment of any Replacement Revolving Facility Commitments and any concurrent reduction in the aggregate amount of any other Revolving Credit Commitments, the aggregate amount of Revolving Credit Commitments shall not exceed the aggregate amount of the Revolving Credit Commitments outstanding immediately prior to the applicable Replacement Revolving Facility Effective Date plus amounts used to pay fees, premiums, costs and expenses (including original issue discount) and accrued interest associated therewith;</w:t>
      </w:r>
    </w:p>
    <w:p>
      <w:pPr>
        <w:spacing w:after="0" w:line="178" w:lineRule="exact"/>
        <w:rPr>
          <w:rFonts w:ascii="Times New Roman" w:cs="Times New Roman" w:eastAsia="Times New Roman" w:hAnsi="Times New Roman"/>
          <w:sz w:val="22"/>
          <w:szCs w:val="22"/>
          <w:color w:val="auto"/>
        </w:rPr>
      </w:pPr>
    </w:p>
    <w:p>
      <w:pPr>
        <w:ind w:left="-460" w:firstLine="644"/>
        <w:spacing w:after="0" w:line="309" w:lineRule="auto"/>
        <w:tabs>
          <w:tab w:leader="none" w:pos="836"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Replacement Revolving Facility Commitments shall have a final maturity date (or require commitment reductions or amortizations) prior to the Maturity Date for the Revolving Credit Commitments being replaced;</w:t>
      </w:r>
    </w:p>
    <w:p>
      <w:pPr>
        <w:spacing w:after="0" w:line="120" w:lineRule="exact"/>
        <w:rPr>
          <w:rFonts w:ascii="Times New Roman" w:cs="Times New Roman" w:eastAsia="Times New Roman" w:hAnsi="Times New Roman"/>
          <w:sz w:val="21"/>
          <w:szCs w:val="21"/>
          <w:color w:val="auto"/>
        </w:rPr>
      </w:pPr>
    </w:p>
    <w:p>
      <w:pPr>
        <w:jc w:val="both"/>
        <w:ind w:left="-460" w:firstLine="644"/>
        <w:spacing w:after="0" w:line="261" w:lineRule="auto"/>
        <w:tabs>
          <w:tab w:leader="none" w:pos="824"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terms applicable to such Replacement Revolving Facility (other than provisions relating to (x) fees, interest rates and other pricing terms and prepayment and commitment reduction and optional redemption terms which shall be as agreed between the Company and the Lenders providing such Replacement Revolving Facility Commitments and (y) the amount of any letter of credit sublimit under such Replacement Revolving Facility, which shall be as agreed between the Company, the Lenders providing such Replacement Revolving Facility Commitments, the Pro Rata Facilities Administrative Agent and the replacement issuing bank, if any, under such Replacement Revolving Facility Commitments) taken as a whole shall (as determined by the Company in good faith) either (x) reflect market terms and conditions (taken as a whole) at the time of incurrence of such Indebtedness or (y) be substantially similar to, or no more restrictive to the Company and its Restricted Subsidiaries than, those, taken as a whole, applicable to the Revolving Credit Commitments so replaced (except to the extent such covenants and other terms (a) are conformed or added for the benefit of the existing Facilities, (b) apply solely to any period after the Latest Maturity Date in effect at the time of incurrence, or (c) are otherwise reasonably acceptable to the Pro Rata Facilities Administrative Agent);</w:t>
      </w:r>
    </w:p>
    <w:p>
      <w:pPr>
        <w:spacing w:after="0" w:line="169" w:lineRule="exact"/>
        <w:rPr>
          <w:rFonts w:ascii="Times New Roman" w:cs="Times New Roman" w:eastAsia="Times New Roman" w:hAnsi="Times New Roman"/>
          <w:sz w:val="21"/>
          <w:szCs w:val="21"/>
          <w:color w:val="auto"/>
        </w:rPr>
      </w:pPr>
    </w:p>
    <w:p>
      <w:pPr>
        <w:ind w:left="-460" w:firstLine="644"/>
        <w:spacing w:after="0" w:line="271" w:lineRule="auto"/>
        <w:tabs>
          <w:tab w:leader="none" w:pos="83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no borrower (other than a Borrower) and no guarantors (other than a Guarantor) in respect of such Replacement Revolving Facility;</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824"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Replacement Revolving Facility Commitments and extensions of credit thereunder shall (x) not be secured by any asset of the Company and its subsidiaries other than the Collateral and (y) for the avoidance of doubt, during a Collateral Release Period, be unsecured;</w:t>
      </w:r>
    </w:p>
    <w:p>
      <w:pPr>
        <w:spacing w:after="0" w:line="167"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3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Replacement Revolving Facility is secured by Liens on the Collateral that rank junior in right of security to the Revolving Credit Loans, such Liens will be subject to intercreditor arrangements, if any, as are reasonably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0120"/>
          </w:cols>
          <w:pgMar w:left="1440" w:top="1422" w:right="339" w:bottom="1440" w:gutter="0" w:footer="0" w:header="0"/>
        </w:sectPr>
      </w:pPr>
    </w:p>
    <w:bookmarkStart w:id="198" w:name="page199"/>
    <w:bookmarkEnd w:id="198"/>
    <w:p>
      <w:pPr>
        <w:ind w:left="660"/>
        <w:spacing w:after="0"/>
        <w:rPr>
          <w:sz w:val="20"/>
          <w:szCs w:val="20"/>
          <w:color w:val="auto"/>
        </w:rPr>
      </w:pPr>
      <w:r>
        <w:rPr>
          <w:rFonts w:ascii="Times New Roman" w:cs="Times New Roman" w:eastAsia="Times New Roman" w:hAnsi="Times New Roman"/>
          <w:sz w:val="22"/>
          <w:szCs w:val="22"/>
          <w:color w:val="auto"/>
        </w:rPr>
        <w:t>advisable (and reasonably satisfactory to the Pro Rata Facilities Administrative Agent) to give effect to such Liens; and</w:t>
      </w:r>
    </w:p>
    <w:p>
      <w:pPr>
        <w:spacing w:after="0" w:line="220" w:lineRule="exact"/>
        <w:rPr>
          <w:sz w:val="20"/>
          <w:szCs w:val="20"/>
          <w:color w:val="auto"/>
        </w:rPr>
      </w:pPr>
    </w:p>
    <w:p>
      <w:pPr>
        <w:jc w:val="both"/>
        <w:ind w:left="660" w:firstLine="644"/>
        <w:spacing w:after="0" w:line="251" w:lineRule="auto"/>
        <w:tabs>
          <w:tab w:leader="none" w:pos="1956"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reasonably requested by the Lenders providing such Replacement Revolving Facility Commitments, such Lenders shall have received (a) board resolutions, officers’ certificates and/or reaffirmation agreements consistent with those delivered on the Amendment No. 4 Effective Date under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(b) customary legal opinions reasonably acceptable to such Lenders and (c) reaffirmation agreements and/or such amendments to the Collateral Documents as may be reasonably requested by such Lenders in order to ensure that such Replacement Revolving Facility is provided with the benefit of the applicable Loan Documents.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Solely to the extent that an L/C Issuer is not a replacement issuing bank, as the case may be, under a Replacement Revolving Facility, it is understood and agreed that such L/C Issuer shall not be required to issue any letters of credit under such Replacement Revolving Facility and, to the extent it is necessary for such L/C Issuer to withdraw as an L/C Issuer, as the case may be, at the time of the establishment of such Replacement Revolving Facility, such withdrawal shall be on terms and conditions reasonably satisfactory to such L/C Issuer, as the case may be, in its sole discretion. The Company agrees to reimburse each L/C Issuer, as the case may be, in full upon demand, for any reasonable and documented out-of-pocket cost or expense attributable to such withdrawal.</w:t>
      </w:r>
    </w:p>
    <w:p>
      <w:pPr>
        <w:spacing w:after="0" w:line="194" w:lineRule="exact"/>
        <w:rPr>
          <w:sz w:val="20"/>
          <w:szCs w:val="20"/>
          <w:color w:val="auto"/>
        </w:rPr>
      </w:pPr>
    </w:p>
    <w:p>
      <w:pPr>
        <w:jc w:val="both"/>
        <w:ind w:firstLine="656"/>
        <w:spacing w:after="0" w:line="247" w:lineRule="auto"/>
        <w:tabs>
          <w:tab w:leader="none" w:pos="129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approach any Lender or any other person that would be an Eligible Assignee of a Revolving Credit Commitment pursuant to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to provide all or a portion of the Replacement Revolving Facility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Lender offered or approached to provide all or a portion of the Replacement Revolving Facility Commitments may elect or decline, in its sole discretion, to provide a Replacement Revolving Facility Commitment. The election of any Lender to agree to provide all or a portion of the Replacement Revolving Facility Commitments shall not obligate any other Lender to provide Replacement Revolving Facility Commitments. Any Replacement Revolving Facility Commitment made on any Replacement Revolving Facility Effective Date shall be designated an additional Class of Revolving Credit Commitments for all purposes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Replacement Revolving Facility Commitments may, to the extent provided in the applicable Refinancing Amendment, be designated as an increase in any previously established Class of Revolving Credit Commitments.</w:t>
      </w:r>
    </w:p>
    <w:p>
      <w:pPr>
        <w:spacing w:after="0" w:line="204"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issuance of Refinancing Term Loans and Replacement Revolving Facility Commitments shall be in an aggregate principal amount that is not less than $5,000,000, and an integral multiple of $1,000,000 in excess thereof.</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Lender providing the applicable Refinancing Term Loans and/or Replacement Revolving Facility Commitments (as applicable) shall execute and deliver to the Applicable Facility Agent an amendment to this Agreement (a “</w:t>
      </w:r>
      <w:r>
        <w:rPr>
          <w:rFonts w:ascii="Times New Roman" w:cs="Times New Roman" w:eastAsia="Times New Roman" w:hAnsi="Times New Roman"/>
          <w:sz w:val="22"/>
          <w:szCs w:val="22"/>
          <w:u w:val="single" w:color="auto"/>
          <w:color w:val="auto"/>
        </w:rPr>
        <w:t>Refinancing Amendment</w:t>
      </w:r>
      <w:r>
        <w:rPr>
          <w:rFonts w:ascii="Times New Roman" w:cs="Times New Roman" w:eastAsia="Times New Roman" w:hAnsi="Times New Roman"/>
          <w:sz w:val="22"/>
          <w:szCs w:val="22"/>
          <w:color w:val="auto"/>
        </w:rPr>
        <w:t>”) and such other documentation as the Applicable Facility Agent shall reasonably specify to evidence such Refinancing Term Loans and/or Replacement Revolving Facility Commitments (as applicable). Notwithstanding anything to the contrary set forth in this Agreement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422" w:right="339" w:bottom="1440" w:gutter="0" w:footer="0" w:header="0"/>
        </w:sectPr>
      </w:pPr>
    </w:p>
    <w:bookmarkStart w:id="199" w:name="page200"/>
    <w:bookmarkEnd w:id="199"/>
    <w:p>
      <w:pPr>
        <w:jc w:val="both"/>
        <w:spacing w:after="0" w:line="253" w:lineRule="auto"/>
        <w:rPr>
          <w:sz w:val="20"/>
          <w:szCs w:val="20"/>
          <w:color w:val="auto"/>
        </w:rPr>
      </w:pPr>
      <w:r>
        <w:rPr>
          <w:rFonts w:ascii="Times New Roman" w:cs="Times New Roman" w:eastAsia="Times New Roman" w:hAnsi="Times New Roman"/>
          <w:sz w:val="22"/>
          <w:szCs w:val="22"/>
          <w:color w:val="auto"/>
        </w:rPr>
        <w:t>other Loan Document, all Refinancing Term Loans, Replacement Revolving Facility Commitments and all obligations in respect thereof incurred or obtained other than during a Collateral Release Period shall be Obligations under this Agreement and the other Loan Documents that rank equally and ratably in right of security with the Term Loans, Revolving Credit Loans, and other Obligations (except to the extent any such Refinancing Term Loans or Replacement Revolving Facility Commitments are secured by the Collateral on a junior lien basis in accordance with the provisions above).</w:t>
      </w:r>
    </w:p>
    <w:p>
      <w:pPr>
        <w:spacing w:after="0" w:line="179" w:lineRule="exact"/>
        <w:rPr>
          <w:sz w:val="20"/>
          <w:szCs w:val="20"/>
          <w:color w:val="auto"/>
        </w:rPr>
      </w:pPr>
    </w:p>
    <w:p>
      <w:pPr>
        <w:jc w:val="both"/>
        <w:ind w:firstLine="656"/>
        <w:spacing w:after="0" w:line="251" w:lineRule="auto"/>
        <w:tabs>
          <w:tab w:leader="none" w:pos="129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Refinancing Amendment may, without the consent of any other Lender, effect such amendments to this Agreement and the other Loan Documents as may be necessary or appropriate, in the reasonable opinion of the Applicable Facility Agent and the Company, to effect the provisions of this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xml:space="preserve"> and each of the parties hereto hereby consents to the transactions contemplated by this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xml:space="preserve"> (including, for the avoidance of doubt, payment of interest, fees or premium in respect of any refinancing Indebtedness on such terms as may be set forth in the relevant Refinancing Amendment in accordance with this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xml:space="preserve"> shall supersede any provisions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10.01</w:t>
      </w:r>
      <w:r>
        <w:rPr>
          <w:rFonts w:ascii="Times New Roman" w:cs="Times New Roman" w:eastAsia="Times New Roman" w:hAnsi="Times New Roman"/>
          <w:sz w:val="22"/>
          <w:szCs w:val="22"/>
          <w:color w:val="auto"/>
        </w:rPr>
        <w:t xml:space="preserve"> to the contrary.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ARTICLE 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TAXES, YIELD PROTECTION AND ILLEGALITY</w:t>
      </w:r>
    </w:p>
    <w:p>
      <w:pPr>
        <w:spacing w:after="0" w:line="20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3.01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19"/>
          <w:szCs w:val="19"/>
          <w:color w:val="auto"/>
        </w:rPr>
        <w:t>. For purposes of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the term “Lender” includes any L/C Issuer and, for the avoidance of doubt,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Swing Line Lender and the term “Laws” includes FATCA.</w:t>
      </w:r>
    </w:p>
    <w:p>
      <w:pPr>
        <w:spacing w:after="0" w:line="1" w:lineRule="exact"/>
        <w:rPr>
          <w:sz w:val="20"/>
          <w:szCs w:val="20"/>
          <w:color w:val="auto"/>
        </w:rPr>
      </w:pPr>
    </w:p>
    <w:p>
      <w:pPr>
        <w:ind w:left="1300" w:hanging="644"/>
        <w:spacing w:after="0"/>
        <w:tabs>
          <w:tab w:leader="none" w:pos="13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Free of Taxes; Obligation to Withhold; Payments on Account of Taxes</w:t>
      </w:r>
      <w:r>
        <w:rPr>
          <w:rFonts w:ascii="Times New Roman" w:cs="Times New Roman" w:eastAsia="Times New Roman" w:hAnsi="Times New Roman"/>
          <w:sz w:val="22"/>
          <w:szCs w:val="22"/>
          <w:color w:val="auto"/>
        </w:rPr>
        <w:t>.</w:t>
      </w:r>
    </w:p>
    <w:p>
      <w:pPr>
        <w:spacing w:after="0" w:line="213"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44"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payments by or on account of any obligation of any Loan Party under any Loan Document shall be made without deduction or withholding for any Taxes, except as required by applicable Laws. If any applicable Laws (as determined in the good faith discretion of a Loan Party or an Administrative Agent, as the case may be) require the deduction or withholding of any Tax from any such payment by a Loan Party or such Administrative Agent, then such Loan Party or such Administrative Agent shall be entitled to make such deduction or withholding.</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950"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Loan Party or any Administrative Agent or other applicable withholding agent shall be required by the Code or any other applicable Laws to withhold or deduct any Taxes, including U.S. federal backup withholding and withholding taxes, from any payment, (A) the applicable withholding agent shall withhold or make such deductions as are determined by the applicable withholding agent to be required based upon the information and documentation it has received pursuant to </w:t>
      </w:r>
      <w:r>
        <w:rPr>
          <w:rFonts w:ascii="Times New Roman" w:cs="Times New Roman" w:eastAsia="Times New Roman" w:hAnsi="Times New Roman"/>
          <w:sz w:val="22"/>
          <w:szCs w:val="22"/>
          <w:u w:val="single" w:color="auto"/>
          <w:color w:val="auto"/>
        </w:rPr>
        <w:t>subsection (e)</w:t>
      </w:r>
      <w:r>
        <w:rPr>
          <w:rFonts w:ascii="Times New Roman" w:cs="Times New Roman" w:eastAsia="Times New Roman" w:hAnsi="Times New Roman"/>
          <w:sz w:val="22"/>
          <w:szCs w:val="22"/>
          <w:color w:val="auto"/>
        </w:rPr>
        <w:t xml:space="preserve"> below, (B) the applicable withholding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422" w:right="339" w:bottom="1440" w:gutter="0" w:footer="0" w:header="0"/>
        </w:sectPr>
      </w:pPr>
    </w:p>
    <w:bookmarkStart w:id="200" w:name="page201"/>
    <w:bookmarkEnd w:id="200"/>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 xml:space="preserve">required withholding or the making of all required deductions (including deductions applicable to additional sums payable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applicable Recipient receives an amount equal to the sum it would have received had no such withholding or deduction been made.</w:t>
      </w:r>
    </w:p>
    <w:p>
      <w:pPr>
        <w:spacing w:after="0" w:line="186" w:lineRule="exact"/>
        <w:rPr>
          <w:sz w:val="20"/>
          <w:szCs w:val="20"/>
          <w:color w:val="auto"/>
        </w:rPr>
      </w:pPr>
    </w:p>
    <w:p>
      <w:pPr>
        <w:jc w:val="both"/>
        <w:ind w:firstLine="656"/>
        <w:spacing w:after="0" w:line="257" w:lineRule="auto"/>
        <w:tabs>
          <w:tab w:leader="none" w:pos="129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Loan Parties</w:t>
      </w:r>
      <w:r>
        <w:rPr>
          <w:rFonts w:ascii="Times New Roman" w:cs="Times New Roman" w:eastAsia="Times New Roman" w:hAnsi="Times New Roman"/>
          <w:sz w:val="22"/>
          <w:szCs w:val="22"/>
          <w:color w:val="auto"/>
        </w:rPr>
        <w:t xml:space="preserve">. Without limiting the provisions of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above, the Loan Parties shall timely pay to the relevant Governmental Authority in accordance with applicable Laws, or at the option of the applicable Administrative Agent timely reimburse it for the payment of, any Other Taxes.</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Indemnifications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44"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Loan Parties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or the L/C Issuer (with a copy to the Applicable Facility Agent), or by an Administrative Agent on its own behalf or on behalf of a Lender or the L/C Issuer, shall be conclusive absent manifest error. Each of the Loan Parties shall, and does hereby, jointly and severally, indemnify the applicable Administrative Agent, and shall make payment in respect thereof within 10 days after demand therefor, for any amount that a Lender or the L/C Issuer for any reason fails to pay indefeasibly to the applicable Administrative Agent as required pursuant to </w:t>
      </w:r>
      <w:r>
        <w:rPr>
          <w:rFonts w:ascii="Times New Roman" w:cs="Times New Roman" w:eastAsia="Times New Roman" w:hAnsi="Times New Roman"/>
          <w:sz w:val="22"/>
          <w:szCs w:val="22"/>
          <w:u w:val="single" w:color="auto"/>
          <w:color w:val="auto"/>
        </w:rPr>
        <w:t>Section 3.01(c)(ii)</w:t>
      </w:r>
      <w:r>
        <w:rPr>
          <w:rFonts w:ascii="Times New Roman" w:cs="Times New Roman" w:eastAsia="Times New Roman" w:hAnsi="Times New Roman"/>
          <w:sz w:val="22"/>
          <w:szCs w:val="22"/>
          <w:color w:val="auto"/>
        </w:rPr>
        <w:t xml:space="preserve"> below.</w:t>
      </w:r>
    </w:p>
    <w:p>
      <w:pPr>
        <w:spacing w:after="0" w:line="197"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0"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and the L/C Issuer shall, and does hereby, severally indemnify, and shall make payment in respect thereof within 10 days after demand therefor, (x) the affected Administrative Agent against any Indemnified Taxes attributable to such Lender or the L/C Issuer (but only to the extent that any Loan Party has not already indemnified such Administrative Agent for such Indemnified Taxes and without limiting the obligation of the Loan Parties to do so), (y) the affected Administrative Agent and the Loan Parties, as applicable, against any Taxes attributable to such Lender’s failure to comply with the provisions of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 xml:space="preserve"> relating to the maintenance of a Participant Register and (z) the affected Administrative Agent and the Loan Parties, as applicable, against any Excluded Taxes attributable to such Lender or the L/C Issuer, in each case, that are payable or paid by such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such Administrative Agent shall be conclusive absent manifest error. Each Lender and the L/C Issuer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422" w:right="339" w:bottom="1440" w:gutter="0" w:footer="0" w:header="0"/>
        </w:sectPr>
      </w:pPr>
    </w:p>
    <w:bookmarkStart w:id="201" w:name="page202"/>
    <w:bookmarkEnd w:id="201"/>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 xml:space="preserve">authorizes such Administrative Agent to set off and apply any and all amounts at any time owing to such Lender or the L/C Issuer, as the case may be, under this Agreement or any other Loan Document against any amount due to such Administrative Agent under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ind w:left="660" w:firstLine="644"/>
        <w:spacing w:after="0" w:line="257" w:lineRule="auto"/>
        <w:tabs>
          <w:tab w:leader="none" w:pos="1956"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no Subsidiary that is not a U.S. Person shall be liable for payment of additional amounts or indemnification with respect to any Indemnified Taxes (and reasonable expenses arising therefrom) attributable to Obligations hereunder of a Borrower that is a U.S. Person.</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3"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As soon as practicable after any payment of Taxes by any Loan Party to a Governmental Authority as provided in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Company shall deliver to the General Administrative Agent the original or a certified copy of a receipt issued by such Governmental Authority evidencing such payment, a copy of any return required by Laws to report such payment or other evidence of such payment reasonably satisfactory to the General Administrative Agent.</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 Tax Documentation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44"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that is entitled to an exemption from or reduction of withholding Tax with respect to payments made under any Loan Document shall deliver to the Company and the applicable Administrative Agent, at the time or times reasonably requested by the Company or the applicable Administrative Agent, such properly completed and executed documentation reasonably requested by the Company or the applicable Administrative Agent as will permit such payments to be made without withholding or at a reduced rate of withholding. In addition, any Lender, if reasonably requested by the Company or the applicable Administrative Agent, shall deliver such other documentation prescribed by applicable Laws or reasonably requested by the Company or the applicable Administrative Agent as will enable the Company or the applicable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Times New Roman" w:cs="Times New Roman" w:eastAsia="Times New Roman" w:hAnsi="Times New Roman"/>
          <w:sz w:val="22"/>
          <w:szCs w:val="22"/>
          <w:u w:val="single" w:color="auto"/>
          <w:color w:val="auto"/>
        </w:rPr>
        <w:t>Section 3.01(e)(ii)(A)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(ii)(D)</w:t>
      </w:r>
      <w:r>
        <w:rPr>
          <w:rFonts w:ascii="Times New Roman" w:cs="Times New Roman" w:eastAsia="Times New Roman" w:hAnsi="Times New Roman"/>
          <w:sz w:val="22"/>
          <w:szCs w:val="22"/>
          <w:color w:val="auto"/>
        </w:rPr>
        <w:t xml:space="preserve"> below or (B) required by applicable Laws other than the Code or by the taxing authorities of the jurisdiction pursuant to such applicable Laws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3" w:lineRule="exact"/>
        <w:rPr>
          <w:sz w:val="20"/>
          <w:szCs w:val="20"/>
          <w:color w:val="auto"/>
        </w:rPr>
      </w:pPr>
    </w:p>
    <w:p>
      <w:pPr>
        <w:ind w:left="1940" w:hanging="636"/>
        <w:spacing w:after="0"/>
        <w:tabs>
          <w:tab w:leader="none" w:pos="194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a Borrower is a U.S. Person,</w:t>
      </w:r>
    </w:p>
    <w:p>
      <w:pPr>
        <w:spacing w:after="0" w:line="219"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585"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Company and the Applicable Facility Agent and the General Administrative Agent on or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422" w:right="339" w:bottom="1440" w:gutter="0" w:footer="0" w:header="0"/>
        </w:sectPr>
      </w:pPr>
    </w:p>
    <w:bookmarkStart w:id="202" w:name="page203"/>
    <w:bookmarkEnd w:id="202"/>
    <w:p>
      <w:pPr>
        <w:jc w:val="both"/>
        <w:ind w:left="180"/>
        <w:spacing w:after="0" w:line="275" w:lineRule="auto"/>
        <w:rPr>
          <w:sz w:val="20"/>
          <w:szCs w:val="20"/>
          <w:color w:val="auto"/>
        </w:rPr>
      </w:pPr>
      <w:r>
        <w:rPr>
          <w:rFonts w:ascii="Times New Roman" w:cs="Times New Roman" w:eastAsia="Times New Roman" w:hAnsi="Times New Roman"/>
          <w:sz w:val="21"/>
          <w:szCs w:val="21"/>
          <w:color w:val="auto"/>
        </w:rPr>
        <w:t>the date on which such Lender becomes a Lender under this Agreement (and from time to time thereafter upon the reasonable request of the Company, Applicable Facility Agent or the General Administrative Agent), executed copies of IRS Form W-9 certifying that such Lender is exempt from U.S. federal backup withholding tax;</w:t>
      </w:r>
    </w:p>
    <w:p>
      <w:pPr>
        <w:spacing w:after="0" w:line="169" w:lineRule="exact"/>
        <w:rPr>
          <w:sz w:val="20"/>
          <w:szCs w:val="20"/>
          <w:color w:val="auto"/>
        </w:rPr>
      </w:pPr>
    </w:p>
    <w:p>
      <w:pPr>
        <w:jc w:val="both"/>
        <w:ind w:left="180" w:firstLine="652"/>
        <w:spacing w:after="0" w:line="250" w:lineRule="auto"/>
        <w:tabs>
          <w:tab w:leader="none" w:pos="1467"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Company and the Applicable Facility Agent and the General Administrative Agent (in such number of copies as shall be requested by the recipient) on or prior to the date on which such Foreign Lender becomes a Lender under this Agreement (and from time to time thereafter upon the reasonable request of the Company, the Applicable Facility Agent or the General Administrative Agent), whichever of the following is applicable:</w:t>
      </w:r>
    </w:p>
    <w:p>
      <w:pPr>
        <w:spacing w:after="0" w:line="194" w:lineRule="exact"/>
        <w:rPr>
          <w:rFonts w:ascii="Times New Roman" w:cs="Times New Roman" w:eastAsia="Times New Roman" w:hAnsi="Times New Roman"/>
          <w:sz w:val="22"/>
          <w:szCs w:val="22"/>
          <w:color w:val="auto"/>
        </w:rPr>
      </w:pPr>
    </w:p>
    <w:p>
      <w:pPr>
        <w:jc w:val="both"/>
        <w:ind w:left="840" w:firstLine="640"/>
        <w:spacing w:after="0" w:line="250" w:lineRule="auto"/>
        <w:tabs>
          <w:tab w:leader="none" w:pos="2131"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80"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w:t>
      </w:r>
    </w:p>
    <w:p>
      <w:pPr>
        <w:spacing w:after="0" w:line="219" w:lineRule="exact"/>
        <w:rPr>
          <w:rFonts w:ascii="Times New Roman" w:cs="Times New Roman" w:eastAsia="Times New Roman" w:hAnsi="Times New Roman"/>
          <w:sz w:val="22"/>
          <w:szCs w:val="22"/>
          <w:color w:val="auto"/>
        </w:rPr>
      </w:pPr>
    </w:p>
    <w:p>
      <w:pPr>
        <w:jc w:val="both"/>
        <w:ind w:left="840" w:firstLine="640"/>
        <w:spacing w:after="0" w:line="250" w:lineRule="auto"/>
        <w:tabs>
          <w:tab w:leader="none" w:pos="2131"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2"/>
          <w:szCs w:val="22"/>
          <w:u w:val="single" w:color="auto"/>
          <w:color w:val="auto"/>
        </w:rPr>
        <w:t>Exhibit J-1</w:t>
      </w:r>
      <w:r>
        <w:rPr>
          <w:rFonts w:ascii="Times New Roman" w:cs="Times New Roman" w:eastAsia="Times New Roman" w:hAnsi="Times New Roman"/>
          <w:sz w:val="22"/>
          <w:szCs w:val="22"/>
          <w:color w:val="auto"/>
        </w:rPr>
        <w:t xml:space="preserve"> to the effect that such Foreign Lender is not a “bank” within the meaning of Section 881(c)(3)(A) of the Code, a “10-percent shareholder” of any U.S. Borrower within the meaning of Section 871(h)(3)(B) of the Code, or a “controlled foreign corporation” related to any U.S. Borrower, as described in Section 881(c)(3)(C) of the Code (a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and (y) executed copies of IRS Form W-8BEN-E (or W-8BEN, as applicable); or</w:t>
      </w:r>
    </w:p>
    <w:p>
      <w:pPr>
        <w:spacing w:after="0" w:line="180" w:lineRule="exact"/>
        <w:rPr>
          <w:rFonts w:ascii="Times New Roman" w:cs="Times New Roman" w:eastAsia="Times New Roman" w:hAnsi="Times New Roman"/>
          <w:sz w:val="22"/>
          <w:szCs w:val="22"/>
          <w:color w:val="auto"/>
        </w:rPr>
      </w:pPr>
    </w:p>
    <w:p>
      <w:pPr>
        <w:jc w:val="both"/>
        <w:ind w:left="840" w:firstLine="640"/>
        <w:spacing w:after="0" w:line="251" w:lineRule="auto"/>
        <w:tabs>
          <w:tab w:leader="none" w:pos="2131"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22"/>
          <w:szCs w:val="22"/>
          <w:u w:val="single" w:color="auto"/>
          <w:color w:val="auto"/>
        </w:rPr>
        <w:t>Exhibit J-2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J-3</w:t>
      </w:r>
      <w:r>
        <w:rPr>
          <w:rFonts w:ascii="Times New Roman" w:cs="Times New Roman" w:eastAsia="Times New Roman" w:hAnsi="Times New Roman"/>
          <w:sz w:val="22"/>
          <w:szCs w:val="22"/>
          <w:color w:val="auto"/>
        </w:rPr>
        <w:t xml:space="preserve">, IRS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0120"/>
          </w:cols>
          <w:pgMar w:left="1440" w:top="1422" w:right="339" w:bottom="1440" w:gutter="0" w:footer="0" w:header="0"/>
        </w:sectPr>
      </w:pPr>
    </w:p>
    <w:bookmarkStart w:id="203" w:name="page204"/>
    <w:bookmarkEnd w:id="203"/>
    <w:p>
      <w:pPr>
        <w:ind w:left="840" w:right="20"/>
        <w:spacing w:after="0" w:line="271" w:lineRule="auto"/>
        <w:rPr>
          <w:sz w:val="20"/>
          <w:szCs w:val="20"/>
          <w:color w:val="auto"/>
        </w:rPr>
      </w:pPr>
      <w:r>
        <w:rPr>
          <w:rFonts w:ascii="Times New Roman" w:cs="Times New Roman" w:eastAsia="Times New Roman" w:hAnsi="Times New Roman"/>
          <w:sz w:val="22"/>
          <w:szCs w:val="22"/>
          <w:color w:val="auto"/>
        </w:rPr>
        <w:t xml:space="preserve">may provide a U.S. Tax Compliance Certificate substantially in the form of </w:t>
      </w:r>
      <w:r>
        <w:rPr>
          <w:rFonts w:ascii="Times New Roman" w:cs="Times New Roman" w:eastAsia="Times New Roman" w:hAnsi="Times New Roman"/>
          <w:sz w:val="22"/>
          <w:szCs w:val="22"/>
          <w:u w:val="single" w:color="auto"/>
          <w:color w:val="auto"/>
        </w:rPr>
        <w:t>Exhibit J-4</w:t>
      </w:r>
      <w:r>
        <w:rPr>
          <w:rFonts w:ascii="Times New Roman" w:cs="Times New Roman" w:eastAsia="Times New Roman" w:hAnsi="Times New Roman"/>
          <w:sz w:val="22"/>
          <w:szCs w:val="22"/>
          <w:color w:val="auto"/>
        </w:rPr>
        <w:t xml:space="preserve"> on behalf of each such direct and indirect partner;</w:t>
      </w:r>
    </w:p>
    <w:p>
      <w:pPr>
        <w:spacing w:after="0" w:line="158" w:lineRule="exact"/>
        <w:rPr>
          <w:sz w:val="20"/>
          <w:szCs w:val="20"/>
          <w:color w:val="auto"/>
        </w:rPr>
      </w:pPr>
    </w:p>
    <w:p>
      <w:pPr>
        <w:jc w:val="both"/>
        <w:ind w:left="180" w:firstLine="652"/>
        <w:spacing w:after="0" w:line="250" w:lineRule="auto"/>
        <w:tabs>
          <w:tab w:leader="none" w:pos="1467"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eligible to do so, deliver to the Company, Applicable Facility Agent and the General Administrative Agent (in such number of copies as shall be requested by the recipient) on or prior to the date on which such Foreign Lender becomes a Lender under this Agreement (and from time to time thereafter upon the reasonable request of the Company, the Applicable Facility Agent or the General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the Applicable Facility Agent or the General Administrative Agent to determine the withholding or deduction required to be made; and</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61" w:lineRule="auto"/>
        <w:tabs>
          <w:tab w:leader="none" w:pos="1465"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the Applicable Facility Agent and the General Administrative Agent at the time or times prescribed by Law and at such time or times reasonably requested by the Company, the Applicable Facility Agent or the General Administrative Agent such documentation prescribed by applicable Law (including as prescribed by Section 1471(b)(3)(C)(i) of the Code) and such additional documentation reasonably requested by the Company, the Applicable Facility Agent or the General Administrative Agent as may be necessary for the Company, the Applicable Facility Agent and the General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69" w:lineRule="exact"/>
        <w:rPr>
          <w:rFonts w:ascii="Times New Roman" w:cs="Times New Roman" w:eastAsia="Times New Roman" w:hAnsi="Times New Roman"/>
          <w:sz w:val="21"/>
          <w:szCs w:val="21"/>
          <w:color w:val="auto"/>
        </w:rPr>
      </w:pPr>
    </w:p>
    <w:p>
      <w:pPr>
        <w:jc w:val="both"/>
        <w:ind w:left="-460" w:firstLine="644"/>
        <w:spacing w:after="0" w:line="253" w:lineRule="auto"/>
        <w:tabs>
          <w:tab w:leader="none" w:pos="83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agrees that if any form or certification it previously delivered pursuant to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expires or becomes obsolete or inaccurate in any respect, it shall update such form or certification or promptly notify the Company, the Applicable Facility Agent and the General Administrative Agent in writing of its legal ineligibility to do so. Notwithstanding any other provision of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a Lender shall not be required to deliver any documentation that such Lender is not legally eligible to deliver.</w:t>
      </w:r>
    </w:p>
    <w:p>
      <w:pPr>
        <w:spacing w:after="0" w:line="178"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82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authorizes the Administrative Agents to deliver to the Loan Parties and to any successor Administrative Agent any documentation provided by such Lender to the Administrative Agents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3.01(e)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0120"/>
          </w:cols>
          <w:pgMar w:left="1440" w:top="1422" w:right="339" w:bottom="1440" w:gutter="0" w:footer="0" w:header="0"/>
        </w:sectPr>
      </w:pPr>
    </w:p>
    <w:bookmarkStart w:id="204" w:name="page205"/>
    <w:bookmarkEnd w:id="204"/>
    <w:p>
      <w:pPr>
        <w:jc w:val="both"/>
        <w:ind w:firstLine="656"/>
        <w:spacing w:after="0" w:line="247" w:lineRule="auto"/>
        <w:tabs>
          <w:tab w:leader="none" w:pos="1293"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Unless required by applicable Laws, at no time shall any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it shall pay to such Loan Party an amount equal to such refund (but only to the extent of indemnity payments made, or additional amounts paid, by a Loan Party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8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shall survive the resignation or replacement of any Administrative Agent or any assignment of rights by, or the replacement of, a Lender or the L/C Issuer, the termination of the Commitments and the repayment, satisfaction or discharge of all other Obligations.</w:t>
      </w:r>
    </w:p>
    <w:p>
      <w:pPr>
        <w:spacing w:after="0" w:line="1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3.02 </w:t>
      </w:r>
      <w:r>
        <w:rPr>
          <w:rFonts w:ascii="Times New Roman" w:cs="Times New Roman" w:eastAsia="Times New Roman" w:hAnsi="Times New Roman"/>
          <w:sz w:val="22"/>
          <w:szCs w:val="22"/>
          <w:u w:val="single" w:color="auto"/>
          <w:color w:val="auto"/>
        </w:rPr>
        <w:t>Illegality</w:t>
      </w:r>
      <w:r>
        <w:rPr>
          <w:rFonts w:ascii="Times New Roman" w:cs="Times New Roman" w:eastAsia="Times New Roman" w:hAnsi="Times New Roman"/>
          <w:sz w:val="19"/>
          <w:szCs w:val="19"/>
          <w:color w:val="auto"/>
        </w:rPr>
        <w:t>. If any Lender determines that CRD VI or any Law has made it unlawful, or that any Governmental Authority has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asserted that it is unlawful, for any Lender or its applicable Lending Office to make, maintain or fund Loans whose interest is determined by reference to a Relevant Rate, or to determine or charge interest rates based upon a Relevant Rate or to purchase or sell, or to take deposits of, Dollars or any Alternative Currency in the applicable interbank market, then, upon notice thereof by such Lender to the Company (through the Applicable Facility Agent), (a) any obligation of such Lender to make or maintain Alternative Currency Loans or Euro Swing Line Rate Loans in the affected currency or currencies or, in the case of Loans denominated in Dollars, to make or maintain Term SOFR Loans, SOFR Daily Floating Rate Loans or to convert Base Rate Loans to Term SOFR Loans shall be, in each case,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Applicable Facility Agent without reference to the Term SOFR component of the Base Rate, in each case until such Lender notifies the Applicable Facility Agent and the Company that the circumstances giving rise to such determination no longer exist. Upon receipt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422" w:right="339" w:bottom="1440" w:gutter="0" w:footer="0" w:header="0"/>
        </w:sectPr>
      </w:pPr>
    </w:p>
    <w:bookmarkStart w:id="205" w:name="page206"/>
    <w:bookmarkEnd w:id="205"/>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notice, (i) the Borrowers shall, upon demand from such Lender (with a copy to the Applicable Facility Agent), prepay all Term SOFR Loans, SOFR Daily Floating Rate Loans, Euro Swing Line Rate Loans or Alternative Currency Loans, as applicable, in the affected currency or currencies or, if applicable and such Loans are denominated in Dollars, convert all Term SOFR Loans and SOFR Daily Floating Rate Loans of such Lender to Base Rate Loans (the interest rate on which Base Rate Loans of such Lender shall, if necessary to avoid such illegality, be determined by the Applicable Facility Agent without reference to the Term SOFR component of the Base Rate), in each case, immediately, or, in the case of Alternative Currency Term Rate Loans, on the last day of the Interest Period therefor if such Lender may lawfully continue to maintain such Alternative Currency Term Rate Loans to such day and (ii) if such notice asserts the illegality of such Lender determining or charging interest rates based upon SOFR, the Applicable Facility Agent shall during the period of such suspension compute the Base Rate applicable to such Lender without reference to the Term SOFR component thereof until the Applicable Facility Agent is advised in writing by such Lender that it is no longer illegal for such Lender to determine or charge interest rates based upon Term SOFR. Upon any such prepayment or conversion, the Borrowers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3.03</w:t>
      </w:r>
      <w:r>
        <w:rPr>
          <w:sz w:val="20"/>
          <w:szCs w:val="20"/>
          <w:color w:val="auto"/>
        </w:rPr>
        <w:tab/>
      </w:r>
      <w:r>
        <w:rPr>
          <w:rFonts w:ascii="Times New Roman" w:cs="Times New Roman" w:eastAsia="Times New Roman" w:hAnsi="Times New Roman"/>
          <w:sz w:val="21"/>
          <w:szCs w:val="21"/>
          <w:u w:val="single" w:color="auto"/>
          <w:color w:val="auto"/>
        </w:rPr>
        <w:t>Inability to Determine Rates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656"/>
        <w:spacing w:after="0" w:line="248" w:lineRule="auto"/>
        <w:tabs>
          <w:tab w:leader="none" w:pos="1285" w:val="left"/>
        </w:tabs>
        <w:numPr>
          <w:ilvl w:val="0"/>
          <w:numId w:val="204"/>
        </w:numPr>
        <w:rPr>
          <w:rFonts w:ascii="Arial" w:cs="Arial" w:eastAsia="Arial" w:hAnsi="Arial"/>
          <w:sz w:val="22"/>
          <w:szCs w:val="22"/>
          <w:color w:val="auto"/>
        </w:rPr>
      </w:pPr>
      <w:r>
        <w:rPr>
          <w:rFonts w:ascii="Times New Roman" w:cs="Times New Roman" w:eastAsia="Times New Roman" w:hAnsi="Times New Roman"/>
          <w:sz w:val="20"/>
          <w:szCs w:val="20"/>
          <w:color w:val="auto"/>
        </w:rPr>
        <w:t xml:space="preserve">If in connection with any request for a Term SOFR Loan, a SOFR Daily Floating Rate Loan, Euro Swing Line Rate Loan or an Alternative Currency Loan or a conversion of Base Rate Loans to Term SOFR Loans or a continuation of any of such Loans, as applicable, (i) the Applicable Facility Agent determines (which determination shall be conclusive absent manifest error) that (A) no Successor Rate for the Relevant Rate for the applicable Agreed Currency has been determined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3.03(c</w:t>
      </w:r>
      <w:r>
        <w:rPr>
          <w:rFonts w:ascii="Times New Roman" w:cs="Times New Roman" w:eastAsia="Times New Roman" w:hAnsi="Times New Roman"/>
          <w:sz w:val="20"/>
          <w:szCs w:val="20"/>
          <w:color w:val="auto"/>
        </w:rPr>
        <w:t xml:space="preserve">) and the circumstances under clause (i) of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or of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or the Scheduled Unavailability Date, or the 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or an Alternative Currency Loan or in connection with an existing or proposed Base Rate Loan, SOFR Daily Floating Rate Loan or Euro Swing Line Rate Loan, or (ii) the Applicable Facility Agent or the Required Lenders determine that for any reason that the Relevant Rate with respect to a proposed Loan denominated in an Agreed Currency for any requested Interest Period or determination date(s) does not adequately and fairly reflect the cost to such Lenders of funding such Loan, the Applicable Facility Agent will promptly so notify the Company and each Lender.</w:t>
      </w:r>
    </w:p>
    <w:p>
      <w:pPr>
        <w:spacing w:after="0" w:line="189" w:lineRule="exact"/>
        <w:rPr>
          <w:sz w:val="20"/>
          <w:szCs w:val="20"/>
          <w:color w:val="auto"/>
        </w:rPr>
      </w:pPr>
    </w:p>
    <w:p>
      <w:pPr>
        <w:ind w:left="740" w:right="100" w:firstLine="842"/>
        <w:spacing w:after="0" w:line="253" w:lineRule="auto"/>
        <w:rPr>
          <w:sz w:val="20"/>
          <w:szCs w:val="20"/>
          <w:color w:val="auto"/>
        </w:rPr>
      </w:pPr>
      <w:r>
        <w:rPr>
          <w:rFonts w:ascii="Times New Roman" w:cs="Times New Roman" w:eastAsia="Times New Roman" w:hAnsi="Times New Roman"/>
          <w:sz w:val="20"/>
          <w:szCs w:val="20"/>
          <w:color w:val="auto"/>
        </w:rPr>
        <w:t xml:space="preserve">Thereafter, (x) the obligation of the Lenders to make or maintain Loans in the affected currencies, as applicable, or to convert Base Rate Loans to Term SOFR Loans, shall be suspended in each case to the extent of the affected Term SOFR Loans, Alternative Currency Loans, SOFR Daily Floating Rate Loans, Euro Swing Line Rate Loan or Interest Period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Applicable Facility Agent (or, in the case of a determination by the Required Lenders described in clause (ii) of this </w:t>
      </w:r>
      <w:r>
        <w:rPr>
          <w:rFonts w:ascii="Times New Roman" w:cs="Times New Roman" w:eastAsia="Times New Roman" w:hAnsi="Times New Roman"/>
          <w:sz w:val="20"/>
          <w:szCs w:val="20"/>
          <w:u w:val="single" w:color="auto"/>
          <w:color w:val="auto"/>
        </w:rPr>
        <w:t>Section 3.03(a)</w:t>
      </w:r>
      <w:r>
        <w:rPr>
          <w:rFonts w:ascii="Times New Roman" w:cs="Times New Roman" w:eastAsia="Times New Roman" w:hAnsi="Times New Roman"/>
          <w:sz w:val="20"/>
          <w:szCs w:val="20"/>
          <w:color w:val="auto"/>
        </w:rPr>
        <w:t>, until the Applicable Facility Agent upon instruction of the Required Lenders) revokes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413" w:right="339" w:bottom="1440" w:gutter="0" w:footer="0" w:header="0"/>
        </w:sectPr>
      </w:pPr>
    </w:p>
    <w:bookmarkStart w:id="206" w:name="page207"/>
    <w:bookmarkEnd w:id="206"/>
    <w:p>
      <w:pPr>
        <w:ind w:left="740" w:right="120" w:firstLine="648"/>
        <w:spacing w:after="0" w:line="263" w:lineRule="auto"/>
        <w:rPr>
          <w:sz w:val="20"/>
          <w:szCs w:val="20"/>
          <w:color w:val="auto"/>
        </w:rPr>
      </w:pPr>
      <w:r>
        <w:rPr>
          <w:rFonts w:ascii="Times New Roman" w:cs="Times New Roman" w:eastAsia="Times New Roman" w:hAnsi="Times New Roman"/>
          <w:sz w:val="19"/>
          <w:szCs w:val="19"/>
          <w:color w:val="auto"/>
        </w:rPr>
        <w:t xml:space="preserve">Upon receipt of such notice, (i) the Borrowers may revoke any pending request for a Borrowing of, or conversion to Term SOFR Loans, or Borrowing of, or continuation of SOFR Daily Floating Rate Loans, Euro Swing Line Rate Loans or Alternative Currency Loans to the extent of the affected SOFR Daily Floating Rate Loans, Euro Swing Line Rate Loans or Alternative Currency Loans or Interest Period or determination date(s), as applicable or, failing that, will be deemed to have converted such request into a request for a Borrowing of Base Rate Loans denominated in Dollars in the Dollar Equivalent of the amount specified therein and (ii) (A) any outstanding Term SOFR Loans and SOFR Daily Floating Rate Loans shall be deemed to have been converted to Base Rate Loans immediately and (B) any outstanding affected Euro Swing Line Rate Loans or Alternative Currency Loans, at the Company’s election, shall either (1) be converted into a Borrowing of Base Rate Loans denominated in Dollars in the Dollar Equivalent of the amount of such outstanding Euro Swing Line Rate Loan or Alternative Currency Loan, as applicable, immediately, in the case of an Alternative Currency Daily Rate Loan or Euro Swing Line Rate Loan or at the end of the applicable Interest Period, in the case of an Alternative Currency Term Rate Loan or (2) be prepaid in full immediately, in the case of an Alternative Currency Daily Rate Loan or Euro Swing Line Rate Loan, or at the end of the applicable Interest Period, in the case of an Alternative Currency Term Rate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 election is made by the Company (x) in the case of an Alternative Currency Daily Rate Loan or Euro Swing Line Rate Loan, by the date that is three Business Days after receipt by the Company of such notice or (y) in the case of an Alternative Currency Term Rate Loan, by the last day of the current Interest Period for the applicable Alternative Currency Term Rate Loan, the Company shall be deemed to have elected clause (1) above.</w:t>
      </w:r>
    </w:p>
    <w:p>
      <w:pPr>
        <w:spacing w:after="0" w:line="219" w:lineRule="exact"/>
        <w:rPr>
          <w:sz w:val="20"/>
          <w:szCs w:val="20"/>
          <w:color w:val="auto"/>
        </w:rPr>
      </w:pPr>
    </w:p>
    <w:p>
      <w:pPr>
        <w:jc w:val="both"/>
        <w:ind w:firstLine="656"/>
        <w:spacing w:after="0" w:line="245" w:lineRule="auto"/>
        <w:tabs>
          <w:tab w:leader="none" w:pos="1293" w:val="left"/>
        </w:tabs>
        <w:numPr>
          <w:ilvl w:val="0"/>
          <w:numId w:val="205"/>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Replacement of SOFR or SOFR Successor Rate</w:t>
      </w:r>
      <w:r>
        <w:rPr>
          <w:rFonts w:ascii="Times New Roman" w:cs="Times New Roman" w:eastAsia="Times New Roman" w:hAnsi="Times New Roman"/>
          <w:sz w:val="20"/>
          <w:szCs w:val="20"/>
          <w:color w:val="auto"/>
        </w:rPr>
        <w:t>. Notwithstanding anything to the contrary in this Agreement or any other Loan Documents, if the Applicable Facility Agent determines (which determination shall be conclusive absent manifest error), or the Company or Required Lenders notify the Applicable Facility Agent (with, in the case of the Required Lenders, a copy to the Company) that the Company or Required Lenders (as applicable) have determined, that:</w:t>
      </w:r>
    </w:p>
    <w:p>
      <w:pPr>
        <w:spacing w:after="0" w:line="207" w:lineRule="exact"/>
        <w:rPr>
          <w:rFonts w:ascii="Arial" w:cs="Arial" w:eastAsia="Arial" w:hAnsi="Arial"/>
          <w:sz w:val="22"/>
          <w:szCs w:val="22"/>
          <w:color w:val="auto"/>
        </w:rPr>
      </w:pPr>
    </w:p>
    <w:p>
      <w:pPr>
        <w:ind w:left="660" w:firstLine="644"/>
        <w:spacing w:after="0" w:line="270" w:lineRule="auto"/>
        <w:tabs>
          <w:tab w:leader="none" w:pos="1945" w:val="left"/>
        </w:tabs>
        <w:numPr>
          <w:ilvl w:val="1"/>
          <w:numId w:val="205"/>
        </w:numPr>
        <w:rPr>
          <w:rFonts w:ascii="Arial" w:cs="Arial" w:eastAsia="Arial" w:hAnsi="Arial"/>
          <w:sz w:val="22"/>
          <w:szCs w:val="22"/>
          <w:color w:val="auto"/>
        </w:rPr>
      </w:pPr>
      <w:r>
        <w:rPr>
          <w:rFonts w:ascii="Times New Roman" w:cs="Times New Roman" w:eastAsia="Times New Roman" w:hAnsi="Times New Roman"/>
          <w:sz w:val="22"/>
          <w:szCs w:val="22"/>
          <w:color w:val="auto"/>
        </w:rPr>
        <w:t>adequate and reasonable means do not exist for ascertaining Term SOFR because Term SOFR is not available or published on a current basis and such circumstances are unlikely to be temporary; or</w:t>
      </w:r>
    </w:p>
    <w:p>
      <w:pPr>
        <w:spacing w:after="0" w:line="158" w:lineRule="exact"/>
        <w:rPr>
          <w:rFonts w:ascii="Arial" w:cs="Arial" w:eastAsia="Arial" w:hAnsi="Arial"/>
          <w:sz w:val="22"/>
          <w:szCs w:val="22"/>
          <w:color w:val="auto"/>
        </w:rPr>
      </w:pPr>
    </w:p>
    <w:p>
      <w:pPr>
        <w:jc w:val="both"/>
        <w:ind w:left="660" w:firstLine="644"/>
        <w:spacing w:after="0" w:line="251" w:lineRule="auto"/>
        <w:tabs>
          <w:tab w:leader="none" w:pos="1953" w:val="left"/>
        </w:tabs>
        <w:numPr>
          <w:ilvl w:val="1"/>
          <w:numId w:val="205"/>
        </w:numPr>
        <w:rPr>
          <w:rFonts w:ascii="Arial" w:cs="Arial" w:eastAsia="Arial" w:hAnsi="Arial"/>
          <w:sz w:val="22"/>
          <w:szCs w:val="22"/>
          <w:color w:val="auto"/>
        </w:rPr>
      </w:pPr>
      <w:r>
        <w:rPr>
          <w:rFonts w:ascii="Times New Roman" w:cs="Times New Roman" w:eastAsia="Times New Roman" w:hAnsi="Times New Roman"/>
          <w:sz w:val="22"/>
          <w:szCs w:val="22"/>
          <w:color w:val="auto"/>
        </w:rPr>
        <w:t>the Applicable Authority has made a public statement identifying a specific date after which Term SOFR shall or will no longer be representative or made available, or permitted to be used for determining the interest rate of syndicated loans denominated in Dollars, or shall or will otherwise cease, provided that, in each case, at the time of such statement, there is no successor administrator that is satisfactory to the Applicable Facility Agent that will continue to provide Term SOFR on a representative basis (the date on which SOFR is no longer representative or available permanently or indefinitely, the “</w:t>
      </w:r>
      <w:r>
        <w:rPr>
          <w:rFonts w:ascii="Times New Roman" w:cs="Times New Roman" w:eastAsia="Times New Roman" w:hAnsi="Times New Roman"/>
          <w:sz w:val="22"/>
          <w:szCs w:val="22"/>
          <w:u w:val="single" w:color="auto"/>
          <w:color w:val="auto"/>
        </w:rPr>
        <w:t>SOFR Scheduled Unavailability Date</w:t>
      </w:r>
      <w:r>
        <w:rPr>
          <w:rFonts w:ascii="Times New Roman" w:cs="Times New Roman" w:eastAsia="Times New Roman" w:hAnsi="Times New Roman"/>
          <w:sz w:val="22"/>
          <w:szCs w:val="22"/>
          <w:color w:val="auto"/>
        </w:rPr>
        <w:t>”);</w:t>
      </w:r>
    </w:p>
    <w:p>
      <w:pPr>
        <w:spacing w:after="0" w:line="157" w:lineRule="exact"/>
        <w:rPr>
          <w:rFonts w:ascii="Arial" w:cs="Arial" w:eastAsia="Arial" w:hAnsi="Arial"/>
          <w:sz w:val="22"/>
          <w:szCs w:val="22"/>
          <w:color w:val="auto"/>
        </w:rPr>
      </w:pPr>
    </w:p>
    <w:p>
      <w:pPr>
        <w:jc w:val="both"/>
        <w:ind w:left="740" w:firstLine="641"/>
        <w:spacing w:after="0" w:line="220" w:lineRule="auto"/>
        <w:tabs>
          <w:tab w:leader="none" w:pos="1953" w:val="left"/>
        </w:tabs>
        <w:numPr>
          <w:ilvl w:val="2"/>
          <w:numId w:val="2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then, on a date and time determined by the Applicable Facility Agent (any such date, the “Term SOFR Replacement Date”), which date shall be at the end of an Interest Period or on the relevant interest payment date, as applicable, for interest calculated and, solely with respect to clause (ii) above, no later than the SOFR Scheduled Unavailability Date, Term SOFR will be replaced hereunder and under any Loan Document with Daily Simple SOFR for any payment period for interest calculated that can be determined by the Applicable Facility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413" w:right="339" w:bottom="1440" w:gutter="0" w:footer="0" w:header="0"/>
        </w:sectPr>
      </w:pPr>
    </w:p>
    <w:bookmarkStart w:id="207" w:name="page208"/>
    <w:bookmarkEnd w:id="207"/>
    <w:p>
      <w:pPr>
        <w:ind w:left="740"/>
        <w:spacing w:after="0"/>
        <w:rPr>
          <w:sz w:val="20"/>
          <w:szCs w:val="20"/>
          <w:color w:val="auto"/>
        </w:rPr>
      </w:pPr>
      <w:r>
        <w:rPr>
          <w:rFonts w:ascii="Times New Roman" w:cs="Times New Roman" w:eastAsia="Times New Roman" w:hAnsi="Times New Roman"/>
          <w:sz w:val="20"/>
          <w:szCs w:val="20"/>
          <w:color w:val="auto"/>
        </w:rPr>
        <w:t>in each case, without any amendment to, or further action or consent of any other party to, this Agreement or any other Loan Document (the “SOFR Successor Rate”</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If the Successor Rate is Daily Simple SOFR, all interest payments will be payable on a monthly basis.</w:t>
      </w:r>
    </w:p>
    <w:p>
      <w:pPr>
        <w:spacing w:after="0" w:line="256" w:lineRule="exact"/>
        <w:rPr>
          <w:sz w:val="20"/>
          <w:szCs w:val="20"/>
          <w:color w:val="auto"/>
        </w:rPr>
      </w:pPr>
    </w:p>
    <w:p>
      <w:pPr>
        <w:jc w:val="both"/>
        <w:ind w:firstLine="235"/>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herein, (i) if the Applicable Facility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20"/>
          <w:szCs w:val="20"/>
          <w:u w:val="single" w:color="auto"/>
          <w:color w:val="auto"/>
        </w:rPr>
        <w:t>Section 3.03(b)(i)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SOFR Successor Rate then in effect, then, the Applicable Facility Agent and the Company may amend this Agreement solely for the purpose of replacing Term SOFR for Dollars or any then current SOFR Successor Rate for Dollars in accordance with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 Dollars for such benchmarks. For the avoidance of doubt, any such proposed rate and adjustments shall constitute a “</w:t>
      </w:r>
      <w:r>
        <w:rPr>
          <w:rFonts w:ascii="Times New Roman" w:cs="Times New Roman" w:eastAsia="Times New Roman" w:hAnsi="Times New Roman"/>
          <w:sz w:val="20"/>
          <w:szCs w:val="20"/>
          <w:u w:val="single" w:color="auto"/>
          <w:color w:val="auto"/>
        </w:rPr>
        <w:t>SOFR Successor Rate</w:t>
      </w:r>
      <w:r>
        <w:rPr>
          <w:rFonts w:ascii="Times New Roman" w:cs="Times New Roman" w:eastAsia="Times New Roman" w:hAnsi="Times New Roman"/>
          <w:sz w:val="20"/>
          <w:szCs w:val="20"/>
          <w:color w:val="auto"/>
        </w:rPr>
        <w:t>”. Any such amendment shall become effective at 5:00 p.m. on the fifth Business Day after the Applicable Facility Agent shall have posted such proposed amendment to all Lenders and the Company unless, prior to such time, Lenders comprising the Required Lenders have delivered to the Applicable Facility Agent written notice that such Required Lenders object to such amendment.</w:t>
      </w:r>
    </w:p>
    <w:p>
      <w:pPr>
        <w:spacing w:after="0" w:line="255" w:lineRule="exact"/>
        <w:rPr>
          <w:sz w:val="20"/>
          <w:szCs w:val="20"/>
          <w:color w:val="auto"/>
        </w:rPr>
      </w:pPr>
    </w:p>
    <w:p>
      <w:pPr>
        <w:jc w:val="both"/>
        <w:ind w:firstLine="656"/>
        <w:spacing w:after="0" w:line="245" w:lineRule="auto"/>
        <w:tabs>
          <w:tab w:leader="none" w:pos="1293" w:val="left"/>
        </w:tabs>
        <w:numPr>
          <w:ilvl w:val="0"/>
          <w:numId w:val="206"/>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Replacement of Relevant Rate or Successor Rate</w:t>
      </w:r>
      <w:r>
        <w:rPr>
          <w:rFonts w:ascii="Times New Roman" w:cs="Times New Roman" w:eastAsia="Times New Roman" w:hAnsi="Times New Roman"/>
          <w:sz w:val="20"/>
          <w:szCs w:val="20"/>
          <w:color w:val="auto"/>
        </w:rPr>
        <w:t>. Notwithstanding anything to the contrary in this Agreement or any other Loan Documents, if the Applicable Facility Agent determines (which determination shall be conclusive absent manifest error), or the Company or Required Lenders notify the Applicable Facility Agent (with, in the case of the Required Lenders, a copy to the Company) that the Company or Required Lenders (as applicable) have determined, that:</w:t>
      </w:r>
    </w:p>
    <w:p>
      <w:pPr>
        <w:spacing w:after="0" w:line="207" w:lineRule="exact"/>
        <w:rPr>
          <w:rFonts w:ascii="Arial" w:cs="Arial" w:eastAsia="Arial" w:hAnsi="Arial"/>
          <w:sz w:val="22"/>
          <w:szCs w:val="22"/>
          <w:color w:val="auto"/>
        </w:rPr>
      </w:pPr>
    </w:p>
    <w:p>
      <w:pPr>
        <w:jc w:val="both"/>
        <w:ind w:left="660" w:right="20" w:firstLine="644"/>
        <w:spacing w:after="0" w:line="256" w:lineRule="auto"/>
        <w:tabs>
          <w:tab w:leader="none" w:pos="1945" w:val="left"/>
        </w:tabs>
        <w:numPr>
          <w:ilvl w:val="1"/>
          <w:numId w:val="206"/>
        </w:numPr>
        <w:rPr>
          <w:rFonts w:ascii="Arial" w:cs="Arial" w:eastAsia="Arial" w:hAnsi="Arial"/>
          <w:sz w:val="22"/>
          <w:szCs w:val="22"/>
          <w:color w:val="auto"/>
        </w:rPr>
      </w:pPr>
      <w:r>
        <w:rPr>
          <w:rFonts w:ascii="Times New Roman" w:cs="Times New Roman" w:eastAsia="Times New Roman" w:hAnsi="Times New Roman"/>
          <w:sz w:val="22"/>
          <w:szCs w:val="22"/>
          <w:color w:val="auto"/>
        </w:rPr>
        <w:t>adequate and reasonable means do not exist for ascertaining the Relevant Rate (other than Term SOFR) for an Agreed Currency (other than Dollars) because none of the tenors of such Relevant Rate (other than SOFR) under this Agreement is available or published on a current basis, and such circumstances are unlikely to be temporary; or</w:t>
      </w:r>
    </w:p>
    <w:p>
      <w:pPr>
        <w:spacing w:after="0" w:line="188" w:lineRule="exact"/>
        <w:rPr>
          <w:rFonts w:ascii="Arial" w:cs="Arial" w:eastAsia="Arial" w:hAnsi="Arial"/>
          <w:sz w:val="22"/>
          <w:szCs w:val="22"/>
          <w:color w:val="auto"/>
        </w:rPr>
      </w:pPr>
    </w:p>
    <w:p>
      <w:pPr>
        <w:jc w:val="both"/>
        <w:ind w:left="660" w:firstLine="644"/>
        <w:spacing w:after="0" w:line="248" w:lineRule="auto"/>
        <w:tabs>
          <w:tab w:leader="none" w:pos="1953" w:val="left"/>
        </w:tabs>
        <w:numPr>
          <w:ilvl w:val="1"/>
          <w:numId w:val="206"/>
        </w:numPr>
        <w:rPr>
          <w:rFonts w:ascii="Arial" w:cs="Arial" w:eastAsia="Arial" w:hAnsi="Arial"/>
          <w:sz w:val="22"/>
          <w:szCs w:val="22"/>
          <w:color w:val="auto"/>
        </w:rPr>
      </w:pPr>
      <w:r>
        <w:rPr>
          <w:rFonts w:ascii="Times New Roman" w:cs="Times New Roman" w:eastAsia="Times New Roman" w:hAnsi="Times New Roman"/>
          <w:sz w:val="22"/>
          <w:szCs w:val="22"/>
          <w:color w:val="auto"/>
        </w:rPr>
        <w:t>the Applicable Authority has made a public statement identifying a specific date after which all tenors of the Relevant Rate (other than Term SOFR)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Applicable Facility Agent that will continue to provide such representative tenor(s) of the Relevant Rate (other than Term SOFR)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 w:cs="Times New Roman" w:eastAsia="Times New Roman" w:hAnsi="Times New Roman"/>
          <w:sz w:val="22"/>
          <w:szCs w:val="22"/>
          <w:u w:val="single" w:color="auto"/>
          <w:color w:val="auto"/>
        </w:rPr>
        <w:t>Scheduled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Unavailability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1900" w:h="16838" w:orient="portrait"/>
          <w:cols w:equalWidth="0" w:num="1">
            <w:col w:w="11240"/>
          </w:cols>
          <w:pgMar w:left="320" w:top="1399" w:right="339" w:bottom="1440" w:gutter="0" w:footer="0" w:header="0"/>
        </w:sectPr>
      </w:pPr>
    </w:p>
    <w:bookmarkStart w:id="208" w:name="page209"/>
    <w:bookmarkEnd w:id="208"/>
    <w:p>
      <w:pPr>
        <w:ind w:left="660"/>
        <w:spacing w:after="0"/>
        <w:rPr>
          <w:sz w:val="20"/>
          <w:szCs w:val="20"/>
          <w:color w:val="auto"/>
        </w:rPr>
      </w:pPr>
      <w:r>
        <w:rPr>
          <w:rFonts w:ascii="Times New Roman" w:cs="Times New Roman" w:eastAsia="Times New Roman" w:hAnsi="Times New Roman"/>
          <w:sz w:val="20"/>
          <w:szCs w:val="20"/>
          <w:color w:val="auto"/>
        </w:rPr>
        <w:t xml:space="preserve">or if the events or circumstances of the type described in </w:t>
      </w:r>
      <w:r>
        <w:rPr>
          <w:rFonts w:ascii="Times New Roman" w:cs="Times New Roman" w:eastAsia="Times New Roman" w:hAnsi="Times New Roman"/>
          <w:sz w:val="20"/>
          <w:szCs w:val="20"/>
          <w:u w:val="single" w:color="auto"/>
          <w:color w:val="auto"/>
        </w:rPr>
        <w:t>Section 3.03(c)(i)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Successor Rate</w:t>
      </w:r>
    </w:p>
    <w:p>
      <w:pPr>
        <w:ind w:left="660"/>
        <w:spacing w:after="0" w:line="204" w:lineRule="auto"/>
        <w:rPr>
          <w:sz w:val="20"/>
          <w:szCs w:val="20"/>
          <w:color w:val="auto"/>
        </w:rPr>
      </w:pPr>
      <w:r>
        <w:rPr>
          <w:rFonts w:ascii="Times New Roman" w:cs="Times New Roman" w:eastAsia="Times New Roman" w:hAnsi="Times New Roman"/>
          <w:sz w:val="20"/>
          <w:szCs w:val="20"/>
          <w:color w:val="auto"/>
        </w:rPr>
        <w:t>then in effect, then, the Applicable Facility Agent and the Company may amend this Agreement solely for the purpose of replacing the Relevant Rate for an Agreed Currency or any then current Successor Rate for an Agreed Currency in accordance with this</w:t>
      </w:r>
    </w:p>
    <w:p>
      <w:pPr>
        <w:ind w:left="660"/>
        <w:spacing w:after="0" w:line="211" w:lineRule="auto"/>
        <w:rPr>
          <w:sz w:val="20"/>
          <w:szCs w:val="20"/>
          <w:color w:val="auto"/>
        </w:rPr>
      </w:pP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with an alternative benchmark rate giving due consideration to any evolving or then existing convention for similar</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credit facilities syndicated and agented in the U.S. and denominated in such Agreed Currency for such alternative benchmarks, and, in each case, including any mathematical or other adjustments to such benchmark giving due consideration to any evolving or then</w:t>
      </w:r>
    </w:p>
    <w:p>
      <w:pPr>
        <w:ind w:left="660"/>
        <w:spacing w:after="0" w:line="211" w:lineRule="auto"/>
        <w:rPr>
          <w:sz w:val="20"/>
          <w:szCs w:val="20"/>
          <w:color w:val="auto"/>
        </w:rPr>
      </w:pPr>
      <w:r>
        <w:rPr>
          <w:rFonts w:ascii="Times New Roman" w:cs="Times New Roman" w:eastAsia="Times New Roman" w:hAnsi="Times New Roman"/>
          <w:sz w:val="20"/>
          <w:szCs w:val="20"/>
          <w:color w:val="auto"/>
        </w:rPr>
        <w:t>existing convention for similar credit facilities syndicated and agented in the U.S. and denominated in such Agreed Currency for</w:t>
      </w:r>
    </w:p>
    <w:p>
      <w:pPr>
        <w:spacing w:after="0" w:line="1" w:lineRule="exact"/>
        <w:rPr>
          <w:sz w:val="20"/>
          <w:szCs w:val="20"/>
          <w:color w:val="auto"/>
        </w:rPr>
      </w:pP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such benchmarks (and any such proposed rate, including for the avoidance of doubt, any adjustment thereto, a “</w:t>
      </w:r>
      <w:r>
        <w:rPr>
          <w:rFonts w:ascii="Times New Roman" w:cs="Times New Roman" w:eastAsia="Times New Roman" w:hAnsi="Times New Roman"/>
          <w:sz w:val="20"/>
          <w:szCs w:val="20"/>
          <w:u w:val="single" w:color="auto"/>
          <w:color w:val="auto"/>
        </w:rPr>
        <w:t>Non-SOFR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and collectively with the SOFR Successor Rate, each a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and any such amendment shall become</w:t>
      </w:r>
    </w:p>
    <w:p>
      <w:pPr>
        <w:ind w:left="660"/>
        <w:spacing w:after="0" w:line="223" w:lineRule="auto"/>
        <w:rPr>
          <w:sz w:val="20"/>
          <w:szCs w:val="20"/>
          <w:color w:val="auto"/>
        </w:rPr>
      </w:pPr>
      <w:r>
        <w:rPr>
          <w:rFonts w:ascii="Times New Roman" w:cs="Times New Roman" w:eastAsia="Times New Roman" w:hAnsi="Times New Roman"/>
          <w:sz w:val="19"/>
          <w:szCs w:val="19"/>
          <w:color w:val="auto"/>
        </w:rPr>
        <w:t>effective at 5:00 p.m. on the fifth Business Day after the Applicable Facility Agent shall have posted such proposed amendment to all</w:t>
      </w:r>
    </w:p>
    <w:p>
      <w:pPr>
        <w:ind w:left="660"/>
        <w:spacing w:after="0" w:line="221" w:lineRule="auto"/>
        <w:rPr>
          <w:sz w:val="20"/>
          <w:szCs w:val="20"/>
          <w:color w:val="auto"/>
        </w:rPr>
      </w:pPr>
      <w:r>
        <w:rPr>
          <w:rFonts w:ascii="Times New Roman" w:cs="Times New Roman" w:eastAsia="Times New Roman" w:hAnsi="Times New Roman"/>
          <w:sz w:val="20"/>
          <w:szCs w:val="20"/>
          <w:color w:val="auto"/>
        </w:rPr>
        <w:t>Lenders and the Company unless, prior to such time, Lenders comprising the Required Lenders have delivered to the Applicable Facility Agent written notice that such Required Lenders object to such amendment.</w:t>
      </w:r>
    </w:p>
    <w:p>
      <w:pPr>
        <w:spacing w:after="0" w:line="202" w:lineRule="exact"/>
        <w:rPr>
          <w:sz w:val="20"/>
          <w:szCs w:val="20"/>
          <w:color w:val="auto"/>
        </w:rPr>
      </w:pPr>
    </w:p>
    <w:p>
      <w:pPr>
        <w:ind w:left="740" w:firstLine="641"/>
        <w:spacing w:after="0" w:line="245" w:lineRule="auto"/>
        <w:tabs>
          <w:tab w:leader="none" w:pos="1946" w:val="left"/>
        </w:tabs>
        <w:numPr>
          <w:ilvl w:val="0"/>
          <w:numId w:val="207"/>
        </w:numPr>
        <w:rPr>
          <w:rFonts w:ascii="Arial" w:cs="Arial" w:eastAsia="Arial" w:hAnsi="Arial"/>
          <w:sz w:val="22"/>
          <w:szCs w:val="22"/>
          <w:color w:val="auto"/>
        </w:rPr>
      </w:pP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The Applicable Facility Agent will promptly (in one or more notices) notify the Company and each Lender of the implementation of any Successor Rate.</w:t>
      </w:r>
    </w:p>
    <w:p>
      <w:pPr>
        <w:spacing w:after="0" w:line="195" w:lineRule="exact"/>
        <w:rPr>
          <w:sz w:val="20"/>
          <w:szCs w:val="20"/>
          <w:color w:val="auto"/>
        </w:rPr>
      </w:pPr>
    </w:p>
    <w:p>
      <w:pPr>
        <w:ind w:left="740" w:right="100" w:firstLine="835"/>
        <w:spacing w:after="0" w:line="261" w:lineRule="auto"/>
        <w:rPr>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Applicable Facility Agent, such Successor Rate shall be applied in a manner as otherwise reasonably determined by the Applicable Facility Agent.</w:t>
      </w:r>
    </w:p>
    <w:p>
      <w:pPr>
        <w:spacing w:after="0" w:line="181" w:lineRule="exact"/>
        <w:rPr>
          <w:sz w:val="20"/>
          <w:szCs w:val="20"/>
          <w:color w:val="auto"/>
        </w:rPr>
      </w:pPr>
    </w:p>
    <w:p>
      <w:pPr>
        <w:ind w:left="740" w:right="240" w:firstLine="846"/>
        <w:spacing w:after="0" w:line="269"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73" w:lineRule="exact"/>
        <w:rPr>
          <w:sz w:val="20"/>
          <w:szCs w:val="20"/>
          <w:color w:val="auto"/>
        </w:rPr>
      </w:pPr>
    </w:p>
    <w:p>
      <w:pPr>
        <w:ind w:left="740" w:right="160" w:firstLine="846"/>
        <w:spacing w:after="0" w:line="253"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Rate the Applicable Facility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Applicable Facility Agent shall post each such amendment implementing such Conforming Changes to the Company and the Lenders reasonably promptly after such amendment becomes effective.</w:t>
      </w:r>
    </w:p>
    <w:p>
      <w:pPr>
        <w:spacing w:after="0" w:line="219" w:lineRule="exact"/>
        <w:rPr>
          <w:sz w:val="20"/>
          <w:szCs w:val="20"/>
          <w:color w:val="auto"/>
        </w:rPr>
      </w:pPr>
    </w:p>
    <w:p>
      <w:pPr>
        <w:ind w:firstLine="656"/>
        <w:spacing w:after="0" w:line="245" w:lineRule="auto"/>
        <w:tabs>
          <w:tab w:leader="none" w:pos="1285" w:val="left"/>
        </w:tabs>
        <w:numPr>
          <w:ilvl w:val="0"/>
          <w:numId w:val="208"/>
        </w:numPr>
        <w:rPr>
          <w:rFonts w:ascii="Arial" w:cs="Arial" w:eastAsia="Arial" w:hAnsi="Arial"/>
          <w:sz w:val="22"/>
          <w:szCs w:val="22"/>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those Lenders that either have not made, or do not have an obligation under this Agreement to make, the relevant Loans in the relevant Alternative Currency shall be excluded from any determination of Required Lenders.</w:t>
      </w:r>
    </w:p>
    <w:p>
      <w:pPr>
        <w:spacing w:after="0" w:line="20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3.04</w:t>
      </w:r>
      <w:r>
        <w:rPr>
          <w:sz w:val="20"/>
          <w:szCs w:val="20"/>
          <w:color w:val="auto"/>
        </w:rPr>
        <w:tab/>
      </w: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19"/>
          <w:szCs w:val="19"/>
          <w:color w:val="auto"/>
        </w:rPr>
        <w:t>. (a)</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19"/>
          <w:szCs w:val="19"/>
          <w:u w:val="single" w:color="auto"/>
          <w:color w:val="auto"/>
        </w:rPr>
        <w:t>Increased Costs Generally</w:t>
      </w:r>
      <w:r>
        <w:rPr>
          <w:rFonts w:ascii="Times New Roman" w:cs="Times New Roman" w:eastAsia="Times New Roman" w:hAnsi="Times New Roman"/>
          <w:sz w:val="19"/>
          <w:szCs w:val="19"/>
          <w:color w:val="auto"/>
        </w:rPr>
        <w:t>. If any Change in Law shall:</w:t>
      </w:r>
    </w:p>
    <w:p>
      <w:pPr>
        <w:spacing w:after="0" w:line="28" w:lineRule="exact"/>
        <w:rPr>
          <w:sz w:val="20"/>
          <w:szCs w:val="20"/>
          <w:color w:val="auto"/>
        </w:rPr>
      </w:pPr>
    </w:p>
    <w:p>
      <w:pPr>
        <w:jc w:val="both"/>
        <w:ind w:left="660" w:right="20" w:firstLine="644"/>
        <w:spacing w:after="0" w:line="252" w:lineRule="auto"/>
        <w:tabs>
          <w:tab w:leader="none" w:pos="194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Recipient to any Taxes (other than (A) Indemnified Taxes, (B) Taxes described in clauses (b) through (d) of the definition of Excluded Taxes and (C) Connection Income Taxes) on its loans, loan principal, letters of credit, commitments,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1900" w:h="16838" w:orient="portrait"/>
          <w:cols w:equalWidth="0" w:num="1">
            <w:col w:w="11240"/>
          </w:cols>
          <w:pgMar w:left="320" w:top="1394" w:right="339" w:bottom="1440" w:gutter="0" w:footer="0" w:header="0"/>
        </w:sectPr>
      </w:pPr>
    </w:p>
    <w:bookmarkStart w:id="209" w:name="page210"/>
    <w:bookmarkEnd w:id="209"/>
    <w:p>
      <w:pPr>
        <w:ind w:left="660"/>
        <w:spacing w:after="0"/>
        <w:rPr>
          <w:sz w:val="20"/>
          <w:szCs w:val="20"/>
          <w:color w:val="auto"/>
        </w:rPr>
      </w:pPr>
      <w:r>
        <w:rPr>
          <w:rFonts w:ascii="Times New Roman" w:cs="Times New Roman" w:eastAsia="Times New Roman" w:hAnsi="Times New Roman"/>
          <w:sz w:val="22"/>
          <w:szCs w:val="22"/>
          <w:color w:val="auto"/>
        </w:rPr>
        <w:t>other obligations, or its deposits, reserves, other liabilities or capital attributable thereto; or</w:t>
      </w:r>
    </w:p>
    <w:p>
      <w:pPr>
        <w:spacing w:after="0" w:line="220" w:lineRule="exact"/>
        <w:rPr>
          <w:sz w:val="20"/>
          <w:szCs w:val="20"/>
          <w:color w:val="auto"/>
        </w:rPr>
      </w:pPr>
    </w:p>
    <w:p>
      <w:pPr>
        <w:jc w:val="both"/>
        <w:ind w:left="660" w:right="20" w:firstLine="644"/>
        <w:spacing w:after="0" w:line="263" w:lineRule="auto"/>
        <w:tabs>
          <w:tab w:leader="none" w:pos="195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the L/C Issuer or any applicable interbank market any other condition, cost or expense affecting this Agreement or Term SOFR Loans made by such Lender or Alternative Currency Loans made by such Lender or any Letter of Credit or participation therein;</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Company will pay (or cause the applicable Designated Borrower to pay) to such Lender or the L/C Issuer, as the case may be, such additional amount or amounts as will compensate such Lender or the L/C Issuer, as the case may be, for such additional costs incurred or reduction suffered.</w:t>
      </w:r>
    </w:p>
    <w:p>
      <w:pPr>
        <w:spacing w:after="0" w:line="182" w:lineRule="exact"/>
        <w:rPr>
          <w:sz w:val="20"/>
          <w:szCs w:val="20"/>
          <w:color w:val="auto"/>
        </w:rPr>
      </w:pPr>
    </w:p>
    <w:p>
      <w:pPr>
        <w:jc w:val="both"/>
        <w:ind w:firstLine="656"/>
        <w:spacing w:after="0" w:line="248" w:lineRule="auto"/>
        <w:tabs>
          <w:tab w:leader="none" w:pos="1293"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Requirements</w:t>
      </w:r>
      <w:r>
        <w:rPr>
          <w:rFonts w:ascii="Times New Roman" w:cs="Times New Roman" w:eastAsia="Times New Roman" w:hAnsi="Times New Roman"/>
          <w:sz w:val="22"/>
          <w:szCs w:val="22"/>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Company will pay (or cause the applicable Designated borrower to pay) to such Lender or the L/C Issuer, as the case may be, such additional amount or amounts as will compensate such Lender or the L/C Issuer or such Lender’s or the L/C Issuer’s holding company for any such reduction suffered.</w:t>
      </w:r>
    </w:p>
    <w:p>
      <w:pPr>
        <w:spacing w:after="0" w:line="188" w:lineRule="exact"/>
        <w:rPr>
          <w:rFonts w:ascii="Times New Roman" w:cs="Times New Roman" w:eastAsia="Times New Roman" w:hAnsi="Times New Roman"/>
          <w:sz w:val="22"/>
          <w:szCs w:val="22"/>
          <w:color w:val="auto"/>
        </w:rPr>
      </w:pPr>
    </w:p>
    <w:p>
      <w:pPr>
        <w:jc w:val="both"/>
        <w:ind w:firstLine="656"/>
        <w:spacing w:after="0" w:line="261" w:lineRule="auto"/>
        <w:tabs>
          <w:tab w:leader="none" w:pos="1291"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for Reimbursement</w:t>
      </w:r>
      <w:r>
        <w:rPr>
          <w:rFonts w:ascii="Times New Roman" w:cs="Times New Roman" w:eastAsia="Times New Roman" w:hAnsi="Times New Roman"/>
          <w:sz w:val="22"/>
          <w:szCs w:val="22"/>
          <w:color w:val="auto"/>
        </w:rPr>
        <w:t xml:space="preserve">. A certificate of a Lender or the L/C Issuer setting forth the amount or amounts necessary to compensate such Lender or the L/C Issuer or its holding company, as the case may be, as specified in </w:t>
      </w:r>
      <w:r>
        <w:rPr>
          <w:rFonts w:ascii="Times New Roman" w:cs="Times New Roman" w:eastAsia="Times New Roman" w:hAnsi="Times New Roman"/>
          <w:sz w:val="22"/>
          <w:szCs w:val="22"/>
          <w:u w:val="single" w:color="auto"/>
          <w:color w:val="auto"/>
        </w:rPr>
        <w:t>subsection</w:t>
      </w:r>
    </w:p>
    <w:p>
      <w:pPr>
        <w:jc w:val="both"/>
        <w:ind w:firstLine="8"/>
        <w:spacing w:after="0" w:line="245" w:lineRule="auto"/>
        <w:tabs>
          <w:tab w:leader="none" w:pos="314" w:val="left"/>
        </w:tabs>
        <w:numPr>
          <w:ilvl w:val="0"/>
          <w:numId w:val="21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and delivered to the Company shall be conclusive absent manifest error. The Company shall pay (or cause the applicable Designated Borrower to pay) such Lender or the L/C Issuer, as the case may be, the amount shown as due on any such certificate within 10 days after receipt thereof.</w:t>
      </w:r>
    </w:p>
    <w:p>
      <w:pPr>
        <w:spacing w:after="0" w:line="186" w:lineRule="exact"/>
        <w:rPr>
          <w:rFonts w:ascii="Times New Roman" w:cs="Times New Roman" w:eastAsia="Times New Roman" w:hAnsi="Times New Roman"/>
          <w:sz w:val="22"/>
          <w:szCs w:val="22"/>
          <w:u w:val="single" w:color="auto"/>
          <w:color w:val="auto"/>
        </w:rPr>
      </w:pPr>
    </w:p>
    <w:p>
      <w:pPr>
        <w:jc w:val="both"/>
        <w:ind w:firstLine="656"/>
        <w:spacing w:after="0" w:line="263" w:lineRule="auto"/>
        <w:tabs>
          <w:tab w:leader="none" w:pos="1293"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xml:space="preserve">. Failure or delay on the part of any Lender or the L/C Issuer to demand compensation pursuant to the foregoing provisions of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shall not constitute a waiver of such Lender’s or the L/C Issuer’s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Borrower shall be required to compensate a Lender or the L/C Issuer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1900" w:h="16838" w:orient="portrait"/>
          <w:cols w:equalWidth="0" w:num="1">
            <w:col w:w="11240"/>
          </w:cols>
          <w:pgMar w:left="320" w:top="1422" w:right="339" w:bottom="1440" w:gutter="0" w:footer="0" w:header="0"/>
        </w:sectPr>
      </w:pPr>
    </w:p>
    <w:bookmarkStart w:id="210" w:name="page211"/>
    <w:bookmarkEnd w:id="210"/>
    <w:p>
      <w:pPr>
        <w:jc w:val="both"/>
        <w:spacing w:after="0" w:line="253" w:lineRule="auto"/>
        <w:rPr>
          <w:sz w:val="20"/>
          <w:szCs w:val="20"/>
          <w:color w:val="auto"/>
        </w:rPr>
      </w:pPr>
      <w:r>
        <w:rPr>
          <w:rFonts w:ascii="Times New Roman" w:cs="Times New Roman" w:eastAsia="Times New Roman" w:hAnsi="Times New Roman"/>
          <w:sz w:val="22"/>
          <w:szCs w:val="22"/>
          <w:color w:val="auto"/>
        </w:rPr>
        <w:t>to the foregoing provisions of this Section for any increased costs incurred or reductions suffered more than nine months prior to the date that such Lender or the L/C Issuer, as the case may be, notifies the Company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3.05 </w:t>
      </w:r>
      <w:r>
        <w:rPr>
          <w:rFonts w:ascii="Times New Roman" w:cs="Times New Roman" w:eastAsia="Times New Roman" w:hAnsi="Times New Roman"/>
          <w:sz w:val="22"/>
          <w:szCs w:val="22"/>
          <w:u w:val="single" w:color="auto"/>
          <w:color w:val="auto"/>
        </w:rPr>
        <w:t>Compensation for Losses</w:t>
      </w:r>
      <w:r>
        <w:rPr>
          <w:rFonts w:ascii="Times New Roman" w:cs="Times New Roman" w:eastAsia="Times New Roman" w:hAnsi="Times New Roman"/>
          <w:sz w:val="19"/>
          <w:szCs w:val="19"/>
          <w:color w:val="auto"/>
        </w:rPr>
        <w:t>. Upon demand of any Lender (with a copy to the applicable Administrative Agent) from time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time, the Company shall promptly compensate (or cause the applicable Designated Borrower to compensate) such Lender for and hold such Lender harmless from any loss, cost or expense incurred by it as a result of:</w:t>
      </w:r>
    </w:p>
    <w:p>
      <w:pPr>
        <w:spacing w:after="0" w:line="2" w:lineRule="exact"/>
        <w:rPr>
          <w:sz w:val="20"/>
          <w:szCs w:val="20"/>
          <w:color w:val="auto"/>
        </w:rPr>
      </w:pPr>
    </w:p>
    <w:p>
      <w:pPr>
        <w:jc w:val="both"/>
        <w:ind w:right="20" w:firstLine="656"/>
        <w:spacing w:after="0" w:line="254" w:lineRule="auto"/>
        <w:tabs>
          <w:tab w:leader="none" w:pos="1293"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75"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any Borrower (for a reason other than the failure of such Lender to make a Loan) to prepay, borrow, continue or convert any Loan other than a Base Rate Loan on the date or in the amount notified by the Company or the applicable Designated Borrower;</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assignment of an Alternative Currency Term Rate Loan on a day other than the last day of the Interest Period therefor as a result of a request by the Company pursuant to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or</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any Borrower to make payment of any Loan (or interest due thereon) denominated in an Alternative Currency on its scheduled due date or any payment thereof in a different currency;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Company shall also pay (or cause the applicable Designated Borrower to pay) any customary administrative fees charged by such Lender in connection with the foregoing.</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For purposes of calculating amounts payable by the Company (or the applicable Designated Borrower) to the Lenders under this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each Lender shall be deemed to have funded each Term SOFR Loan or Alternative Currency Term Rate Loan made by it at the Term SOFR rate or Alternative Currency Term Rate, as applicable, for such Loan by a matching deposit or other borrowing in the offshore interbank market for such currency for a comparable amount and for a comparable period, whether or not such Term SOFR Loan or Alternative Currency Term Rate Loan, as applicable, was in fact so funded.</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3.06</w:t>
      </w:r>
      <w:r>
        <w:rPr>
          <w:sz w:val="20"/>
          <w:szCs w:val="20"/>
          <w:color w:val="auto"/>
        </w:rPr>
        <w:tab/>
      </w:r>
      <w:r>
        <w:rPr>
          <w:rFonts w:ascii="Times New Roman" w:cs="Times New Roman" w:eastAsia="Times New Roman" w:hAnsi="Times New Roman"/>
          <w:sz w:val="22"/>
          <w:szCs w:val="22"/>
          <w:u w:val="single" w:color="auto"/>
          <w:color w:val="auto"/>
        </w:rPr>
        <w:t>Mitigation Obligations; Replacement of Lenders</w:t>
      </w:r>
      <w:r>
        <w:rPr>
          <w:rFonts w:ascii="Times New Roman" w:cs="Times New Roman" w:eastAsia="Times New Roman" w:hAnsi="Times New Roman"/>
          <w:sz w:val="19"/>
          <w:szCs w:val="19"/>
          <w:color w:val="auto"/>
        </w:rPr>
        <w:t>. (a)</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19"/>
          <w:szCs w:val="19"/>
          <w:u w:val="single" w:color="auto"/>
          <w:color w:val="auto"/>
        </w:rPr>
        <w:t>Designation of a Different Lending Office</w:t>
      </w:r>
      <w:r>
        <w:rPr>
          <w:rFonts w:ascii="Times New Roman" w:cs="Times New Roman" w:eastAsia="Times New Roman" w:hAnsi="Times New Roman"/>
          <w:sz w:val="19"/>
          <w:szCs w:val="19"/>
          <w:color w:val="auto"/>
        </w:rPr>
        <w:t>. Each Lender may make</w:t>
      </w:r>
    </w:p>
    <w:p>
      <w:pPr>
        <w:spacing w:after="0" w:line="2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any Credit Extension to any Borrower through any Lending Office, provided that the exercise of this option shall not affect the obligation of any Borrower to repay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1900" w:h="16838" w:orient="portrait"/>
          <w:cols w:equalWidth="0" w:num="1">
            <w:col w:w="11240"/>
          </w:cols>
          <w:pgMar w:left="320" w:top="1422" w:right="339" w:bottom="1440" w:gutter="0" w:footer="0" w:header="0"/>
        </w:sectPr>
      </w:pPr>
    </w:p>
    <w:bookmarkStart w:id="211" w:name="page212"/>
    <w:bookmarkEnd w:id="211"/>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Credit Extension in accordance with the terms of this Agreement.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requires any 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at the request of the Company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or the L/C Issuer, as the case may be, to any unreimbursed cost or expense and would not otherwise be disadvantageous to such Lender or the L/C Issuer, as the case may be. The Company hereby agrees to pay (or cause the applicable Designated Borrower to pay) all reasonable costs and expenses incurred by any Lender or the L/C Issuer in connection with any such designation or assignment.</w:t>
      </w:r>
    </w:p>
    <w:p>
      <w:pPr>
        <w:spacing w:after="0" w:line="10" w:lineRule="exact"/>
        <w:rPr>
          <w:sz w:val="20"/>
          <w:szCs w:val="20"/>
          <w:color w:val="auto"/>
        </w:rPr>
      </w:pPr>
    </w:p>
    <w:p>
      <w:pPr>
        <w:jc w:val="both"/>
        <w:ind w:firstLine="656"/>
        <w:spacing w:after="0" w:line="250" w:lineRule="auto"/>
        <w:tabs>
          <w:tab w:leader="none" w:pos="1293"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and in each case, such Lender has declined or is unable to designate a different lending office in accordance with </w:t>
      </w:r>
      <w:r>
        <w:rPr>
          <w:rFonts w:ascii="Times New Roman" w:cs="Times New Roman" w:eastAsia="Times New Roman" w:hAnsi="Times New Roman"/>
          <w:sz w:val="22"/>
          <w:szCs w:val="22"/>
          <w:u w:val="single" w:color="auto"/>
          <w:color w:val="auto"/>
        </w:rPr>
        <w:t>Section 3.06(a)</w:t>
      </w:r>
      <w:r>
        <w:rPr>
          <w:rFonts w:ascii="Times New Roman" w:cs="Times New Roman" w:eastAsia="Times New Roman" w:hAnsi="Times New Roman"/>
          <w:sz w:val="22"/>
          <w:szCs w:val="22"/>
          <w:color w:val="auto"/>
        </w:rPr>
        <w:t xml:space="preserve">, the Company may replace such Lender in accordance with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3.07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19"/>
          <w:szCs w:val="19"/>
          <w:color w:val="auto"/>
        </w:rPr>
        <w:t>. All obligations of the Loan Parties under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shall survive termination of the Aggregate Commitments,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repayment of all other Obligations hereunder, and resignation of any Administrative Agent.</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ARTICLE IV</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PRECEDENT TO CREDIT EXTENSIONS</w:t>
      </w:r>
    </w:p>
    <w:p>
      <w:pPr>
        <w:spacing w:after="0" w:line="207"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4.01 </w:t>
      </w:r>
      <w:r>
        <w:rPr>
          <w:rFonts w:ascii="Times New Roman" w:cs="Times New Roman" w:eastAsia="Times New Roman" w:hAnsi="Times New Roman"/>
          <w:sz w:val="22"/>
          <w:szCs w:val="22"/>
          <w:u w:val="single" w:color="auto"/>
          <w:color w:val="auto"/>
        </w:rPr>
        <w:t>Conditions to Amendment No. 4 Effective Date</w:t>
      </w:r>
      <w:r>
        <w:rPr>
          <w:rFonts w:ascii="Times New Roman" w:cs="Times New Roman" w:eastAsia="Times New Roman" w:hAnsi="Times New Roman"/>
          <w:sz w:val="19"/>
          <w:szCs w:val="19"/>
          <w:color w:val="auto"/>
        </w:rPr>
        <w:t>. Amendment No. 4 shall become effective on the date of satisfaction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conditions to the Amendment No. 4 Effective Date set forth in Amendment No. 4.</w:t>
      </w:r>
    </w:p>
    <w:p>
      <w:pPr>
        <w:spacing w:after="0" w:line="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4.02 </w:t>
      </w:r>
      <w:r>
        <w:rPr>
          <w:rFonts w:ascii="Times New Roman" w:cs="Times New Roman" w:eastAsia="Times New Roman" w:hAnsi="Times New Roman"/>
          <w:sz w:val="22"/>
          <w:szCs w:val="22"/>
          <w:u w:val="single" w:color="auto"/>
          <w:color w:val="auto"/>
        </w:rPr>
        <w:t>Conditions to All Credit Extensions</w:t>
      </w:r>
      <w:r>
        <w:rPr>
          <w:rFonts w:ascii="Times New Roman" w:cs="Times New Roman" w:eastAsia="Times New Roman" w:hAnsi="Times New Roman"/>
          <w:sz w:val="19"/>
          <w:szCs w:val="19"/>
          <w:color w:val="auto"/>
        </w:rPr>
        <w:t>. Subject to the terms of 1.03(d)(iii), to the extent the proceeds of any Loan are being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used to finance a Limited Condition Transaction, the obligation of each Lender to honor any Request for Credit Extension (other than the initial Credit Extension and a Committed Loan Notice requesting only a conversion of Loans to the other Type, or a continuation of Term SOFR Loans or Alternative Currency Term Rate Loans) is subject to the following conditions precedent:</w:t>
      </w:r>
    </w:p>
    <w:p>
      <w:pPr>
        <w:spacing w:after="0" w:line="1" w:lineRule="exact"/>
        <w:rPr>
          <w:sz w:val="20"/>
          <w:szCs w:val="20"/>
          <w:color w:val="auto"/>
        </w:rPr>
      </w:pPr>
    </w:p>
    <w:p>
      <w:pPr>
        <w:jc w:val="both"/>
        <w:ind w:firstLine="656"/>
        <w:spacing w:after="0" w:line="249" w:lineRule="auto"/>
        <w:tabs>
          <w:tab w:leader="none" w:pos="1293"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(i) the Borrowers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and (ii) each Loan Party contained in each other Loan Document, or which are contained in any document delivered pursuant hereto or pursuant to another Loan Document shall be true and correct in all material respects (or, with respect to representations and warranties modified by materiality standards or Material Adverse Effect, in all respects) on and as of the date of such Credit Extension, except to the extent that such representations and warranties specifically refer to an earlier date, in which case they shall be true and correct in all material respects (or, with respect to representations and warranties modified by materiality standards or Material Adverse Effect, in all respects) as of such earlier date, and except that for purposes of this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ectPr>
          <w:pgSz w:w="11900" w:h="16838" w:orient="portrait"/>
          <w:cols w:equalWidth="0" w:num="1">
            <w:col w:w="11240"/>
          </w:cols>
          <w:pgMar w:left="320" w:top="1413" w:right="339" w:bottom="1440" w:gutter="0" w:footer="0" w:header="0"/>
        </w:sectPr>
      </w:pPr>
    </w:p>
    <w:bookmarkStart w:id="212" w:name="page213"/>
    <w:bookmarkEnd w:id="212"/>
    <w:p>
      <w:pPr>
        <w:spacing w:after="0" w:line="271" w:lineRule="auto"/>
        <w:rPr>
          <w:sz w:val="20"/>
          <w:szCs w:val="20"/>
          <w:color w:val="auto"/>
        </w:rPr>
      </w:pPr>
      <w:r>
        <w:rPr>
          <w:rFonts w:ascii="Times New Roman" w:cs="Times New Roman" w:eastAsia="Times New Roman" w:hAnsi="Times New Roman"/>
          <w:sz w:val="22"/>
          <w:szCs w:val="22"/>
          <w:color w:val="auto"/>
        </w:rPr>
        <w:t xml:space="preserve">the representations and warranties contained in </w:t>
      </w:r>
      <w:r>
        <w:rPr>
          <w:rFonts w:ascii="Times New Roman" w:cs="Times New Roman" w:eastAsia="Times New Roman" w:hAnsi="Times New Roman"/>
          <w:sz w:val="22"/>
          <w:szCs w:val="22"/>
          <w:u w:val="single" w:color="auto"/>
          <w:color w:val="auto"/>
        </w:rPr>
        <w:t>Sections 5.05(a)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shall be deemed to refer to the most recent statements furnished pursuant to </w:t>
      </w:r>
      <w:r>
        <w:rPr>
          <w:rFonts w:ascii="Times New Roman" w:cs="Times New Roman" w:eastAsia="Times New Roman" w:hAnsi="Times New Roman"/>
          <w:sz w:val="22"/>
          <w:szCs w:val="22"/>
          <w:u w:val="single" w:color="auto"/>
          <w:color w:val="auto"/>
        </w:rPr>
        <w:t>Sections 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respectively.</w:t>
      </w:r>
    </w:p>
    <w:p>
      <w:pPr>
        <w:spacing w:after="0" w:line="158" w:lineRule="exact"/>
        <w:rPr>
          <w:sz w:val="20"/>
          <w:szCs w:val="20"/>
          <w:color w:val="auto"/>
        </w:rPr>
      </w:pPr>
    </w:p>
    <w:p>
      <w:pPr>
        <w:ind w:firstLine="656"/>
        <w:spacing w:after="0" w:line="284" w:lineRule="auto"/>
        <w:tabs>
          <w:tab w:leader="none" w:pos="129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exist, or would result from such proposed Credit Extension or from the application of the proceeds thereof.</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if applicable, the L/C Issuer or the applicable Swing Line Lender shall have received a Request for Credit Extension in accordance with the requirements hereof.</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applicable Borrower is a Designated Borrower, then the conditions of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to the designation of such Borrower as a Designated Borrower shall have been met to the satisfaction of the Administrative Agent.</w:t>
      </w:r>
    </w:p>
    <w:p>
      <w:pPr>
        <w:spacing w:after="0" w:line="17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Credit Extension to be denominated in an Alternative Currency, such currency remains an Eligible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Currency.</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Each Request for Credit Extension (other than a Committed Loan Notice requesting only a conversion of Loans to the other Type, or a continuation of Term SOFR Loans or Alternative Currency Term Rate Loans) submitted by the Company shall be deemed to be a representation and warranty that the conditions specified in </w:t>
      </w:r>
      <w:r>
        <w:rPr>
          <w:rFonts w:ascii="Times New Roman" w:cs="Times New Roman" w:eastAsia="Times New Roman" w:hAnsi="Times New Roman"/>
          <w:sz w:val="22"/>
          <w:szCs w:val="22"/>
          <w:u w:val="single" w:color="auto"/>
          <w:color w:val="auto"/>
        </w:rPr>
        <w:t>Sections 4.02(a)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have been satisfied on and as of the date of the applicable Credit Extension.</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w:t>
      </w:r>
    </w:p>
    <w:p>
      <w:pPr>
        <w:spacing w:after="0" w:line="2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Each Borrower, as to itself and to each of its Restricted Subsidiaries, represents and warrants to each Administrative Agent and the Lenders that: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5.01 </w:t>
      </w:r>
      <w:r>
        <w:rPr>
          <w:rFonts w:ascii="Times New Roman" w:cs="Times New Roman" w:eastAsia="Times New Roman" w:hAnsi="Times New Roman"/>
          <w:sz w:val="22"/>
          <w:szCs w:val="22"/>
          <w:u w:val="single" w:color="auto"/>
          <w:color w:val="auto"/>
        </w:rPr>
        <w:t>Existence, Qualification and Power</w:t>
      </w:r>
      <w:r>
        <w:rPr>
          <w:rFonts w:ascii="Times New Roman" w:cs="Times New Roman" w:eastAsia="Times New Roman" w:hAnsi="Times New Roman"/>
          <w:sz w:val="19"/>
          <w:szCs w:val="19"/>
          <w:color w:val="auto"/>
        </w:rPr>
        <w:t>. Each Loan Party and each of its Restricted Subsidiaries (a) is duly organized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Transactions,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would not reasonably be expected to have a Material Adverse Effect.</w:t>
      </w: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5.02 </w:t>
      </w:r>
      <w:r>
        <w:rPr>
          <w:rFonts w:ascii="Times New Roman" w:cs="Times New Roman" w:eastAsia="Times New Roman" w:hAnsi="Times New Roman"/>
          <w:sz w:val="22"/>
          <w:szCs w:val="22"/>
          <w:u w:val="single" w:color="auto"/>
          <w:color w:val="auto"/>
        </w:rPr>
        <w:t>Authorization; No Contravention</w:t>
      </w:r>
      <w:r>
        <w:rPr>
          <w:rFonts w:ascii="Times New Roman" w:cs="Times New Roman" w:eastAsia="Times New Roman" w:hAnsi="Times New Roman"/>
          <w:sz w:val="19"/>
          <w:szCs w:val="19"/>
          <w:color w:val="auto"/>
        </w:rPr>
        <w:t>. The execution, delivery and performance by each Loan Party of each Loan Document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1900" w:h="16838" w:orient="portrait"/>
          <w:cols w:equalWidth="0" w:num="1">
            <w:col w:w="11240"/>
          </w:cols>
          <w:pgMar w:left="320" w:top="1422"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0"/>
          <w:szCs w:val="20"/>
          <w:color w:val="auto"/>
        </w:rPr>
        <w:t xml:space="preserve">Authority or any arbitral award to which such Person or its property is subject; or (c) violate any Law, except in the cases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and</w:t>
      </w:r>
    </w:p>
    <w:p>
      <w:pPr>
        <w:spacing w:after="0" w:line="28" w:lineRule="exact"/>
        <w:rPr>
          <w:sz w:val="20"/>
          <w:szCs w:val="20"/>
          <w:color w:val="auto"/>
        </w:rPr>
      </w:pPr>
    </w:p>
    <w:p>
      <w:pPr>
        <w:ind w:left="280" w:hanging="272"/>
        <w:spacing w:after="0"/>
        <w:tabs>
          <w:tab w:leader="none" w:pos="280" w:val="left"/>
        </w:tabs>
        <w:numPr>
          <w:ilvl w:val="0"/>
          <w:numId w:val="2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as would not reasonably be expected to have a Material Adverse Effect.</w:t>
      </w:r>
    </w:p>
    <w:p>
      <w:pPr>
        <w:spacing w:after="0" w:line="1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5.03 </w:t>
      </w:r>
      <w:r>
        <w:rPr>
          <w:rFonts w:ascii="Times New Roman" w:cs="Times New Roman" w:eastAsia="Times New Roman" w:hAnsi="Times New Roman"/>
          <w:sz w:val="22"/>
          <w:szCs w:val="22"/>
          <w:u w:val="single" w:color="auto"/>
          <w:color w:val="auto"/>
        </w:rPr>
        <w:t>Governmental Authorization; Other Consents</w:t>
      </w:r>
      <w:r>
        <w:rPr>
          <w:rFonts w:ascii="Times New Roman" w:cs="Times New Roman" w:eastAsia="Times New Roman" w:hAnsi="Times New Roman"/>
          <w:sz w:val="19"/>
          <w:szCs w:val="19"/>
          <w:color w:val="auto"/>
        </w:rPr>
        <w:t>. No approval, consent, exemption, authorization, or other action by,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notice to, or filing with, any Governmental Authority or any other Person is necessary or required in connection with the execution, delivery or performance by, or enforcement against, any Loan Party of this Agreement or any other Loan Document except as may have been obtained.</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5.04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19"/>
          <w:szCs w:val="19"/>
          <w:color w:val="auto"/>
        </w:rPr>
        <w:t>. This Agreement has been, and each other Loan Document, when delivered hereunder, will have been, duly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to the extent that such enforceability may be limited by bankruptcy, receivership, moratorium, conservationship, or other laws of general application affecting the rights of creditors generally or by general principles of equity.</w:t>
      </w: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5.05 </w:t>
      </w:r>
      <w:r>
        <w:rPr>
          <w:rFonts w:ascii="Times New Roman" w:cs="Times New Roman" w:eastAsia="Times New Roman" w:hAnsi="Times New Roman"/>
          <w:sz w:val="22"/>
          <w:szCs w:val="22"/>
          <w:u w:val="single" w:color="auto"/>
          <w:color w:val="auto"/>
        </w:rPr>
        <w:t>Financial Statements; No Material Adverse Effect</w:t>
      </w:r>
      <w:r>
        <w:rPr>
          <w:rFonts w:ascii="Times New Roman" w:cs="Times New Roman" w:eastAsia="Times New Roman" w:hAnsi="Times New Roman"/>
          <w:sz w:val="19"/>
          <w:szCs w:val="19"/>
          <w:color w:val="auto"/>
        </w:rPr>
        <w:t>. (a) The Audited Financial Statements (i) were prepared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accordance with GAAP consistently applied throughout the period covered thereby, except as otherwise expressly noted therein; (ii) fairly present the financial condition of the Company and its consolidated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Company and its Subsidiaries required under GAAP to be disclosed thereon as of the date thereof, including liabilities for Taxes, material commitments and Indebtedness.</w:t>
      </w:r>
    </w:p>
    <w:p>
      <w:pPr>
        <w:spacing w:after="0" w:line="6" w:lineRule="exact"/>
        <w:rPr>
          <w:sz w:val="20"/>
          <w:szCs w:val="20"/>
          <w:color w:val="auto"/>
        </w:rPr>
      </w:pPr>
    </w:p>
    <w:p>
      <w:pPr>
        <w:jc w:val="both"/>
        <w:ind w:firstLine="656"/>
        <w:spacing w:after="0" w:line="248" w:lineRule="auto"/>
        <w:tabs>
          <w:tab w:leader="none" w:pos="1293"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Financial Statements (i) were prepared in accordance with GAAP consistently applied throughout the period covered thereby, except as otherwise expressly noted therein, and (ii) fairly present the financial condition of the Company and its consolidated Subsidiaries as of the date thereof and their results of operations, cash flows and changes in shareholders’ equity for the period covered thereby, subject, in the case of clauses (i) and (ii), to the absence of footnotes and to normal year end audit adjustments.</w:t>
      </w:r>
    </w:p>
    <w:p>
      <w:pPr>
        <w:spacing w:after="0" w:line="198"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2021, there has been no event or circumstance, either individually or in the aggregate, that has had or would reasonably be expected to have a Material Adverse Effect.</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right="20" w:firstLine="656"/>
        <w:spacing w:after="0" w:line="256" w:lineRule="auto"/>
        <w:tabs>
          <w:tab w:leader="none" w:pos="129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consolidated forecasted balance sheet, statements of income and cash flows of the Company and its Subsidiaries delivered pursuant to </w:t>
      </w:r>
      <w:r>
        <w:rPr>
          <w:rFonts w:ascii="Times New Roman" w:cs="Times New Roman" w:eastAsia="Times New Roman" w:hAnsi="Times New Roman"/>
          <w:sz w:val="22"/>
          <w:szCs w:val="22"/>
          <w:u w:val="single" w:color="auto"/>
          <w:color w:val="auto"/>
        </w:rPr>
        <w:t>Section 6.01(c)</w:t>
      </w:r>
      <w:r>
        <w:rPr>
          <w:rFonts w:ascii="Times New Roman" w:cs="Times New Roman" w:eastAsia="Times New Roman" w:hAnsi="Times New Roman"/>
          <w:sz w:val="22"/>
          <w:szCs w:val="22"/>
          <w:color w:val="auto"/>
        </w:rPr>
        <w:t xml:space="preserve"> were prepared in good faith on the basis of the assumptions stated therein, which assumptions were fair in light of the conditions existing at the time of delivery of such forecasts, and represented, at the time of delivery, the Company’s reasonable best estimate of its future financial condition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ectPr>
          <w:pgSz w:w="11900" w:h="16838" w:orient="portrait"/>
          <w:cols w:equalWidth="0" w:num="1">
            <w:col w:w="11240"/>
          </w:cols>
          <w:pgMar w:left="320" w:top="1413" w:right="339" w:bottom="1440" w:gutter="0" w:footer="0" w:header="0"/>
        </w:sectPr>
      </w:pPr>
    </w:p>
    <w:bookmarkStart w:id="214" w:name="page215"/>
    <w:bookmarkEnd w:id="214"/>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5.06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19"/>
          <w:szCs w:val="19"/>
          <w:color w:val="auto"/>
        </w:rPr>
        <w:t>. There are no actions, suits, proceedings, claims or disputes pending or, to the knowledge of the Company after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due and diligent investigation, threatened or contemplated, at law, in equity, in arbitration or before any Governmental Authority, by or against the Company or any of its Restricted Subsidiaries or against any of their properties or revenues that (a) purport to affect or pertain to this Agreement or any other Loan Document, or (b) either individually or in the aggregate, would reasonably be expected to have a Material Adverse Effect.</w:t>
      </w:r>
    </w:p>
    <w:p>
      <w:pPr>
        <w:spacing w:after="0" w:line="2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5.07 </w:t>
      </w: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19"/>
          <w:szCs w:val="19"/>
          <w:color w:val="auto"/>
        </w:rPr>
        <w:t>. Neither any Loan Party nor any Restricted Subsidiary thereof is in default under or with respect to, or a 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any Contractual Obligation that could, either individually or in the aggregate, reasonably be expected to have a Material Adverse Effect. No Default has occurred and is continuing or would result from the consummation of the Transactions.</w:t>
      </w:r>
    </w:p>
    <w:p>
      <w:pPr>
        <w:spacing w:after="0" w:line="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5.08 </w:t>
      </w:r>
      <w:r>
        <w:rPr>
          <w:rFonts w:ascii="Times New Roman" w:cs="Times New Roman" w:eastAsia="Times New Roman" w:hAnsi="Times New Roman"/>
          <w:sz w:val="22"/>
          <w:szCs w:val="22"/>
          <w:u w:val="single" w:color="auto"/>
          <w:color w:val="auto"/>
        </w:rPr>
        <w:t>Ownership of Property; Liens; Investments</w:t>
      </w:r>
      <w:r>
        <w:rPr>
          <w:rFonts w:ascii="Times New Roman" w:cs="Times New Roman" w:eastAsia="Times New Roman" w:hAnsi="Times New Roman"/>
          <w:sz w:val="19"/>
          <w:szCs w:val="19"/>
          <w:color w:val="auto"/>
        </w:rPr>
        <w:t>. Each Loan Party and each of its Restricted Subsidiaries has good record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the Company and its Subsidiaries is subject to no Liens, other than Liens permitted by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w:t>
      </w:r>
    </w:p>
    <w:p>
      <w:pPr>
        <w:spacing w:after="0" w:line="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5.09</w:t>
      </w:r>
      <w:r>
        <w:rPr>
          <w:sz w:val="20"/>
          <w:szCs w:val="20"/>
          <w:color w:val="auto"/>
        </w:rPr>
        <w:tab/>
      </w:r>
      <w:r>
        <w:rPr>
          <w:rFonts w:ascii="Times New Roman" w:cs="Times New Roman" w:eastAsia="Times New Roman" w:hAnsi="Times New Roman"/>
          <w:sz w:val="21"/>
          <w:szCs w:val="21"/>
          <w:u w:val="single" w:color="auto"/>
          <w:color w:val="auto"/>
        </w:rPr>
        <w:t>Environmental Compliance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jc w:val="both"/>
        <w:ind w:firstLine="656"/>
        <w:spacing w:after="0" w:line="253" w:lineRule="auto"/>
        <w:tabs>
          <w:tab w:leader="none" w:pos="1293"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and their respective Restricted Subsidiaries conducted a review of the effect of existing Environmental Laws and claims alleging potential liability or responsibility for violation of any Environmental Law on their respective businesses, operations and properties, and as a result thereof the Company has reasonably concluded that such Environmental Laws and claims would not, individually or in the aggregate, reasonably be expected to have a Material Adverse Effect.</w:t>
      </w:r>
    </w:p>
    <w:p>
      <w:pPr>
        <w:spacing w:after="0" w:line="178" w:lineRule="exact"/>
        <w:rPr>
          <w:rFonts w:ascii="Times New Roman" w:cs="Times New Roman" w:eastAsia="Times New Roman" w:hAnsi="Times New Roman"/>
          <w:sz w:val="22"/>
          <w:szCs w:val="22"/>
          <w:color w:val="auto"/>
        </w:rPr>
      </w:pPr>
    </w:p>
    <w:p>
      <w:pPr>
        <w:jc w:val="both"/>
        <w:ind w:firstLine="656"/>
        <w:spacing w:after="0" w:line="264" w:lineRule="auto"/>
        <w:tabs>
          <w:tab w:leader="none" w:pos="1291"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where the failure to do so would not reasonably be expected to have a Material Adverse Effect, the Loan Parties and their respective Restricted Subsidiaries: (i) are, and within the past five years have been, in material compliance with all applicable Environmental Laws; (ii) hold all material Environmental Permits (each of which is in full force and effect) required for any of their current or intended operations or for any property owned, leased, or otherwise operated by any of them;</w:t>
      </w:r>
    </w:p>
    <w:p>
      <w:pPr>
        <w:jc w:val="both"/>
        <w:ind w:firstLine="8"/>
        <w:spacing w:after="0" w:line="247" w:lineRule="auto"/>
        <w:tabs>
          <w:tab w:leader="none" w:pos="385"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and within the past five years have been, in material compliance with all of their Environmental Permits; and (iv) to the extent within the control of the Loan Parties and their respective Restricted Subsidiaries, each of their Environmental Permits will be timely renewed and complied with, any additional Environmental permits that may be required of any of them will be timely obtained and complied with, and compliance with any Environmental Law that is or is expected to become applicable to any of them will be timely attained and maintained.</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19"/>
          <w:szCs w:val="19"/>
          <w:color w:val="auto"/>
        </w:rPr>
        <w:t>. The properties of the Company and its Restricted Subsidiaries are insured with financially sound and reputable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insurance companies not Affiliates of the Company, in such amounts, with such deductibles and covering such risks as are customarily carried by companies engaged in similar businesses and owning similar properties in localities where the Company or the applicable Restricted Subsidiary operates.</w:t>
      </w:r>
    </w:p>
    <w:p>
      <w:pPr>
        <w:spacing w:after="0" w:line="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19"/>
          <w:szCs w:val="19"/>
          <w:color w:val="auto"/>
        </w:rPr>
        <w:t>. The Company and each of its Restricted Subsidiaries have timely filed all foreign, federal, state and other material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returns and reports required to be filed, and have timely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1900" w:h="16838" w:orient="portrait"/>
          <w:cols w:equalWidth="0" w:num="1">
            <w:col w:w="11240"/>
          </w:cols>
          <w:pgMar w:left="320" w:top="1422" w:right="339" w:bottom="1440" w:gutter="0" w:footer="0" w:header="0"/>
        </w:sectPr>
      </w:pPr>
    </w:p>
    <w:bookmarkStart w:id="215" w:name="page216"/>
    <w:bookmarkEnd w:id="215"/>
    <w:p>
      <w:pPr>
        <w:jc w:val="both"/>
        <w:spacing w:after="0" w:line="251" w:lineRule="auto"/>
        <w:rPr>
          <w:sz w:val="20"/>
          <w:szCs w:val="20"/>
          <w:color w:val="auto"/>
        </w:rPr>
      </w:pPr>
      <w:r>
        <w:rPr>
          <w:rFonts w:ascii="Times New Roman" w:cs="Times New Roman" w:eastAsia="Times New Roman" w:hAnsi="Times New Roman"/>
          <w:sz w:val="20"/>
          <w:szCs w:val="20"/>
          <w:color w:val="auto"/>
        </w:rPr>
        <w:t>all foreign, federal, state and other material Taxes (whether or not shown on a tax return), including in their capacity as a withholding agent, levied or imposed upon their properties, income or assets otherwise due and payable, except those which are being contested in good faith by appropriate proceedings diligently conducted and for which adequate reserves have been provided in accordance with GAAP and except for such failures that would not reasonably be expected to result in liabilities or exposure in excess of $25,000,000. There is no proposed material tax assessment against the Company or any Restricted Subsidiary that would, if made, have a Material Adverse Effect. Neither any Loan Party nor any Restricted Subsidiary thereof is party to any tax sharing agreement. The Dutch Borrower is resident for tax purposes in the Netherlands only.</w:t>
      </w:r>
    </w:p>
    <w:p>
      <w:pPr>
        <w:spacing w:after="0" w:line="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ERISA Compliance</w:t>
      </w:r>
      <w:r>
        <w:rPr>
          <w:rFonts w:ascii="Times New Roman" w:cs="Times New Roman" w:eastAsia="Times New Roman" w:hAnsi="Times New Roman"/>
          <w:sz w:val="19"/>
          <w:szCs w:val="19"/>
          <w:color w:val="auto"/>
        </w:rPr>
        <w:t>. (a) Each Plan is in compliance in all material respects with the applicable provisions of ERISA,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Code and other Federal or state laws, except with respect to any non-compliance that reasonably could be expected to result in liability in excess of $5,000,000. Each Pension Plan that is intended to be a qualified plan under Section 401(a) of the Code has received (i) a favorable determination letter from the IRS and the trust related thereto has been determined by the Internal Revenue Service to be exempt from federal income tax under Section 501(a) of the Code or an application for such a letter is currently being processed by the Internal Revenue Service or (ii) is subject to a favorable opinion or advisory letter to the effect that the form of such Plan is qualified under Section 401(a) of the Code. To the best knowledge of the Company, nothing has occurred that would prevent or cause the loss of such tax-qualified status.</w:t>
      </w:r>
    </w:p>
    <w:p>
      <w:pPr>
        <w:spacing w:after="0" w:line="6" w:lineRule="exact"/>
        <w:rPr>
          <w:sz w:val="20"/>
          <w:szCs w:val="20"/>
          <w:color w:val="auto"/>
        </w:rPr>
      </w:pPr>
    </w:p>
    <w:p>
      <w:pPr>
        <w:jc w:val="both"/>
        <w:ind w:firstLine="656"/>
        <w:spacing w:after="0" w:line="266" w:lineRule="auto"/>
        <w:tabs>
          <w:tab w:leader="none" w:pos="1293" w:val="left"/>
        </w:tabs>
        <w:numPr>
          <w:ilvl w:val="1"/>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pending or, to the best knowledge of the Company, threatened claims, actions or lawsuits, (other than routine benefit claims), or action by any Governmental Authority, with respect to any Plan that would reasonably be expected to have a Material Adverse Effect. There has been no prohibited transaction or violation of the fiduciary responsibility rules with respect to any Plan that has resulted or would reasonably be expected to result in a Material Adverse Effect.</w:t>
      </w:r>
    </w:p>
    <w:p>
      <w:pPr>
        <w:spacing w:after="0" w:line="16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where any of the following would not reasonably be expected to result in liability in excess of $5,000,000</w:t>
      </w:r>
    </w:p>
    <w:p>
      <w:pPr>
        <w:spacing w:after="0" w:line="39" w:lineRule="exact"/>
        <w:rPr>
          <w:rFonts w:ascii="Times New Roman" w:cs="Times New Roman" w:eastAsia="Times New Roman" w:hAnsi="Times New Roman"/>
          <w:sz w:val="21"/>
          <w:szCs w:val="21"/>
          <w:color w:val="auto"/>
        </w:rPr>
      </w:pPr>
    </w:p>
    <w:p>
      <w:pPr>
        <w:jc w:val="both"/>
        <w:ind w:firstLine="8"/>
        <w:spacing w:after="0" w:line="257" w:lineRule="auto"/>
        <w:tabs>
          <w:tab w:leader="none" w:pos="264"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ERISA Event has occurred, and neither the Company nor any ERISA Affiliate is aware of any fact, event or circumstance that would reasonably be expected to constitute or result in an ERISA Event with respect to any Pension Plan or Multiemployer Plan; (ii) as of the most recent valuation date for any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(iii) neither the Company nor any ERISA Affiliate has incurred any liability to the PBGC other than for the payment of premiums, and there are no premium payments which have become due that are unpaid;</w:t>
      </w:r>
    </w:p>
    <w:p>
      <w:pPr>
        <w:jc w:val="both"/>
        <w:ind w:firstLine="8"/>
        <w:spacing w:after="0" w:line="248" w:lineRule="auto"/>
        <w:tabs>
          <w:tab w:leader="none" w:pos="373"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ERISA Affiliate has engaged in a transaction that would be subject to Section 4069 or Section 4212(c) of ERISA; and (v) no Pension Plan has been terminated by the plan administrator thereof nor by the PBGC, and no event or circumstance has occurred or exists that would reasonably be expected to cause the PBGC to institute proceedings under Title IV of ERISA to terminate any Pension Plan.</w:t>
      </w:r>
    </w:p>
    <w:p>
      <w:pPr>
        <w:spacing w:after="0" w:line="18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u w:val="single" w:color="auto"/>
          <w:color w:val="auto"/>
        </w:rPr>
        <w:t>Subsidiaries; Equity Interests; Loan Parties</w:t>
      </w:r>
      <w:r>
        <w:rPr>
          <w:rFonts w:ascii="Times New Roman" w:cs="Times New Roman" w:eastAsia="Times New Roman" w:hAnsi="Times New Roman"/>
          <w:sz w:val="19"/>
          <w:szCs w:val="19"/>
          <w:color w:val="auto"/>
        </w:rPr>
        <w:t>. As of the Amendment No. 4 Effective Date, the Company has no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Subsidiaries other than those specifically disclosed in Part (a)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1900" w:h="16838" w:orient="portrait"/>
          <w:cols w:equalWidth="0" w:num="1">
            <w:col w:w="11240"/>
          </w:cols>
          <w:pgMar w:left="320" w:top="1413" w:right="339" w:bottom="1440" w:gutter="0" w:footer="0" w:header="0"/>
        </w:sectPr>
      </w:pPr>
    </w:p>
    <w:bookmarkStart w:id="216" w:name="page217"/>
    <w:bookmarkEnd w:id="216"/>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and all of the outstanding Equity Interests in such Subsidiaries have been validly issued, are fully paid and non-assessable and are owned by a Loan Party in the amounts specified on Part (a)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free and clear of all Liens except those created under the Collateral Documents and, with respect to the Equity Interests not owned by Loan Parties, other Permitted Liens. As of the Amendment No. 4 Effective Date, the Company has no equity investments in any other corporation or entity other than those specifically disclosed in Part (b)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All of the outstanding Equity Interests in the Company have been validly issued, are fully paid and non-assessable. Set forth on Part (d)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is a complete and accurate list of all Loan Parties, showing as of the Amendment No. 4 Effective Date (as to each Loan Party) the jurisdiction of its incorporation, the address of its principal place of business and its U.S. taxpayer identification number or, in the case of any non-U.S. Loan Party that does not have a U.S. taxpayer identification number, its unique identification number issued to it by the jurisdiction of its incorporation. The copy of the charter of each Loan Party and each amendment thereto provided pursuant to Section 2 of Amendment No. 4 is a true and correct copy of each such document as of the Amendment No. 4 Effective Date, each of which is valid and in full force and effect in each case.</w:t>
      </w:r>
    </w:p>
    <w:p>
      <w:pPr>
        <w:spacing w:after="0" w:line="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u w:val="single" w:color="auto"/>
          <w:color w:val="auto"/>
        </w:rPr>
        <w:t>Margin Regulations; Investment Company Act</w:t>
      </w:r>
      <w:r>
        <w:rPr>
          <w:rFonts w:ascii="Times New Roman" w:cs="Times New Roman" w:eastAsia="Times New Roman" w:hAnsi="Times New Roman"/>
          <w:sz w:val="19"/>
          <w:szCs w:val="19"/>
          <w:color w:val="auto"/>
        </w:rPr>
        <w:t>. (a) Neither the Company nor any Restricted Subsidiary is engaged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 w:lineRule="exact"/>
        <w:rPr>
          <w:sz w:val="20"/>
          <w:szCs w:val="20"/>
          <w:color w:val="auto"/>
        </w:rPr>
      </w:pPr>
    </w:p>
    <w:p>
      <w:pPr>
        <w:ind w:firstLine="656"/>
        <w:spacing w:after="0" w:line="265" w:lineRule="auto"/>
        <w:tabs>
          <w:tab w:leader="none" w:pos="1293"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any Person Controlling the Company, or any Subsidiary is or is required to be registered as an “investment company” under the Investment Company Act of 1940.</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5.15</w:t>
      </w:r>
      <w:r>
        <w:rPr>
          <w:sz w:val="20"/>
          <w:szCs w:val="20"/>
          <w:color w:val="auto"/>
        </w:rPr>
        <w:tab/>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48" w:lineRule="auto"/>
        <w:tabs>
          <w:tab w:leader="none" w:pos="1293"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has disclosed to the Administrative Agents and the Lenders (which disclosure may include filings on EDGAR) all agreements, instruments and corporate or other restrictions to which it or any of its Restricted Subsidiaries is subject, and all other matters known to it, that, individually or in the aggregate, would reasonably be expected to result in a Material Adverse Effect. No report, financial statement, certificate or other information furnished by or on behalf of any Loan Party to any Administrative Agent or any Lender in connection with the transactions contemplated hereby and the negotiation of this Agreement or delivered hereunder or under any other Loan Document (in each case, as modified or supplemented by other information so furnished), at the Amendment No. 4 Effective Date (in the case of the presentation provided to the Lenders on or about March 24, 2026) or at the time furnished (in the case of all other reports, financial statements, certificates or other information), contains any material misstatement of material fact or omitted to state any material fact necessary to make the statements therein,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projected financial information, the Company represents only that such information was prepared in good faith based upon assumptions believed to be reasonable at the time.</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Amendment No. 4 Effective Date, the information included in any Beneficial Ownership Certification, if applicable, is true and correct in all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1900" w:h="16838" w:orient="portrait"/>
          <w:cols w:equalWidth="0" w:num="1">
            <w:col w:w="11240"/>
          </w:cols>
          <w:pgMar w:left="320" w:top="1413" w:right="339" w:bottom="1440" w:gutter="0" w:footer="0" w:header="0"/>
        </w:sectPr>
      </w:pPr>
    </w:p>
    <w:bookmarkStart w:id="217" w:name="page218"/>
    <w:bookmarkEnd w:id="217"/>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5.16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19"/>
          <w:szCs w:val="19"/>
          <w:color w:val="auto"/>
        </w:rPr>
        <w:t>. Each Loan Party and each Restricted Subsidiary thereof is in compliance in all material respects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22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5.17 </w:t>
      </w:r>
      <w:r>
        <w:rPr>
          <w:rFonts w:ascii="Times New Roman" w:cs="Times New Roman" w:eastAsia="Times New Roman" w:hAnsi="Times New Roman"/>
          <w:sz w:val="22"/>
          <w:szCs w:val="22"/>
          <w:u w:val="single" w:color="auto"/>
          <w:color w:val="auto"/>
        </w:rPr>
        <w:t>Intellectual Property; Licenses, Etc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Company and each of its Restricted Subsidiaries own, or possess the right to 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all of the trademarks, service marks, trade names, copyrights, patents, patent rights, franchises, licenses and other intellectual property rights (collectively, “</w:t>
      </w:r>
      <w:r>
        <w:rPr>
          <w:rFonts w:ascii="Times New Roman" w:cs="Times New Roman" w:eastAsia="Times New Roman" w:hAnsi="Times New Roman"/>
          <w:sz w:val="19"/>
          <w:szCs w:val="19"/>
          <w:u w:val="single" w:color="auto"/>
          <w:color w:val="auto"/>
        </w:rPr>
        <w:t>IP Rights</w:t>
      </w:r>
      <w:r>
        <w:rPr>
          <w:rFonts w:ascii="Times New Roman" w:cs="Times New Roman" w:eastAsia="Times New Roman" w:hAnsi="Times New Roman"/>
          <w:sz w:val="19"/>
          <w:szCs w:val="19"/>
          <w:color w:val="auto"/>
        </w:rPr>
        <w:t>”) that are reasonably necessary for the operation of their respective businesses, without conflict with the rights of any other Person, except where such failure to own or possess or such infringement, individually or in the aggregate, would not reasonably be expected to have a Material Adverse Effect. To the best knowledge of the Company, no slogan or other advertising device, product, process, method, substance, part or other material now employed, or now contemplated to be employed, by the Company or any of its Restricted Subsidiaries infringes upon any rights held by any other Person, except where the failure to own or possess such IP rights or where such conflict, individually or in the aggregate, would not reasonably be expected to have a Material Adverse Effect. No claim or litigation regarding any of the foregoing is pending or, to the best knowledge of the Company, threatened, which, either individually or in the aggregate, could reasonably be expected to have a Material Adverse Effect.</w:t>
      </w:r>
    </w:p>
    <w:p>
      <w:pPr>
        <w:spacing w:after="0" w:line="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5.18</w:t>
      </w:r>
      <w:r>
        <w:rPr>
          <w:sz w:val="20"/>
          <w:szCs w:val="20"/>
          <w:color w:val="auto"/>
        </w:rPr>
        <w:tab/>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19"/>
          <w:szCs w:val="19"/>
          <w:color w:val="auto"/>
        </w:rPr>
        <w:t>. The Company and its Subsidiaries are, on a consolidated basis, Solvent.</w:t>
      </w:r>
    </w:p>
    <w:p>
      <w:pPr>
        <w:spacing w:after="0" w:line="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2"/>
          <w:szCs w:val="22"/>
          <w:color w:val="auto"/>
        </w:rPr>
        <w:t xml:space="preserve">5.19 </w:t>
      </w:r>
      <w:r>
        <w:rPr>
          <w:rFonts w:ascii="Times New Roman" w:cs="Times New Roman" w:eastAsia="Times New Roman" w:hAnsi="Times New Roman"/>
          <w:sz w:val="22"/>
          <w:szCs w:val="22"/>
          <w:u w:val="single" w:color="auto"/>
          <w:color w:val="auto"/>
        </w:rPr>
        <w:t>Casualty, Etc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Neither the businesses nor the properties of any Loan Party or any of its Restricted Subsidiaries are affected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by any fire, explosion, accident, strike, lockout or other labor dispute, drought, storm, hail, earthquake, embargo, act of God or of the public enemy or other casualty (whether or not covered by insurance), condemnation or eminent domain proceeding that, either individually or in the aggregate, would reasonably be expected to have a Material Adverse Effect.</w:t>
      </w:r>
    </w:p>
    <w:p>
      <w:pPr>
        <w:spacing w:after="0" w:line="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5.20 </w:t>
      </w:r>
      <w:r>
        <w:rPr>
          <w:rFonts w:ascii="Times New Roman" w:cs="Times New Roman" w:eastAsia="Times New Roman" w:hAnsi="Times New Roman"/>
          <w:sz w:val="22"/>
          <w:szCs w:val="22"/>
          <w:u w:val="single" w:color="auto"/>
          <w:color w:val="auto"/>
        </w:rPr>
        <w:t>Labor Matters</w:t>
      </w:r>
      <w:r>
        <w:rPr>
          <w:rFonts w:ascii="Times New Roman" w:cs="Times New Roman" w:eastAsia="Times New Roman" w:hAnsi="Times New Roman"/>
          <w:sz w:val="19"/>
          <w:szCs w:val="19"/>
          <w:color w:val="auto"/>
        </w:rPr>
        <w:t>. There are no collective bargaining agreements or Multiemployer Plans covering the employees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Company or any of its Restricted Subsidiaries as of the Amendment No. 4 Effective Date, except as set forth on </w:t>
      </w:r>
      <w:r>
        <w:rPr>
          <w:rFonts w:ascii="Times New Roman" w:cs="Times New Roman" w:eastAsia="Times New Roman" w:hAnsi="Times New Roman"/>
          <w:sz w:val="19"/>
          <w:szCs w:val="19"/>
          <w:u w:val="single" w:color="auto"/>
          <w:color w:val="auto"/>
        </w:rPr>
        <w:t>Schedule 5.20</w:t>
      </w:r>
      <w:r>
        <w:rPr>
          <w:rFonts w:ascii="Times New Roman" w:cs="Times New Roman" w:eastAsia="Times New Roman" w:hAnsi="Times New Roman"/>
          <w:sz w:val="19"/>
          <w:szCs w:val="19"/>
          <w:color w:val="auto"/>
        </w:rPr>
        <w:t>. Neither the Company nor any Subsidiary has suffered any strikes, walkouts, work stoppages or other material labor difficulty within the last five years, that, either individually or in the aggregate, would reasonably be expected to have a Material Adverse Effect.</w:t>
      </w:r>
    </w:p>
    <w:p>
      <w:pPr>
        <w:spacing w:after="0" w:line="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5.21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19"/>
          <w:szCs w:val="19"/>
          <w:color w:val="auto"/>
        </w:rPr>
        <w:t>. Neither the Company, nor any of its Subsidiaries, nor, to the knowledge of the Company and its Subsidiaries,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director, officer, employee, agent, affiliate or representative thereof: (i) is an individual or entity that is, or is 50 percent or more owned by any individual or entity that is: (a) currently the target of any Sanctions, (b) included on OFAC’s List of Specially Designated Nationals and Blocked Persons List or any similar list enforced by any OFAC or (c) located, organized, or ordinarily resident in a Designated Jurisdiction; or (ii) is an individual or entity that is, or is 50 percent or more owned or otherwise controlled by any individual or entity that is included on HMT’s Consolidated List of Financial Sanctions Targets, the Investment Ban List, or any similar list enforced by any other relevant non-U.S. sanctions authority. The Company and its Subsidiaries have instituted and maintained policies and procedures designed to promote and achieve compliance with Sanctions.</w:t>
      </w:r>
    </w:p>
    <w:p>
      <w:pPr>
        <w:spacing w:after="0" w:line="2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 xml:space="preserve">5.22 </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19"/>
          <w:szCs w:val="19"/>
          <w:color w:val="auto"/>
        </w:rPr>
        <w:t>. The Company and its Subsidiaries have conducted their businesses in all material respects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compliance with the United States Foreign Corrupt Practices Act of 1977, the UK Bribery Act 2010, and other similar anti-corruption legislation in other jurisdictions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ectPr>
          <w:pgSz w:w="11900" w:h="16838" w:orient="portrait"/>
          <w:cols w:equalWidth="0" w:num="1">
            <w:col w:w="11240"/>
          </w:cols>
          <w:pgMar w:left="320" w:top="1422"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0"/>
          <w:szCs w:val="20"/>
          <w:color w:val="auto"/>
        </w:rPr>
        <w:t>have instituted and maintained policies and procedures designed to promote and achieve compliance with such laws.</w:t>
      </w:r>
    </w:p>
    <w:p>
      <w:pPr>
        <w:spacing w:after="0" w:line="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5.23</w:t>
      </w:r>
      <w:r>
        <w:rPr>
          <w:sz w:val="20"/>
          <w:szCs w:val="20"/>
          <w:color w:val="auto"/>
        </w:rPr>
        <w:tab/>
      </w:r>
      <w:r>
        <w:rPr>
          <w:rFonts w:ascii="Times New Roman" w:cs="Times New Roman" w:eastAsia="Times New Roman" w:hAnsi="Times New Roman"/>
          <w:sz w:val="22"/>
          <w:szCs w:val="22"/>
          <w:u w:val="single" w:color="auto"/>
          <w:color w:val="auto"/>
        </w:rPr>
        <w:t>Representations as to Foreign Obligors</w:t>
      </w:r>
      <w:r>
        <w:rPr>
          <w:rFonts w:ascii="Times New Roman" w:cs="Times New Roman" w:eastAsia="Times New Roman" w:hAnsi="Times New Roman"/>
          <w:sz w:val="19"/>
          <w:szCs w:val="19"/>
          <w:color w:val="auto"/>
        </w:rPr>
        <w:t>. Each of the Company and each Foreign Obligor represents and warrants to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Agents and the Lenders that:</w:t>
      </w:r>
    </w:p>
    <w:p>
      <w:pPr>
        <w:spacing w:after="0" w:line="6" w:lineRule="exact"/>
        <w:rPr>
          <w:sz w:val="20"/>
          <w:szCs w:val="20"/>
          <w:color w:val="auto"/>
        </w:rPr>
      </w:pPr>
    </w:p>
    <w:p>
      <w:pPr>
        <w:jc w:val="both"/>
        <w:ind w:firstLine="656"/>
        <w:spacing w:after="0" w:line="248" w:lineRule="auto"/>
        <w:tabs>
          <w:tab w:leader="none" w:pos="1293"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Foreign Obligor is subject to civil and commercial Laws with respect to its obligations under this Agreement and the other Loan Documents to which it is a party (collectively as to such Foreign Obligor, the “</w:t>
      </w:r>
      <w:r>
        <w:rPr>
          <w:rFonts w:ascii="Times New Roman" w:cs="Times New Roman" w:eastAsia="Times New Roman" w:hAnsi="Times New Roman"/>
          <w:sz w:val="22"/>
          <w:szCs w:val="22"/>
          <w:u w:val="single" w:color="auto"/>
          <w:color w:val="auto"/>
        </w:rPr>
        <w:t>Applicable Foreign Obligor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83"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Foreign Obligor Documents are, to the extent that the applicable jurisdiction prescribes legal forms for the same,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88" w:lineRule="exact"/>
        <w:rPr>
          <w:rFonts w:ascii="Times New Roman" w:cs="Times New Roman" w:eastAsia="Times New Roman" w:hAnsi="Times New Roman"/>
          <w:sz w:val="22"/>
          <w:szCs w:val="22"/>
          <w:color w:val="auto"/>
        </w:rPr>
      </w:pPr>
    </w:p>
    <w:p>
      <w:pPr>
        <w:jc w:val="both"/>
        <w:ind w:firstLine="656"/>
        <w:spacing w:after="0" w:line="273" w:lineRule="auto"/>
        <w:tabs>
          <w:tab w:leader="none" w:pos="1293"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tax, levy, impost, duty, fee, assessment or other governmental charge, or any deduction or withholding, imposed by any Governmental Authority in or of the jurisdiction in which such Foreign Obligor is organized and existing either</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267"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by virtue of the execution or delivery of the Applicable Foreign Obligor Documents or (ii) on any payment to be made by such Foreign Obligor pursuant to the Applicable Foreign Obligor Documents, except as has been disclosed to the Applicable Facility Agent.</w:t>
      </w:r>
    </w:p>
    <w:p>
      <w:pPr>
        <w:spacing w:after="0" w:line="18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1"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ectPr>
          <w:pgSz w:w="11900" w:h="16838" w:orient="portrait"/>
          <w:cols w:equalWidth="0" w:num="1">
            <w:col w:w="11240"/>
          </w:cols>
          <w:pgMar w:left="320" w:top="1413" w:right="339" w:bottom="1440" w:gutter="0" w:footer="0" w:header="0"/>
        </w:sectPr>
      </w:pPr>
    </w:p>
    <w:bookmarkStart w:id="219" w:name="page220"/>
    <w:bookmarkEnd w:id="219"/>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5.24 </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19"/>
          <w:szCs w:val="19"/>
          <w:color w:val="auto"/>
        </w:rPr>
        <w:t>. The provisions of the Collateral Documents are effective to create in favor of the General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Administrative Agent for the benefit of the Secured Parties a legal, valid and enforceable first priority Lien (subject to Permitted Liens) on all right, title and interest of the respective Loan Parties in the Collateral described therein.</w:t>
      </w:r>
    </w:p>
    <w:p>
      <w:pPr>
        <w:spacing w:after="0" w:line="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5.25</w:t>
      </w:r>
      <w:r>
        <w:rPr>
          <w:sz w:val="20"/>
          <w:szCs w:val="20"/>
          <w:color w:val="auto"/>
        </w:rPr>
        <w:tab/>
      </w:r>
      <w:r>
        <w:rPr>
          <w:rFonts w:ascii="Times New Roman" w:cs="Times New Roman" w:eastAsia="Times New Roman" w:hAnsi="Times New Roman"/>
          <w:sz w:val="22"/>
          <w:szCs w:val="22"/>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2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5.26 </w:t>
      </w:r>
      <w:r>
        <w:rPr>
          <w:rFonts w:ascii="Times New Roman" w:cs="Times New Roman" w:eastAsia="Times New Roman" w:hAnsi="Times New Roman"/>
          <w:sz w:val="22"/>
          <w:szCs w:val="22"/>
          <w:u w:val="single" w:color="auto"/>
          <w:color w:val="auto"/>
        </w:rPr>
        <w:t>Outbound Investment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Neither the Company nor any of its Subsidiaries is a ‘covered foreign person’ as that term is used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 the Outbound Investment Rules. Neither Company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were a U.S. Person or (iii) any other activity that would cause Lenders to be in violation of the Outbound Investment Rules or cause Lenders to be legally prohibited by the Outbound Investment Rules from performing under this Agreement.</w:t>
      </w:r>
    </w:p>
    <w:p>
      <w:pPr>
        <w:spacing w:after="0" w:line="2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VI</w:t>
      </w:r>
    </w:p>
    <w:p>
      <w:pPr>
        <w:spacing w:after="0" w:line="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AFFIRMATIVE COVENANTS</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So long as any Lender shall have any Commitment hereunder, any Loan or other Obligation hereunder shall remain unpaid or unsatisfied, or any Letter of Credit shall remain outstanding, the Company shall, and shall (except in the case of the covenants set forth in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6.11</w:t>
      </w:r>
      <w:r>
        <w:rPr>
          <w:rFonts w:ascii="Times New Roman" w:cs="Times New Roman" w:eastAsia="Times New Roman" w:hAnsi="Times New Roman"/>
          <w:sz w:val="22"/>
          <w:szCs w:val="22"/>
          <w:color w:val="auto"/>
        </w:rPr>
        <w:t>) cause each Restricted Subsidiary to:</w:t>
      </w:r>
    </w:p>
    <w:p>
      <w:pPr>
        <w:spacing w:after="0" w:line="17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 xml:space="preserve">6.01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19"/>
          <w:szCs w:val="19"/>
          <w:color w:val="auto"/>
        </w:rPr>
        <w:t>. Deliver to each Administrative Agent and each Lender (which delivery may be effected as 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in the last two paragraphs of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in form and detail satisfactory to each Administrative Agent and the Required Lenders:</w:t>
      </w:r>
    </w:p>
    <w:p>
      <w:pPr>
        <w:spacing w:after="0" w:line="1" w:lineRule="exact"/>
        <w:rPr>
          <w:sz w:val="20"/>
          <w:szCs w:val="20"/>
          <w:color w:val="auto"/>
        </w:rPr>
      </w:pPr>
    </w:p>
    <w:p>
      <w:pPr>
        <w:jc w:val="both"/>
        <w:ind w:firstLine="656"/>
        <w:spacing w:after="0" w:line="248" w:lineRule="auto"/>
        <w:tabs>
          <w:tab w:leader="none" w:pos="1293"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not later than the SEC Filing Date,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shall be deemed acceptable if such firm is one of the “Big Four”), which report and opinion shall be prepared in accordance with generally accepted auditing standards and shall not be subject to any “going concern” or like qualification or exception or any qualification or exception as to the scope of such audit (other than a “going concern” or like qualification solely with respect to, or resulting solely from, (x) an upcoming maturity date under any series of Indebtedness occurring within one year from the time such opinion is delivered or (y) any potential inability to satisfy a financial maintenance covenant on a future date or in any future period);</w:t>
      </w:r>
    </w:p>
    <w:p>
      <w:pPr>
        <w:spacing w:after="0" w:line="182"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of the first three fiscal quarters of each fiscal year of the Company, as soon as available, but in any event not later than the SEC Filing Date, a consolidated balance sheet of the Company and its Subsidiaries as at the end of such fiscal quarter, and the related consolidated statements of income or operations, changes in shareholders’ equity, and cash flows for such fiscal quarter and for the portion of the Company’s fiscal year then ended, setting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ectPr>
          <w:pgSz w:w="11900" w:h="16838" w:orient="portrait"/>
          <w:cols w:equalWidth="0" w:num="1">
            <w:col w:w="11240"/>
          </w:cols>
          <w:pgMar w:left="320" w:top="1422" w:right="339" w:bottom="1440" w:gutter="0" w:footer="0" w:header="0"/>
        </w:sectPr>
      </w:pPr>
    </w:p>
    <w:bookmarkStart w:id="220" w:name="page221"/>
    <w:bookmarkEnd w:id="220"/>
    <w:p>
      <w:pPr>
        <w:jc w:val="both"/>
        <w:spacing w:after="0" w:line="253" w:lineRule="auto"/>
        <w:rPr>
          <w:sz w:val="20"/>
          <w:szCs w:val="20"/>
          <w:color w:val="auto"/>
        </w:rPr>
      </w:pPr>
      <w:r>
        <w:rPr>
          <w:rFonts w:ascii="Times New Roman" w:cs="Times New Roman" w:eastAsia="Times New Roman" w:hAnsi="Times New Roman"/>
          <w:sz w:val="22"/>
          <w:szCs w:val="22"/>
          <w:color w:val="auto"/>
        </w:rPr>
        <w:t>in each case in comparative form the figures for the corresponding fiscal quarter of the previous fiscal year and the corresponding portion of the previous fiscal year, all in reasonable detail, certified by the chief executive officer, chief financial officer, treasurer or controller of the Company as fairly presenting the financial condition, results of operations, shareholders’ equity and cash flows of the Company and its Subsidiaries in accordance with GAAP, subject only to normal year-end audit adjustments and the absence of footnotes;</w:t>
      </w:r>
    </w:p>
    <w:p>
      <w:pPr>
        <w:spacing w:after="0" w:line="179" w:lineRule="exact"/>
        <w:rPr>
          <w:sz w:val="20"/>
          <w:szCs w:val="20"/>
          <w:color w:val="auto"/>
        </w:rPr>
      </w:pPr>
    </w:p>
    <w:p>
      <w:pPr>
        <w:jc w:val="both"/>
        <w:ind w:firstLine="656"/>
        <w:spacing w:after="0" w:line="268" w:lineRule="auto"/>
        <w:tabs>
          <w:tab w:leader="none" w:pos="1293"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but in any event not later than ninety (90) days after the end of each fiscal year of the Company, an annual business plan and budget of the Company and its Subsidiaries on a consolidated basis, including forecasts prepared by management of the Company, in form reasonably satisfactory to the Administrative Agents, of consolidated balance sheets and statements of income or operations and cash flows of the Company and its Subsidiaries on a quarterly basis for the fiscal year in which such business plan and budget is delivered (including the fiscal year in which any Maturity Date occurs).</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 xml:space="preserve">As to any information contained in materials furnished pursuant to </w:t>
      </w:r>
      <w:r>
        <w:rPr>
          <w:rFonts w:ascii="Times New Roman" w:cs="Times New Roman" w:eastAsia="Times New Roman" w:hAnsi="Times New Roman"/>
          <w:sz w:val="21"/>
          <w:szCs w:val="21"/>
          <w:u w:val="single" w:color="auto"/>
          <w:color w:val="auto"/>
        </w:rPr>
        <w:t>Section 6.02(c)</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19"/>
          <w:szCs w:val="19"/>
          <w:color w:val="auto"/>
        </w:rPr>
        <w:t>Company</w:t>
      </w:r>
      <w:r>
        <w:rPr>
          <w:rFonts w:ascii="Times New Roman" w:cs="Times New Roman" w:eastAsia="Times New Roman" w:hAnsi="Times New Roman"/>
          <w:sz w:val="21"/>
          <w:szCs w:val="21"/>
          <w:color w:val="auto"/>
        </w:rPr>
        <w:t xml:space="preserve"> shall not be separately required to furnish such information under </w:t>
      </w:r>
      <w:r>
        <w:rPr>
          <w:rFonts w:ascii="Times New Roman" w:cs="Times New Roman" w:eastAsia="Times New Roman" w:hAnsi="Times New Roman"/>
          <w:sz w:val="21"/>
          <w:szCs w:val="21"/>
          <w:u w:val="single" w:color="auto"/>
          <w:color w:val="auto"/>
        </w:rPr>
        <w:t>Section 6.01(a)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but the foregoing shall not be in derogation of the obligation of the Company to furnish the information and materials described in </w:t>
      </w:r>
      <w:r>
        <w:rPr>
          <w:rFonts w:ascii="Times New Roman" w:cs="Times New Roman" w:eastAsia="Times New Roman" w:hAnsi="Times New Roman"/>
          <w:sz w:val="21"/>
          <w:szCs w:val="21"/>
          <w:u w:val="single" w:color="auto"/>
          <w:color w:val="auto"/>
        </w:rPr>
        <w:t>Sections 6.01(a)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at the times specified therein.</w:t>
      </w:r>
    </w:p>
    <w:p>
      <w:pPr>
        <w:spacing w:after="0" w:line="16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6.02 </w:t>
      </w:r>
      <w:r>
        <w:rPr>
          <w:rFonts w:ascii="Times New Roman" w:cs="Times New Roman" w:eastAsia="Times New Roman" w:hAnsi="Times New Roman"/>
          <w:sz w:val="22"/>
          <w:szCs w:val="22"/>
          <w:u w:val="single" w:color="auto"/>
          <w:color w:val="auto"/>
        </w:rPr>
        <w:t>Certificates; Other Information</w:t>
      </w:r>
      <w:r>
        <w:rPr>
          <w:rFonts w:ascii="Times New Roman" w:cs="Times New Roman" w:eastAsia="Times New Roman" w:hAnsi="Times New Roman"/>
          <w:sz w:val="19"/>
          <w:szCs w:val="19"/>
          <w:color w:val="auto"/>
        </w:rPr>
        <w:t>. Deliver to each Administrative Agent and each Lender (which delivery may be effected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as provided in the last two paragraphs of this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in form and detail reasonably satisfactory to each Administrative Agent and the Required Lenders:</w:t>
      </w:r>
    </w:p>
    <w:p>
      <w:pPr>
        <w:spacing w:after="0" w:line="2" w:lineRule="exact"/>
        <w:rPr>
          <w:sz w:val="20"/>
          <w:szCs w:val="20"/>
          <w:color w:val="auto"/>
        </w:rPr>
      </w:pPr>
    </w:p>
    <w:p>
      <w:pPr>
        <w:ind w:left="1300" w:hanging="644"/>
        <w:spacing w:after="0"/>
        <w:tabs>
          <w:tab w:leader="none" w:pos="130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3" w:lineRule="exact"/>
        <w:rPr>
          <w:rFonts w:ascii="Times New Roman" w:cs="Times New Roman" w:eastAsia="Times New Roman" w:hAnsi="Times New Roman"/>
          <w:sz w:val="22"/>
          <w:szCs w:val="22"/>
          <w:color w:val="auto"/>
        </w:rPr>
      </w:pPr>
    </w:p>
    <w:p>
      <w:pPr>
        <w:jc w:val="both"/>
        <w:ind w:firstLine="656"/>
        <w:spacing w:after="0" w:line="268" w:lineRule="auto"/>
        <w:tabs>
          <w:tab w:leader="none" w:pos="1291"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 later than five Business Days after each delivery of financial statements referred to in </w:t>
      </w:r>
      <w:r>
        <w:rPr>
          <w:rFonts w:ascii="Times New Roman" w:cs="Times New Roman" w:eastAsia="Times New Roman" w:hAnsi="Times New Roman"/>
          <w:sz w:val="21"/>
          <w:szCs w:val="21"/>
          <w:u w:val="single" w:color="auto"/>
          <w:color w:val="auto"/>
        </w:rPr>
        <w:t>Sections 6.01(a)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a duly completed Compliance Certificate signed by the chief executive officer, chief financial officer, treasurer or controller of the Company (which delivery may, unless any Administrative Agent, or a Lender requests executed originals, be by electronic communication including fax or email and shall be deemed to be an original authentic counterpart thereof for all purposes);</w:t>
      </w:r>
    </w:p>
    <w:p>
      <w:pPr>
        <w:spacing w:after="0" w:line="163" w:lineRule="exact"/>
        <w:rPr>
          <w:rFonts w:ascii="Times New Roman" w:cs="Times New Roman" w:eastAsia="Times New Roman" w:hAnsi="Times New Roman"/>
          <w:sz w:val="21"/>
          <w:szCs w:val="21"/>
          <w:color w:val="auto"/>
        </w:rPr>
      </w:pPr>
    </w:p>
    <w:p>
      <w:pPr>
        <w:jc w:val="both"/>
        <w:ind w:firstLine="656"/>
        <w:spacing w:after="0" w:line="253" w:lineRule="auto"/>
        <w:tabs>
          <w:tab w:leader="none" w:pos="1293"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or with any national securities exchange, and in any case not otherwise required to be delivered to the Administrative Agents pursuant hereto;</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the furnishing thereof, copies of any statement (other than administrative notices) or report furnished to any holder of debt securities of any Loan Party or of any of its Restricted Subsidiaries the aggregate principal amount outstanding of which is not less than the Threshold Amount pursuant to the terms of any indenture, loan or credit or similar agreement and not otherwise required to be furnished to the Lenders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or any other clause of this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ectPr>
          <w:pgSz w:w="11900" w:h="16838" w:orient="portrait"/>
          <w:cols w:equalWidth="0" w:num="1">
            <w:col w:w="11240"/>
          </w:cols>
          <w:pgMar w:left="320" w:top="1422" w:right="339" w:bottom="1440" w:gutter="0" w:footer="0" w:header="0"/>
        </w:sectPr>
      </w:pPr>
    </w:p>
    <w:bookmarkStart w:id="221" w:name="page222"/>
    <w:bookmarkEnd w:id="221"/>
    <w:p>
      <w:pPr>
        <w:jc w:val="both"/>
        <w:ind w:firstLine="656"/>
        <w:spacing w:after="0" w:line="253" w:lineRule="auto"/>
        <w:tabs>
          <w:tab w:leader="none" w:pos="1293"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 investigation or other similar inquiry (other than routine communications regarding the Company’s filings with the SEC or such agency) by such agency regarding financial or other operational results of any Loan Party or any Subsidiary thereof;</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656"/>
        <w:spacing w:after="0" w:line="281" w:lineRule="auto"/>
        <w:tabs>
          <w:tab w:leader="none" w:pos="1291"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following any request therefor, provide information and documentation reasonably requested by any Administrative Agent or any Lender for purposes of compliance with applicable “know your customer” and anti-money-laundering rules and regulations, including, without limitation, the PATRIOT Act and the Beneficial Ownership Regulation; and</w:t>
      </w:r>
    </w:p>
    <w:p>
      <w:pPr>
        <w:spacing w:after="0" w:line="150" w:lineRule="exact"/>
        <w:rPr>
          <w:rFonts w:ascii="Times New Roman" w:cs="Times New Roman" w:eastAsia="Times New Roman" w:hAnsi="Times New Roman"/>
          <w:sz w:val="21"/>
          <w:szCs w:val="21"/>
          <w:color w:val="auto"/>
        </w:rPr>
      </w:pPr>
    </w:p>
    <w:p>
      <w:pPr>
        <w:jc w:val="both"/>
        <w:ind w:firstLine="656"/>
        <w:spacing w:after="0" w:line="257" w:lineRule="auto"/>
        <w:tabs>
          <w:tab w:leader="none" w:pos="1291"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such additional information regarding the business, financial, legal or corporate affairs of any Loan Party or any Restricted Subsidiary thereof, or compliance with the terms of the Loan Documents, as any Administrative Agent or any Lender may from time to time reasonably request.</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Documents required to be delivered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Sections 6.02(c)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10.02</w:t>
      </w:r>
      <w:r>
        <w:rPr>
          <w:rFonts w:ascii="Times New Roman" w:cs="Times New Roman" w:eastAsia="Times New Roman" w:hAnsi="Times New Roman"/>
          <w:sz w:val="22"/>
          <w:szCs w:val="22"/>
          <w:color w:val="auto"/>
        </w:rPr>
        <w:t xml:space="preserve">; or (ii) the date such documents have been filed with the SEC and posted on EDGAR; or (iii) on which such documents are posted on the Company’s behalf on an Internet or intranet website, if any, to which each Lender and each Administrative Agent have access (whether EDGAR, a commercial, third-party website or whether sponsored by an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Company shall deliver paper copies of such documents to any Administrative Agent or any Lender upon its request to the Company to deliver such paper copies until a written request to cease delivering paper copies is given by such Administrative Agent or such Lender and (ii) the Company shall notify the Administrative Agents (by telecopier or electronic mail) of the posting of any such documents and provide to the Administrative Agents by electronic mail electronic versions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soft copies) of such documents. The Administrative Agents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Company hereby acknowledges that (a) the Administrative Agents and/or the Arrangers may, but shall not be obligated to, make available to the Lenders and the L/C Issuer materials and/or information provided by or on behalf of the Company hereunder (collectively, “</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by posting the Borrower Materials on IntraLinks, Syndtrak, ClearPar, or a substantially similar electronic transmission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and (b) certain of the Lenders (each, a “</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may have personnel who do not wish to receive material non-public information with respect to the Company or its Affiliates, or the respective securities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ectPr>
          <w:pgSz w:w="11900" w:h="16838" w:orient="portrait"/>
          <w:cols w:equalWidth="0" w:num="1">
            <w:col w:w="11240"/>
          </w:cols>
          <w:pgMar w:left="320" w:top="1422" w:right="339" w:bottom="1440" w:gutter="0" w:footer="0" w:header="0"/>
        </w:sectPr>
      </w:pPr>
    </w:p>
    <w:bookmarkStart w:id="222" w:name="page223"/>
    <w:bookmarkEnd w:id="222"/>
    <w:p>
      <w:pPr>
        <w:jc w:val="both"/>
        <w:spacing w:after="0" w:line="248" w:lineRule="auto"/>
        <w:rPr>
          <w:sz w:val="20"/>
          <w:szCs w:val="20"/>
          <w:color w:val="auto"/>
        </w:rPr>
      </w:pPr>
      <w:r>
        <w:rPr>
          <w:rFonts w:ascii="Times New Roman" w:cs="Times New Roman" w:eastAsia="Times New Roman" w:hAnsi="Times New Roman"/>
          <w:sz w:val="22"/>
          <w:szCs w:val="22"/>
          <w:color w:val="auto"/>
        </w:rPr>
        <w:t>any of the foregoing, and who may be engaged in investment and other market-related activities with respect to such Persons’ securities. The Company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Company shall be deemed to have authorized the Administrative Agents, any Arranger, the L/C Issuer and the Lenders to treat such Borrower Materials as not containing any material non-public information (although it may be sensitive and proprietary) with respect to the Company or its securities for purposes of United States Federal and state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to the extent such Borrower Materials constitute Information, they shall be treated as set forth in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 (y) all Borrower Materials marked “PUBLIC” are permitted to be made available through a portion of the Platform designated “Public Side Information;” and (z) the Administrative Agents and the Arrangers shall be entitled to treat any Borrower Materials that are not marked “PUBLIC” as being suitable only for posting on a portion of the Platform not designated “Public Side Information.”</w:t>
      </w:r>
    </w:p>
    <w:p>
      <w:pPr>
        <w:spacing w:after="0" w:line="18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 xml:space="preserve">6.03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19"/>
          <w:szCs w:val="19"/>
          <w:color w:val="auto"/>
        </w:rPr>
        <w:t>. Promptly notify each Administrative Agent and each Lender (which delivery may be effected as provided 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last two paragraphs of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left="1300" w:hanging="644"/>
        <w:spacing w:after="0"/>
        <w:tabs>
          <w:tab w:leader="none" w:pos="1300"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occurrence of any Default;</w:t>
      </w:r>
    </w:p>
    <w:p>
      <w:pPr>
        <w:spacing w:after="0" w:line="21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matter that has resulted or would reasonably be expected to result in a Material Adverse Effect, including</w:t>
      </w:r>
    </w:p>
    <w:p>
      <w:pPr>
        <w:spacing w:after="0" w:line="27" w:lineRule="exact"/>
        <w:rPr>
          <w:rFonts w:ascii="Times New Roman" w:cs="Times New Roman" w:eastAsia="Times New Roman" w:hAnsi="Times New Roman"/>
          <w:sz w:val="22"/>
          <w:szCs w:val="22"/>
          <w:color w:val="auto"/>
        </w:rPr>
      </w:pPr>
    </w:p>
    <w:p>
      <w:pPr>
        <w:jc w:val="both"/>
        <w:ind w:firstLine="8"/>
        <w:spacing w:after="0" w:line="247" w:lineRule="auto"/>
        <w:tabs>
          <w:tab w:leader="none" w:pos="28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breach or non-performance of, or any default under, a Contractual Obligation of the Company or any Subsidiary; (ii) any dispute, litigation, investigation, proceeding or suspension between the Company or any Subsidiary and any Governmental Authority; or (iii) the commencement of, or any material development in, any litigation or proceeding affecting the Company or any Subsidiary, including pursuant to any applicable Environmental Laws, in each case for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above, individually or collectively, that has resulted or would reasonably be expected to result in a Material Adverse Effect;</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occurrence of any ERISA Event in connection with which liability would reasonably be expected to exceed</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$5,000,000;</w:t>
      </w:r>
    </w:p>
    <w:p>
      <w:pPr>
        <w:spacing w:after="0" w:line="195" w:lineRule="exact"/>
        <w:rPr>
          <w:rFonts w:ascii="Times New Roman" w:cs="Times New Roman" w:eastAsia="Times New Roman" w:hAnsi="Times New Roman"/>
          <w:sz w:val="21"/>
          <w:szCs w:val="21"/>
          <w:color w:val="auto"/>
        </w:rPr>
      </w:pPr>
    </w:p>
    <w:p>
      <w:pPr>
        <w:ind w:firstLine="656"/>
        <w:spacing w:after="0" w:line="271" w:lineRule="auto"/>
        <w:tabs>
          <w:tab w:leader="none" w:pos="1291"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any material change in accounting policies or financial reporting practices by any Loan Party or any Subsidiary thereof, including any determination by the Company referred to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right="20" w:firstLine="656"/>
        <w:spacing w:after="0" w:line="271" w:lineRule="auto"/>
        <w:tabs>
          <w:tab w:leader="none" w:pos="1293"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occurrence of any event for which the Borrowers are required to make a mandatory prepayment pursuant to </w:t>
      </w:r>
      <w:r>
        <w:rPr>
          <w:rFonts w:ascii="Times New Roman" w:cs="Times New Roman" w:eastAsia="Times New Roman" w:hAnsi="Times New Roman"/>
          <w:sz w:val="22"/>
          <w:szCs w:val="22"/>
          <w:u w:val="single" w:color="auto"/>
          <w:color w:val="auto"/>
        </w:rPr>
        <w:t>Section 2.05(b)(i)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and</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occurrence of any event that gives rise to a Collateral Reinstatement Event.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Each notice pursuant to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6.03(e)</w:t>
      </w:r>
      <w:r>
        <w:rPr>
          <w:rFonts w:ascii="Times New Roman" w:cs="Times New Roman" w:eastAsia="Times New Roman" w:hAnsi="Times New Roman"/>
          <w:sz w:val="22"/>
          <w:szCs w:val="22"/>
          <w:color w:val="auto"/>
        </w:rPr>
        <w:t>) shall be accompanied by a statement of a Responsible Officer of the Company setting forth details of the occurrence referred to therein and stating what action the Borrowers have taken and propose to take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ectPr>
          <w:pgSz w:w="11900" w:h="16838" w:orient="portrait"/>
          <w:cols w:equalWidth="0" w:num="1">
            <w:col w:w="11240"/>
          </w:cols>
          <w:pgMar w:left="320" w:top="1422" w:right="339" w:bottom="1440" w:gutter="0" w:footer="0" w:header="0"/>
        </w:sectPr>
      </w:pPr>
    </w:p>
    <w:bookmarkStart w:id="223" w:name="page224"/>
    <w:bookmarkEnd w:id="223"/>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respect thereto. Each notice pursuant to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shall describe with particularity any and all provisions of this Agreement and any other Loan Document that have been breached.</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6.04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19"/>
          <w:szCs w:val="19"/>
          <w:color w:val="auto"/>
        </w:rPr>
        <w:t>. Pay and discharge as the same shall become due and payable, all its material obligations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liabilities, including (a) all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Company or such Subsidiary; (b) all material lawful claims which, if unpaid, would by law become a Lien upon its property other than Permitted Liens; and (c) all material Indebtedness, as and when due and payable and which, if unpaid, would reasonably be expected to result in a Material Adverse Effect or a Default or Event of Default hereunder, but subject to any subordination provisions contained in any instrument or agreement evidencing such Indebtedness.</w:t>
      </w: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6.05 </w:t>
      </w:r>
      <w:r>
        <w:rPr>
          <w:rFonts w:ascii="Times New Roman" w:cs="Times New Roman" w:eastAsia="Times New Roman" w:hAnsi="Times New Roman"/>
          <w:sz w:val="22"/>
          <w:szCs w:val="22"/>
          <w:u w:val="single" w:color="auto"/>
          <w:color w:val="auto"/>
        </w:rPr>
        <w:t>Preservation of Existence, Etc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 Preserve, renew and maintain in full force and effect its legal existence and good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standing (to the extent such concept is relevant under the Laws of the applicable jurisdiction of incorporation or organization) under the Laws of the jurisdiction of its organization except in a transaction permitted by </w:t>
      </w:r>
      <w:r>
        <w:rPr>
          <w:rFonts w:ascii="Times New Roman" w:cs="Times New Roman" w:eastAsia="Times New Roman" w:hAnsi="Times New Roman"/>
          <w:sz w:val="19"/>
          <w:szCs w:val="19"/>
          <w:u w:val="single" w:color="auto"/>
          <w:color w:val="auto"/>
        </w:rPr>
        <w:t>Section 7.04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7.05</w:t>
      </w:r>
      <w:r>
        <w:rPr>
          <w:rFonts w:ascii="Times New Roman" w:cs="Times New Roman" w:eastAsia="Times New Roman" w:hAnsi="Times New Roman"/>
          <w:sz w:val="19"/>
          <w:szCs w:val="19"/>
          <w:color w:val="auto"/>
        </w:rPr>
        <w:t xml:space="preserve">; (b) take all reasonable action to maintain all rights, privileges, permits, licenses and franchises necessary or desirable in the normal conduct of its business, except to the extent that failure to do so would not reasonably be expected to have a Material Adverse Effect; and (c) preserve or renew all of its registered patents, trademarks, trade names and service marks, the non-preservation of which would reasonably be expected to have a Material Adverse Effect. For the avoidance of doubt, the foregoing shall not prevent any Person from converting from one form of legal entity to another in a transaction otherwise permitted hereunder, so long as, in the case of a Loan Party, such Person complies with the requirements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6.12(d)(ii)</w:t>
      </w:r>
      <w:r>
        <w:rPr>
          <w:rFonts w:ascii="Times New Roman" w:cs="Times New Roman" w:eastAsia="Times New Roman" w:hAnsi="Times New Roman"/>
          <w:sz w:val="19"/>
          <w:szCs w:val="19"/>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6.06 </w:t>
      </w:r>
      <w:r>
        <w:rPr>
          <w:rFonts w:ascii="Times New Roman" w:cs="Times New Roman" w:eastAsia="Times New Roman" w:hAnsi="Times New Roman"/>
          <w:sz w:val="22"/>
          <w:szCs w:val="22"/>
          <w:u w:val="single" w:color="auto"/>
          <w:color w:val="auto"/>
        </w:rPr>
        <w:t>Maintenance of Properties</w:t>
      </w:r>
      <w:r>
        <w:rPr>
          <w:rFonts w:ascii="Times New Roman" w:cs="Times New Roman" w:eastAsia="Times New Roman" w:hAnsi="Times New Roman"/>
          <w:sz w:val="19"/>
          <w:szCs w:val="19"/>
          <w:color w:val="auto"/>
        </w:rPr>
        <w:t>. (a) Maintain, preserve and protect all of its material properties and equipment necessary 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operation of its business in good working order and condition, ordinary wear and tear excepted; (b) make all necessary repairs thereto and renewals and replacements thereof except where the failure to do so would not reasonably be expected to have a Material Adverse Effect; and (c) use the standard of care typical in the relevant industries and countries in the operation and maintenance of its facilities.</w:t>
      </w:r>
    </w:p>
    <w:p>
      <w:pPr>
        <w:spacing w:after="0" w:line="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6.07 </w:t>
      </w:r>
      <w:r>
        <w:rPr>
          <w:rFonts w:ascii="Times New Roman" w:cs="Times New Roman" w:eastAsia="Times New Roman" w:hAnsi="Times New Roman"/>
          <w:sz w:val="22"/>
          <w:szCs w:val="22"/>
          <w:u w:val="single" w:color="auto"/>
          <w:color w:val="auto"/>
        </w:rPr>
        <w:t>Maintenance of Insurance</w:t>
      </w:r>
      <w:r>
        <w:rPr>
          <w:rFonts w:ascii="Times New Roman" w:cs="Times New Roman" w:eastAsia="Times New Roman" w:hAnsi="Times New Roman"/>
          <w:sz w:val="19"/>
          <w:szCs w:val="19"/>
          <w:color w:val="auto"/>
        </w:rPr>
        <w:t>. (a) With respect to the Company and its domestic Subsidiaries, maintain with 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companies, insurance with respect to its properties and business against loss or damage of the kinds customarily insured against by Persons engaged in the same or similar business, of such types and in such amounts and with such deductibles as are customarily carried under similar circumstances by such other Persons; and (b) with respect to Subsidiaries of the Company located in jurisdictions located outside the United States, maintain with reputable insurance companies, insurance with respect to its properties and business against loss or damage of the kinds customarily insured against by Persons engaged in the same or similar business with similar value in such jurisdictions, of such types and in such amounts and with such deductibles as are customarily carried under similar circumstances by such other Persons in such jurisdictions and which insurance companies are financially sound as of the date of issuance or renewal of each such policy.</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 xml:space="preserve">6.08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19"/>
          <w:szCs w:val="19"/>
          <w:color w:val="auto"/>
        </w:rPr>
        <w:t>. Comply in all material respects with the requirements of all Laws and all orders, writs, injunctions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ectPr>
          <w:pgSz w:w="11900" w:h="16838" w:orient="portrait"/>
          <w:cols w:equalWidth="0" w:num="1">
            <w:col w:w="11240"/>
          </w:cols>
          <w:pgMar w:left="320" w:top="1422" w:right="339" w:bottom="1440" w:gutter="0" w:footer="0" w:header="0"/>
        </w:sectPr>
      </w:pPr>
    </w:p>
    <w:bookmarkStart w:id="224" w:name="page225"/>
    <w:bookmarkEnd w:id="224"/>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6.09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19"/>
          <w:szCs w:val="19"/>
          <w:color w:val="auto"/>
        </w:rPr>
        <w:t>. (a) Maintain proper books of record and account, in which full, true and correct entries in conformity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with GAAP consistently applied shall be made of all financial transactions and matters involving the assets and business of the Company or such Subsidiary, as the case may be; and (b) maintain such books of record and account in material conformity with all applicable requirements of any Governmental Authority having regulatory jurisdiction over any Borrower or such Subsidiary, as the case may be.</w:t>
      </w: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u w:val="single" w:color="auto"/>
          <w:color w:val="auto"/>
        </w:rPr>
        <w:t>Inspection Rights</w:t>
      </w:r>
      <w:r>
        <w:rPr>
          <w:rFonts w:ascii="Times New Roman" w:cs="Times New Roman" w:eastAsia="Times New Roman" w:hAnsi="Times New Roman"/>
          <w:sz w:val="19"/>
          <w:szCs w:val="19"/>
          <w:color w:val="auto"/>
        </w:rPr>
        <w:t>. Permit (a) representatives and independent contractors of any of the Administrative Agents (together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with any Lender accompanying the representatives or independent contractors of the Administrative Agents) and (b) each Lender to visit and inspect any of its properties, to examine its corporate, financial and operating records, and make copies thereof or abstracts therefrom, and to discuss its affairs, finances and accounts with its directors and officers, and independent public accountants, (i) up to one such visit per fiscal year made by each Administrative Agent shall be at the expense of the Company and at such reasonable times during normal business hours and as often as may be reasonably desired, upon at least three (3) Business Days’ advance notice to the Company and (ii) all such visits by any Lender shall be upon terms reasonably determined by such Lender and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when an Event of Default exists any Administrative Agent or any Lender (or any of their respective representatives or independent contractors) may do any of the foregoing at the expense of the Company at any time during normal business hours and without advance notice.</w:t>
      </w:r>
    </w:p>
    <w:p>
      <w:pPr>
        <w:spacing w:after="0" w:line="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19"/>
          <w:szCs w:val="19"/>
          <w:color w:val="auto"/>
        </w:rPr>
        <w:t>. Use the proceeds of (a) the Term Facilities on the Amendment No. 4 Effective Date to finance in part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Transactions and (b) the Revolving Credit Facility (i) on the Amendment No. 4 Effective Date to finance in part the Transactions and issue Letters of Credit and (ii) from time to time after the Amendment No. 4 Effective Date for working capital and other general corporate purposes of the Company and its Subsidiaries including Permitted Acquisitions and Restricted Payments not in contravention of any Laws or of any Loan Document.</w:t>
      </w: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6.12</w:t>
      </w:r>
      <w:r>
        <w:rPr>
          <w:sz w:val="20"/>
          <w:szCs w:val="20"/>
          <w:color w:val="auto"/>
        </w:rPr>
        <w:tab/>
      </w:r>
      <w:r>
        <w:rPr>
          <w:rFonts w:ascii="Times New Roman" w:cs="Times New Roman" w:eastAsia="Times New Roman" w:hAnsi="Times New Roman"/>
          <w:sz w:val="21"/>
          <w:szCs w:val="21"/>
          <w:u w:val="single" w:color="auto"/>
          <w:color w:val="auto"/>
        </w:rPr>
        <w:t>Covenant to Guarantee Obligations and Give Security</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jc w:val="both"/>
        <w:ind w:right="20" w:firstLine="854"/>
        <w:spacing w:after="0" w:line="249" w:lineRule="auto"/>
        <w:tabs>
          <w:tab w:leader="none" w:pos="1252"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Annually at such time as the audited financial statements are required to be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any time after the Amendment No. 4 Effective Date that there is a Material Acquisition, the Company shall cause the Collateral and Guarantee Requirement to be satisfied.</w:t>
      </w:r>
    </w:p>
    <w:p>
      <w:pPr>
        <w:spacing w:after="0" w:line="202" w:lineRule="exact"/>
        <w:rPr>
          <w:rFonts w:ascii="Times New Roman" w:cs="Times New Roman" w:eastAsia="Times New Roman" w:hAnsi="Times New Roman"/>
          <w:sz w:val="20"/>
          <w:szCs w:val="20"/>
          <w:color w:val="auto"/>
        </w:rPr>
      </w:pPr>
    </w:p>
    <w:p>
      <w:pPr>
        <w:jc w:val="both"/>
        <w:ind w:firstLine="656"/>
        <w:spacing w:after="0" w:line="248" w:lineRule="auto"/>
        <w:tabs>
          <w:tab w:leader="none" w:pos="1293"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the Amendment No. 4 Effective Date and other than during a Collateral Release Period, (i) any material assets are acquired by any Domestic Obligor or are held by any Restricted Subsidiary on or after the time it becomes a Domestic Obligor pursuant to this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or the Collateral and Guarantee Requirement (other than assets constituting Collateral under a Collateral Document that become subject to the Lien created by such Collateral Document upon acquisition thereof or constituting Excluded Assets) or (ii) any Material Commercial Tort Claim arises, then in any such case notify the General Administrative Agent thereof no later than the earlier of (A) the date that the next Compliance Certificate is required to be delivered pursuant to </w:t>
      </w:r>
      <w:r>
        <w:rPr>
          <w:rFonts w:ascii="Times New Roman" w:cs="Times New Roman" w:eastAsia="Times New Roman" w:hAnsi="Times New Roman"/>
          <w:sz w:val="22"/>
          <w:szCs w:val="22"/>
          <w:u w:val="single" w:color="auto"/>
          <w:color w:val="auto"/>
        </w:rPr>
        <w:t>Section 6.02(b)</w:t>
      </w:r>
      <w:r>
        <w:rPr>
          <w:rFonts w:ascii="Times New Roman" w:cs="Times New Roman" w:eastAsia="Times New Roman" w:hAnsi="Times New Roman"/>
          <w:sz w:val="22"/>
          <w:szCs w:val="22"/>
          <w:color w:val="auto"/>
        </w:rPr>
        <w:t xml:space="preserve"> or (B) if such event results from a Material Acquisition, at the time of such Material Acquisition (in each case, as such period may be extended by the General Administrative Agent in its reasonable discretion), and (upon request of the General Administrative Agent for those assets and actions subject to such request pursuant to the Collateral and Guarantee Requirement) within forty-five (45) days after such occurrence or request (as such period may be extended by the General Administrative Agent in its reasonable discretion) cause such assets to be subjected to a Lien securing the Obligations and take and cause the other Domestic Obligors to take, such actions as shall be necessary and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ectPr>
          <w:pgSz w:w="11900" w:h="16838" w:orient="portrait"/>
          <w:cols w:equalWidth="0" w:num="1">
            <w:col w:w="11240"/>
          </w:cols>
          <w:pgMar w:left="320" w:top="1422" w:right="339" w:bottom="1440" w:gutter="0" w:footer="0" w:header="0"/>
        </w:sectPr>
      </w:pPr>
    </w:p>
    <w:bookmarkStart w:id="225" w:name="page226"/>
    <w:bookmarkEnd w:id="225"/>
    <w:p>
      <w:pPr>
        <w:spacing w:after="0" w:line="271" w:lineRule="auto"/>
        <w:rPr>
          <w:sz w:val="20"/>
          <w:szCs w:val="20"/>
          <w:color w:val="auto"/>
        </w:rPr>
      </w:pPr>
      <w:r>
        <w:rPr>
          <w:rFonts w:ascii="Times New Roman" w:cs="Times New Roman" w:eastAsia="Times New Roman" w:hAnsi="Times New Roman"/>
          <w:sz w:val="22"/>
          <w:szCs w:val="22"/>
          <w:color w:val="auto"/>
        </w:rPr>
        <w:t>requested by the General Administrative Agent to grant and perfect such Liens, including actions as required pursuant to the Collateral and Guarantee Requirement and/or the applicable Collateral Documents.</w:t>
      </w:r>
    </w:p>
    <w:p>
      <w:pPr>
        <w:spacing w:after="0" w:line="158" w:lineRule="exact"/>
        <w:rPr>
          <w:sz w:val="20"/>
          <w:szCs w:val="20"/>
          <w:color w:val="auto"/>
        </w:rPr>
      </w:pPr>
    </w:p>
    <w:p>
      <w:pPr>
        <w:jc w:val="both"/>
        <w:ind w:firstLine="656"/>
        <w:spacing w:after="0" w:line="252" w:lineRule="auto"/>
        <w:tabs>
          <w:tab w:leader="none" w:pos="1291"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a result of any event or circumstance expressly addressed by </w:t>
      </w:r>
      <w:r>
        <w:rPr>
          <w:rFonts w:ascii="Times New Roman" w:cs="Times New Roman" w:eastAsia="Times New Roman" w:hAnsi="Times New Roman"/>
          <w:sz w:val="22"/>
          <w:szCs w:val="22"/>
          <w:u w:val="single" w:color="auto"/>
          <w:color w:val="auto"/>
        </w:rPr>
        <w:t>Section 6.12(a)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other than during a Collateral Release Period, if at any time any Borrower obtains knowledge that the Collateral and Guarantee Requirement has not been satisfied with respect to assets of any Loan Party for any reason (including by reason of notice thereof by any Administrative Agent or any Lender), then within two (2) Business Days of receipt of such knowledge notify the General Administrative Agent thereof and, within thirty (30) days after such notice (or such longer time period as agreed to by the General Administrative Agent in its reasonable discretion), cause the Collateral and Guarantee Requirement to be satisfied with respect to such circumstance.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(or cause to be furnished) to the General Administrative Agent promptly (and in any event within fifteen</w:t>
      </w:r>
    </w:p>
    <w:p>
      <w:pPr>
        <w:spacing w:after="0" w:line="27"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or such other period as reasonably agreed to by the General Administrative Agent) written notice of any change</w:t>
      </w:r>
    </w:p>
    <w:p>
      <w:pPr>
        <w:spacing w:after="0" w:line="3" w:lineRule="exact"/>
        <w:rPr>
          <w:rFonts w:ascii="Times New Roman" w:cs="Times New Roman" w:eastAsia="Times New Roman" w:hAnsi="Times New Roman"/>
          <w:sz w:val="22"/>
          <w:szCs w:val="22"/>
          <w:color w:val="auto"/>
        </w:rPr>
      </w:pPr>
    </w:p>
    <w:p>
      <w:pPr>
        <w:jc w:val="both"/>
        <w:ind w:right="2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 any Loan Party’s legal name (as set forth in its certificate of organization or like document), (ii) in the jurisdiction of organization or formation of any Loan Party or in the form of its organization, or (iii) in any Loan Party’s organizational identification number or Federal taxpayer identification number.</w:t>
      </w:r>
    </w:p>
    <w:p>
      <w:pPr>
        <w:spacing w:after="0" w:line="200"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notify the General Administrative Agent if any portion of the Collateral is damaged or destroyed, which individually or in the aggregate could reasonably be expected to have a Material Adverse Effect.</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requirement to take actions set forth in this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within a certain period of time, the applicable Administrative Agents may grant extensions of such required time in its reasonable discretion.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6.13 </w:t>
      </w:r>
      <w:r>
        <w:rPr>
          <w:rFonts w:ascii="Times New Roman" w:cs="Times New Roman" w:eastAsia="Times New Roman" w:hAnsi="Times New Roman"/>
          <w:sz w:val="22"/>
          <w:szCs w:val="22"/>
          <w:u w:val="single" w:color="auto"/>
          <w:color w:val="auto"/>
        </w:rPr>
        <w:t>Approvals and Authorizations</w:t>
      </w:r>
      <w:r>
        <w:rPr>
          <w:rFonts w:ascii="Times New Roman" w:cs="Times New Roman" w:eastAsia="Times New Roman" w:hAnsi="Times New Roman"/>
          <w:sz w:val="19"/>
          <w:szCs w:val="19"/>
          <w:color w:val="auto"/>
        </w:rPr>
        <w:t>. Maintain all authorizations, consents, approvals and licenses from, exemptions of,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filings and registrations with, each Governmental Authority of the jurisdiction in which each Domestic Obligor and Foreign Obligor is organized and existing, and all approvals and consents of each other Person in such jurisdiction, in each case that are required in connection with the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neither the Company nor any Subsidiary shall be responsible for maintaining any Lender’s qualification in any jurisdiction, or any other authorizations, consents, approval and licenses, exemptions, and filings and registrations, that may be required of any Lender to extend credit in the relevant jurisdiction.</w:t>
      </w:r>
    </w:p>
    <w:p>
      <w:pPr>
        <w:spacing w:after="0" w:line="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6.14 </w:t>
      </w:r>
      <w:r>
        <w:rPr>
          <w:rFonts w:ascii="Times New Roman" w:cs="Times New Roman" w:eastAsia="Times New Roman" w:hAnsi="Times New Roman"/>
          <w:sz w:val="22"/>
          <w:szCs w:val="22"/>
          <w:u w:val="single" w:color="auto"/>
          <w:color w:val="auto"/>
        </w:rPr>
        <w:t>Compliance with Environmental Laws</w:t>
      </w:r>
      <w:r>
        <w:rPr>
          <w:rFonts w:ascii="Times New Roman" w:cs="Times New Roman" w:eastAsia="Times New Roman" w:hAnsi="Times New Roman"/>
          <w:sz w:val="19"/>
          <w:szCs w:val="19"/>
          <w:color w:val="auto"/>
        </w:rPr>
        <w:t>. Except where the failure to do so in any of the instances in this clause would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reasonably be expected to result in a Material Adverse Effect, comply, and cause all lessees and other Persons operating 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response or other corrective action necessary to address all Hazardous Materials at, on, under or emanating from any of properties owned, leased or operated by it, and in accordance with the requirements of all Environmental Laws;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neither the Company nor any of its Restricted Subsidiaries shall be required to undertake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ectPr>
          <w:pgSz w:w="11900" w:h="16838" w:orient="portrait"/>
          <w:cols w:equalWidth="0" w:num="1">
            <w:col w:w="11240"/>
          </w:cols>
          <w:pgMar w:left="320" w:top="1422" w:right="339" w:bottom="1440" w:gutter="0" w:footer="0" w:header="0"/>
        </w:sectPr>
      </w:pPr>
    </w:p>
    <w:bookmarkStart w:id="226" w:name="page227"/>
    <w:bookmarkEnd w:id="226"/>
    <w:p>
      <w:pPr>
        <w:jc w:val="both"/>
        <w:spacing w:after="0" w:line="261" w:lineRule="auto"/>
        <w:rPr>
          <w:sz w:val="20"/>
          <w:szCs w:val="20"/>
          <w:color w:val="auto"/>
        </w:rPr>
      </w:pPr>
      <w:r>
        <w:rPr>
          <w:rFonts w:ascii="Times New Roman" w:cs="Times New Roman" w:eastAsia="Times New Roman" w:hAnsi="Times New Roman"/>
          <w:sz w:val="20"/>
          <w:szCs w:val="20"/>
          <w:color w:val="auto"/>
        </w:rPr>
        <w:t>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6.15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19"/>
          <w:szCs w:val="19"/>
          <w:color w:val="auto"/>
        </w:rPr>
        <w:t>. Promptly upon reasonable request by any Administrative Agent, (a) correct any material defect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any Administrative Agent may reasonably require from time to time in order to (i) carry out more effectively the purposes of the Loan Documents, (ii) to the fullest extent permitted by applicable law, subject any Loan Party’s or any of its Restricted Subsidiaries’ properties, assets, rights or interests to the Liens now or hereafter intended to be covered by any of the Collateral Documents,</w:t>
      </w:r>
    </w:p>
    <w:p>
      <w:pPr>
        <w:spacing w:after="0" w:line="4" w:lineRule="exact"/>
        <w:rPr>
          <w:sz w:val="20"/>
          <w:szCs w:val="20"/>
          <w:color w:val="auto"/>
        </w:rPr>
      </w:pPr>
    </w:p>
    <w:p>
      <w:pPr>
        <w:jc w:val="both"/>
        <w:ind w:firstLine="8"/>
        <w:spacing w:after="0" w:line="247" w:lineRule="auto"/>
        <w:tabs>
          <w:tab w:leader="none" w:pos="371"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w:t>
      </w:r>
    </w:p>
    <w:p>
      <w:pPr>
        <w:spacing w:after="0" w:line="4"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6.16   </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19"/>
          <w:szCs w:val="19"/>
          <w:color w:val="auto"/>
        </w:rPr>
        <w:t>.</w:t>
      </w:r>
    </w:p>
    <w:p>
      <w:pPr>
        <w:spacing w:after="0" w:line="21" w:lineRule="exact"/>
        <w:rPr>
          <w:rFonts w:ascii="Times New Roman" w:cs="Times New Roman" w:eastAsia="Times New Roman" w:hAnsi="Times New Roman"/>
          <w:sz w:val="20"/>
          <w:szCs w:val="20"/>
          <w:color w:val="auto"/>
        </w:rPr>
      </w:pPr>
    </w:p>
    <w:p>
      <w:pPr>
        <w:jc w:val="both"/>
        <w:ind w:firstLine="648"/>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6.17 </w:t>
      </w:r>
      <w:r>
        <w:rPr>
          <w:rFonts w:ascii="Times New Roman" w:cs="Times New Roman" w:eastAsia="Times New Roman" w:hAnsi="Times New Roman"/>
          <w:sz w:val="22"/>
          <w:szCs w:val="22"/>
          <w:u w:val="single" w:color="auto"/>
          <w:color w:val="auto"/>
        </w:rPr>
        <w:t>Designation as Senior Debt</w:t>
      </w:r>
      <w:r>
        <w:rPr>
          <w:rFonts w:ascii="Times New Roman" w:cs="Times New Roman" w:eastAsia="Times New Roman" w:hAnsi="Times New Roman"/>
          <w:sz w:val="19"/>
          <w:szCs w:val="19"/>
          <w:color w:val="auto"/>
        </w:rPr>
        <w:t>. To the extent applicable at any time, designate all Obligations under this Agreement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“Designated Senior Indebtedness” (or similar term) under, and as defined in, any documentation with respect to Indebtedness that is subordinated to the Obligations.</w:t>
      </w:r>
    </w:p>
    <w:p>
      <w:pPr>
        <w:spacing w:after="0" w:line="2" w:lineRule="exact"/>
        <w:rPr>
          <w:rFonts w:ascii="Times New Roman" w:cs="Times New Roman" w:eastAsia="Times New Roman" w:hAnsi="Times New Roman"/>
          <w:sz w:val="20"/>
          <w:szCs w:val="20"/>
          <w:color w:val="auto"/>
        </w:rPr>
      </w:pPr>
    </w:p>
    <w:p>
      <w:pPr>
        <w:jc w:val="both"/>
        <w:ind w:firstLine="648"/>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6.18 </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19"/>
          <w:szCs w:val="19"/>
          <w:color w:val="auto"/>
        </w:rPr>
        <w:t>. Conduct its businesses in material compliance with the United States Foreign Corrupt Practices Act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 1977, the UK Bribery Act 2010, and other similar anti-corruption legislation in other jurisdictions, and maintain policies and procedures designed to promote and achieve compliance with such laws.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ARTICLE VII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NEGATIVE COVENANTS</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So long as any Lender shall have any Commitment hereunder, any Loan or other Obligation hereunder shall remain unpaid or unsatisfied, or any Letter of Credit shall remain outstanding, the Company shall not, nor shall it permit any Restricted Subsidiary to, directly or indirectly:</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7.01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19"/>
          <w:szCs w:val="19"/>
          <w:color w:val="auto"/>
        </w:rPr>
        <w:t>. Create, incur, assume or suffer to exist any Lien upon any of its property, assets or revenues, whether now owned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hereafter acquired, other than the following:</w:t>
      </w:r>
    </w:p>
    <w:p>
      <w:pPr>
        <w:spacing w:after="0" w:line="1" w:lineRule="exact"/>
        <w:rPr>
          <w:sz w:val="20"/>
          <w:szCs w:val="20"/>
          <w:color w:val="auto"/>
        </w:rPr>
      </w:pPr>
    </w:p>
    <w:p>
      <w:pPr>
        <w:ind w:left="1300" w:hanging="644"/>
        <w:spacing w:after="0"/>
        <w:tabs>
          <w:tab w:leader="none" w:pos="130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pursuant to any Loan Document;</w:t>
      </w:r>
    </w:p>
    <w:p>
      <w:pPr>
        <w:spacing w:after="0" w:line="213"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Amendment No. 4 Effective Date and listed on </w:t>
      </w:r>
      <w:r>
        <w:rPr>
          <w:rFonts w:ascii="Times New Roman" w:cs="Times New Roman" w:eastAsia="Times New Roman" w:hAnsi="Times New Roman"/>
          <w:sz w:val="22"/>
          <w:szCs w:val="22"/>
          <w:u w:val="single" w:color="auto"/>
          <w:color w:val="auto"/>
        </w:rPr>
        <w:t>Schedule 7.01</w:t>
      </w:r>
      <w:r>
        <w:rPr>
          <w:rFonts w:ascii="Times New Roman" w:cs="Times New Roman" w:eastAsia="Times New Roman" w:hAnsi="Times New Roman"/>
          <w:sz w:val="22"/>
          <w:szCs w:val="22"/>
          <w:color w:val="auto"/>
        </w:rPr>
        <w:t xml:space="preserve"> and any renewals or extensions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property covered thereby is not changed, (ii) the amount secured or benefited thereby is not increased except as contemplated by </w:t>
      </w:r>
      <w:r>
        <w:rPr>
          <w:rFonts w:ascii="Times New Roman" w:cs="Times New Roman" w:eastAsia="Times New Roman" w:hAnsi="Times New Roman"/>
          <w:sz w:val="22"/>
          <w:szCs w:val="22"/>
          <w:u w:val="single" w:color="auto"/>
          <w:color w:val="auto"/>
        </w:rPr>
        <w:t>Section 7.02(b)</w:t>
      </w:r>
      <w:r>
        <w:rPr>
          <w:rFonts w:ascii="Times New Roman" w:cs="Times New Roman" w:eastAsia="Times New Roman" w:hAnsi="Times New Roman"/>
          <w:sz w:val="22"/>
          <w:szCs w:val="22"/>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22"/>
          <w:szCs w:val="22"/>
          <w:u w:val="single" w:color="auto"/>
          <w:color w:val="auto"/>
        </w:rPr>
        <w:t>Section 7.02(b)</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ectPr>
          <w:pgSz w:w="11900" w:h="16838" w:orient="portrait"/>
          <w:cols w:equalWidth="0" w:num="1">
            <w:col w:w="11240"/>
          </w:cols>
          <w:pgMar w:left="320" w:top="1413" w:right="339" w:bottom="1440" w:gutter="0" w:footer="0" w:header="0"/>
        </w:sectPr>
      </w:pPr>
    </w:p>
    <w:bookmarkStart w:id="227" w:name="page228"/>
    <w:bookmarkEnd w:id="227"/>
    <w:p>
      <w:pPr>
        <w:jc w:val="both"/>
        <w:ind w:firstLine="656"/>
        <w:spacing w:after="0" w:line="257" w:lineRule="auto"/>
        <w:tabs>
          <w:tab w:leader="none" w:pos="1291"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liability to insurance carriers and leases (other than Indebtedness), statutory obligations, surety and appeal bonds, performance bonds, contractual or warranty obligations and other obligations of a like nature incurred in the ordinary course of business;</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judgments for the payment of money not constituting an Event of Default under </w:t>
      </w:r>
      <w:r>
        <w:rPr>
          <w:rFonts w:ascii="Times New Roman" w:cs="Times New Roman" w:eastAsia="Times New Roman" w:hAnsi="Times New Roman"/>
          <w:sz w:val="22"/>
          <w:szCs w:val="22"/>
          <w:u w:val="single" w:color="auto"/>
          <w:color w:val="auto"/>
        </w:rPr>
        <w:t>Section 8.01(h)</w:t>
      </w:r>
      <w:r>
        <w:rPr>
          <w:rFonts w:ascii="Times New Roman" w:cs="Times New Roman" w:eastAsia="Times New Roman" w:hAnsi="Times New Roman"/>
          <w:sz w:val="22"/>
          <w:szCs w:val="22"/>
          <w:color w:val="auto"/>
        </w:rPr>
        <w:t xml:space="preserve"> (or securing appeal or similar bonds in connection therewith);</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Usual and customary rights of set off on deposit accounts in favor of depositary institutions, including any right of set-off or other security arising under the general terms and conditions (</w:t>
      </w:r>
      <w:r>
        <w:rPr>
          <w:rFonts w:ascii="Times New Roman" w:cs="Times New Roman" w:eastAsia="Times New Roman" w:hAnsi="Times New Roman"/>
          <w:sz w:val="22"/>
          <w:szCs w:val="22"/>
          <w:i w:val="1"/>
          <w:iCs w:val="1"/>
          <w:color w:val="auto"/>
        </w:rPr>
        <w:t>algemene bankvoorwaarden</w:t>
      </w:r>
      <w:r>
        <w:rPr>
          <w:rFonts w:ascii="Times New Roman" w:cs="Times New Roman" w:eastAsia="Times New Roman" w:hAnsi="Times New Roman"/>
          <w:sz w:val="22"/>
          <w:szCs w:val="22"/>
          <w:color w:val="auto"/>
        </w:rPr>
        <w:t>) in respect of bank accounts held by a Borrower in the Netherlands;</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w:t>
      </w:r>
      <w:r>
        <w:rPr>
          <w:rFonts w:ascii="Times New Roman" w:cs="Times New Roman" w:eastAsia="Times New Roman" w:hAnsi="Times New Roman"/>
          <w:sz w:val="22"/>
          <w:szCs w:val="22"/>
          <w:u w:val="single" w:color="auto"/>
          <w:color w:val="auto"/>
        </w:rPr>
        <w:t>Sections 7.02(e)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Liens do not at any time encumber any property other than the property financed by such Indebtedness and the proceeds thereof and (ii) the Indebtedness secured thereby does not exceed the cost of the property being acquired on the date of acquisition;</w:t>
      </w:r>
    </w:p>
    <w:p>
      <w:pPr>
        <w:spacing w:after="0" w:line="172" w:lineRule="exact"/>
        <w:rPr>
          <w:rFonts w:ascii="Times New Roman" w:cs="Times New Roman" w:eastAsia="Times New Roman" w:hAnsi="Times New Roman"/>
          <w:sz w:val="22"/>
          <w:szCs w:val="22"/>
          <w:color w:val="auto"/>
        </w:rPr>
      </w:pPr>
    </w:p>
    <w:p>
      <w:pPr>
        <w:jc w:val="both"/>
        <w:ind w:firstLine="656"/>
        <w:spacing w:after="0" w:line="262" w:lineRule="auto"/>
        <w:tabs>
          <w:tab w:leader="none" w:pos="1291"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(i) on assets of any Restricted Subsidiary which are in existence at the time that such Restricted Subsidiary is acquired after the Amendment No. 4 Effective Date pursuant to a Permitted Acquisition, and (ii) on assets of any Loan Party or any Restricted Subsidiary which are in existence at the time that such assets are acquired after the Amendment No. 4 Effective Date, and, in each case, any modification, replacement, renewal, refinancing or extension thereof (which shall not increase the amount of Indebtedness secured or expand the assets secured by such Lien);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Liens (A) are not incurred or created in anticipation of such transaction (B), only secure Indebtedness permitted under </w:t>
      </w:r>
      <w:r>
        <w:rPr>
          <w:rFonts w:ascii="Times New Roman" w:cs="Times New Roman" w:eastAsia="Times New Roman" w:hAnsi="Times New Roman"/>
          <w:sz w:val="21"/>
          <w:szCs w:val="21"/>
          <w:u w:val="single" w:color="auto"/>
          <w:color w:val="auto"/>
        </w:rPr>
        <w:t>Section 7.02(f)</w:t>
      </w:r>
      <w:r>
        <w:rPr>
          <w:rFonts w:ascii="Times New Roman" w:cs="Times New Roman" w:eastAsia="Times New Roman" w:hAnsi="Times New Roman"/>
          <w:sz w:val="21"/>
          <w:szCs w:val="21"/>
          <w:color w:val="auto"/>
        </w:rPr>
        <w:t xml:space="preserve"> and in an aggregate principal amount not to exceed $50,000,000 at any time outstanding and (C) attach only to the acquired assets or the assets of such acquired Restricted Subsidiary and the proceeds and products of such assets (and the proceeds and products thereof);</w:t>
      </w:r>
    </w:p>
    <w:p>
      <w:pPr>
        <w:spacing w:after="0" w:line="186" w:lineRule="exact"/>
        <w:rPr>
          <w:rFonts w:ascii="Times New Roman" w:cs="Times New Roman" w:eastAsia="Times New Roman" w:hAnsi="Times New Roman"/>
          <w:sz w:val="21"/>
          <w:szCs w:val="21"/>
          <w:color w:val="auto"/>
        </w:rPr>
      </w:pPr>
    </w:p>
    <w:p>
      <w:pPr>
        <w:jc w:val="both"/>
        <w:ind w:firstLine="656"/>
        <w:spacing w:after="0" w:line="252" w:lineRule="auto"/>
        <w:tabs>
          <w:tab w:leader="none" w:pos="1284"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not otherwise permitted by the foregoing clauses of this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securing outstanding obligations in an aggregate principal amount (including unmatured obligations) at any time outstanding not to exceed the greater of (i) $165,000,000 and (ii) 50.0% of Consolidated EBITDA for the most recently completed Measurement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Collateral Release Period is in effect, no such Lien shall attach to any asset that is, or is required to be, Collateral;</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1284"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obligations not constituting Indebtedness for borrowed money in an amount not exceeding $25,000,000 at any time outstanding;</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of Foreign Subsidiaries that are not Loan Parties securing Indebtedness in an aggregate principal amount not exceeding $150,000,000 at any time outstanding; and</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incurred to secure Obligations in respect of Indebtedness permitted to be incurred pursuant to </w:t>
      </w:r>
      <w:r>
        <w:rPr>
          <w:rFonts w:ascii="Times New Roman" w:cs="Times New Roman" w:eastAsia="Times New Roman" w:hAnsi="Times New Roman"/>
          <w:sz w:val="22"/>
          <w:szCs w:val="22"/>
          <w:u w:val="single" w:color="auto"/>
          <w:color w:val="auto"/>
        </w:rPr>
        <w:t>Section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7.02(p)</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154</w:t>
      </w:r>
    </w:p>
    <w:p>
      <w:pPr>
        <w:sectPr>
          <w:pgSz w:w="11900" w:h="16838" w:orient="portrait"/>
          <w:cols w:equalWidth="0" w:num="1">
            <w:col w:w="11240"/>
          </w:cols>
          <w:pgMar w:left="320" w:top="1422" w:right="339" w:bottom="1440" w:gutter="0" w:footer="0" w:header="0"/>
        </w:sectPr>
      </w:pPr>
    </w:p>
    <w:bookmarkStart w:id="228" w:name="page229"/>
    <w:bookmarkEnd w:id="228"/>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7.02</w:t>
      </w:r>
      <w:r>
        <w:rPr>
          <w:sz w:val="20"/>
          <w:szCs w:val="20"/>
          <w:color w:val="auto"/>
        </w:rPr>
        <w:tab/>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19"/>
          <w:szCs w:val="19"/>
          <w:color w:val="auto"/>
        </w:rPr>
        <w:t>. Create, incur, assume or suffer to exist any Indebtedness, except:</w:t>
      </w:r>
    </w:p>
    <w:p>
      <w:pPr>
        <w:spacing w:after="0" w:line="29" w:lineRule="exact"/>
        <w:rPr>
          <w:sz w:val="20"/>
          <w:szCs w:val="20"/>
          <w:color w:val="auto"/>
        </w:rPr>
      </w:pPr>
    </w:p>
    <w:p>
      <w:pPr>
        <w:ind w:firstLine="656"/>
        <w:spacing w:after="0" w:line="259" w:lineRule="auto"/>
        <w:tabs>
          <w:tab w:leader="none" w:pos="129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the Loan Documents (including Incremental Facilities, Refinancing Term Loans and Replacement Revolving Facilities);</w:t>
      </w:r>
    </w:p>
    <w:p>
      <w:pPr>
        <w:spacing w:after="0" w:line="170"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outstanding on the Amendment No. 4 Effective Date and listed on </w:t>
      </w:r>
      <w:r>
        <w:rPr>
          <w:rFonts w:ascii="Times New Roman" w:cs="Times New Roman" w:eastAsia="Times New Roman" w:hAnsi="Times New Roman"/>
          <w:sz w:val="22"/>
          <w:szCs w:val="22"/>
          <w:u w:val="single" w:color="auto"/>
          <w:color w:val="auto"/>
        </w:rPr>
        <w:t>Schedule 7.02</w:t>
      </w:r>
      <w:r>
        <w:rPr>
          <w:rFonts w:ascii="Times New Roman" w:cs="Times New Roman" w:eastAsia="Times New Roman" w:hAnsi="Times New Roman"/>
          <w:sz w:val="22"/>
          <w:szCs w:val="22"/>
          <w:color w:val="auto"/>
        </w:rPr>
        <w:t xml:space="preserve"> and any refinancings, refundings, renewals or extensions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still further</w:t>
      </w:r>
      <w:r>
        <w:rPr>
          <w:rFonts w:ascii="Times New Roman" w:cs="Times New Roman" w:eastAsia="Times New Roman" w:hAnsi="Times New Roman"/>
          <w:sz w:val="22"/>
          <w:szCs w:val="22"/>
          <w:color w:val="auto"/>
        </w:rPr>
        <w:t>, that the terms relating to principal amount, amortization, maturity, collateral (if any) and subordination (if any), and other material terms taken as a whole, of any such refinancing, refunding, renewing or extending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w:t>
      </w:r>
    </w:p>
    <w:p>
      <w:pPr>
        <w:spacing w:after="0" w:line="184"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intercompany Indebtedness owing (i) by a Domestic Obligor to a Domestic Obligor, (ii) by a Foreign Obligor to a Foreign Obligor, (iii) by a non-Loan Party to a non-Loan Party, (iv) by a non-Loan Party to a Loan Party, (v) by a Foreign Obligor to a Domestic Obligor, (vi) by a Domestic Obligor to a Foreign Obligor or (vii) by a Loan Party to a non-Loan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in the case of clauses (vi) and (vii), such Indebtedness in an aggregate principal amount exceeding $10,000,000 is subordinated to the Obligations under the Loan Documents of the obligated Loan Party under the Facilities in a manner reasonably satisfactory to the Administrative Agents and (B) in the case of </w:t>
      </w:r>
      <w:r>
        <w:rPr>
          <w:rFonts w:ascii="Times New Roman" w:cs="Times New Roman" w:eastAsia="Times New Roman" w:hAnsi="Times New Roman"/>
          <w:sz w:val="22"/>
          <w:szCs w:val="22"/>
          <w:u w:val="single" w:color="auto"/>
          <w:color w:val="auto"/>
        </w:rPr>
        <w:t>clauses (iv)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such Indebtedness shall (x) if the obligee is a Domestic Obligor, constitute “Pledged Collateral” under the Security and Pledge Agreement, (y) be on terms (including subordination terms) acceptable to the General Administrative Agent and (z) be in an aggregate principal amount (for all such Indebtedness under </w:t>
      </w:r>
      <w:r>
        <w:rPr>
          <w:rFonts w:ascii="Times New Roman" w:cs="Times New Roman" w:eastAsia="Times New Roman" w:hAnsi="Times New Roman"/>
          <w:sz w:val="22"/>
          <w:szCs w:val="22"/>
          <w:u w:val="single" w:color="auto"/>
          <w:color w:val="auto"/>
        </w:rPr>
        <w:t>clauses (iv)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at any time outstanding not exceeding the greater of (1) $250,000,000 and (2) 75% of Consolidated EBITDA for the most recently completed Measurement Period;</w:t>
      </w:r>
    </w:p>
    <w:p>
      <w:pPr>
        <w:spacing w:after="0" w:line="183"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1"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of (i) any Loan Party in respect of Indebtedness otherwise permitted hereunder of any other Loan Party, (ii) any Restricted Subsidiary that is not a Loan Party of Indebtedness otherwise permitted hereunder of any other Restricted Subsidiary, whether or not such Restricted Subsidiary is a Loan Party, or (iii) any Loan Party in respect of Indebtedness of any Restricted Subsidiary that is not a Loan Party (so long as the Investment by such Loan Party is permitted by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7.03(e)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each of the foregoing Guarantees shall constitute an Investment;</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3"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 respect of Capitalized Leases, Synthetic Lease Obligations and purchase money obligations for fixed or capital assets within the limitations set forth in </w:t>
      </w:r>
      <w:r>
        <w:rPr>
          <w:rFonts w:ascii="Times New Roman" w:cs="Times New Roman" w:eastAsia="Times New Roman" w:hAnsi="Times New Roman"/>
          <w:sz w:val="22"/>
          <w:szCs w:val="22"/>
          <w:u w:val="single" w:color="auto"/>
          <w:color w:val="auto"/>
        </w:rPr>
        <w:t>Section 7.01(g)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aggregate amount of all such Indebtedness at any one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155</w:t>
      </w:r>
    </w:p>
    <w:p>
      <w:pPr>
        <w:sectPr>
          <w:pgSz w:w="11900" w:h="16838" w:orient="portrait"/>
          <w:cols w:equalWidth="0" w:num="1">
            <w:col w:w="11240"/>
          </w:cols>
          <w:pgMar w:left="320" w:top="1422" w:right="339" w:bottom="1440" w:gutter="0" w:footer="0" w:header="0"/>
        </w:sectPr>
      </w:pPr>
    </w:p>
    <w:bookmarkStart w:id="229" w:name="page230"/>
    <w:bookmarkEnd w:id="229"/>
    <w:p>
      <w:pPr>
        <w:ind w:right="20"/>
        <w:spacing w:after="0" w:line="271" w:lineRule="auto"/>
        <w:rPr>
          <w:sz w:val="20"/>
          <w:szCs w:val="20"/>
          <w:color w:val="auto"/>
        </w:rPr>
      </w:pPr>
      <w:r>
        <w:rPr>
          <w:rFonts w:ascii="Times New Roman" w:cs="Times New Roman" w:eastAsia="Times New Roman" w:hAnsi="Times New Roman"/>
          <w:sz w:val="22"/>
          <w:szCs w:val="22"/>
          <w:color w:val="auto"/>
        </w:rPr>
        <w:t>outstanding shall not exceed the greater of (1) $165,000,000 and (2) 50.0% of Consolidated EBITDA for the most recently completed Measurement Period;</w:t>
      </w:r>
    </w:p>
    <w:p>
      <w:pPr>
        <w:spacing w:after="0" w:line="158" w:lineRule="exact"/>
        <w:rPr>
          <w:sz w:val="20"/>
          <w:szCs w:val="20"/>
          <w:color w:val="auto"/>
        </w:rPr>
      </w:pPr>
    </w:p>
    <w:p>
      <w:pPr>
        <w:jc w:val="both"/>
        <w:ind w:firstLine="656"/>
        <w:spacing w:after="0" w:line="250" w:lineRule="auto"/>
        <w:tabs>
          <w:tab w:leader="none" w:pos="1296"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any Person that becomes a Restricted Subsidiary of the Company or related to any asset acquired after the Amendment No. 4 Effective Date pursuant to a Permitted Acquisition and any modification, replacement, renewal, refinancing or extension thereof (which such modification, replacement, renewal, refinancing or extension shall not increase the principal amount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Indebtedness was not incurred in anticipation of such acquisition, (B) neither the Company nor any Restricted Subsidiary (other than the acquired Restricted Subsidiaries) is an obligor with respect to such Indebtedness and (C) such Indebtedness is either unsecured or secured solely by Liens on assets of the acquired Restricted Subsidiary (or Restricted Subsidiaries), or on the acquired assets, permitted by, and within the limitations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7.01(h)</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1"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obligations (contingent or otherwise) of the Company or any Restricted Subsidiary existing or arising under any Swap Contract,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shall include any Permitted Bond Hedge Transaction;</w:t>
      </w:r>
    </w:p>
    <w:p>
      <w:pPr>
        <w:spacing w:after="0" w:line="178" w:lineRule="exact"/>
        <w:rPr>
          <w:rFonts w:ascii="Times New Roman" w:cs="Times New Roman" w:eastAsia="Times New Roman" w:hAnsi="Times New Roman"/>
          <w:sz w:val="22"/>
          <w:szCs w:val="22"/>
          <w:color w:val="auto"/>
        </w:rPr>
      </w:pPr>
    </w:p>
    <w:p>
      <w:pPr>
        <w:jc w:val="both"/>
        <w:ind w:firstLine="656"/>
        <w:spacing w:after="0" w:line="261" w:lineRule="auto"/>
        <w:tabs>
          <w:tab w:leader="none" w:pos="1291"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unsecured Indebtedness of the Company or any 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no more than $75,000,000 in the aggregate of such additional Indebtedness at any time outstanding may have a maturity date on or before the Latest Maturity Date then in effect under any of the Facilities (other than with respect to Qualified Bridge Facilities), (ii) the balance of such Indebtedness (A) shall have a maturity date later than the latest Maturity Date then in effect under any of the Facilities (other than with respect to Qualified Bridge Facilities) and (B) is otherwise on terms reasonably acceptable to the Administrative Agents, (iii) solely to the extent such Indebtedness is incurred after a Financial Covenant Adjustment has occurred, the Consolidated Net Leverage Ratio does not exceed 5.00 to 1.00 at the time of incurrence of such Indebtedness after giving pro forma effect thereto and (iv) immediately before and after giving pro forma effect to such Indebtedness, the Company and its Restricted Subsidiaries shall be in pro forma compliance with all of the financial covenants set forth in </w:t>
      </w:r>
      <w:r>
        <w:rPr>
          <w:rFonts w:ascii="Times New Roman" w:cs="Times New Roman" w:eastAsia="Times New Roman" w:hAnsi="Times New Roman"/>
          <w:sz w:val="21"/>
          <w:szCs w:val="21"/>
          <w:u w:val="single" w:color="auto"/>
          <w:color w:val="auto"/>
        </w:rPr>
        <w:t>Section 7.11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unsecured Indebtedness is being incurred to finance all or a portion of a Limited Condition Transaction, clause (iii) and this clause (iv) may be satisfied, at the election of the Company, on the applicable LCT Test Date, measured pro forma for such Indebtedness, such Limited Condition Transaction, and any other applicable customary pro forma adjustments;</w:t>
      </w:r>
    </w:p>
    <w:p>
      <w:pPr>
        <w:spacing w:after="0" w:line="169" w:lineRule="exact"/>
        <w:rPr>
          <w:rFonts w:ascii="Times New Roman" w:cs="Times New Roman" w:eastAsia="Times New Roman" w:hAnsi="Times New Roman"/>
          <w:sz w:val="21"/>
          <w:szCs w:val="21"/>
          <w:color w:val="auto"/>
        </w:rPr>
      </w:pPr>
    </w:p>
    <w:p>
      <w:pPr>
        <w:jc w:val="both"/>
        <w:ind w:firstLine="656"/>
        <w:spacing w:after="0" w:line="257" w:lineRule="auto"/>
        <w:tabs>
          <w:tab w:leader="none" w:pos="1284"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Restricted Subsidiaries that are not Loan Parties in an aggregate principal amount at any time outstanding not to exceed the greater of (i) $115,000,000 and (ii) 35.0% of Consolidated EBITDA for the most recently completed Measurement Period;</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Foreign Subsidiaries in a principal amount not to exceed $150,000,000 at any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156</w:t>
      </w:r>
    </w:p>
    <w:p>
      <w:pPr>
        <w:sectPr>
          <w:pgSz w:w="11900" w:h="16838" w:orient="portrait"/>
          <w:cols w:equalWidth="0" w:num="1">
            <w:col w:w="11240"/>
          </w:cols>
          <w:pgMar w:left="320" w:top="1422" w:right="339" w:bottom="1440" w:gutter="0" w:footer="0" w:header="0"/>
        </w:sectPr>
      </w:pPr>
    </w:p>
    <w:bookmarkStart w:id="230" w:name="page231"/>
    <w:bookmarkEnd w:id="230"/>
    <w:p>
      <w:pPr>
        <w:ind w:right="20" w:firstLine="656"/>
        <w:spacing w:after="0" w:line="271" w:lineRule="auto"/>
        <w:tabs>
          <w:tab w:leader="none" w:pos="1291"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owing by the Company or any Restricted Subsidiary to the Company or any Restricted Subsidiary incurred pursuant to the Permitted Post-Closing Reorganization;</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84"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of Indebtedness of joint ventures of the Company or any of its Restricted Subsidiaries in an aggregate principal amount at any time outstanding not to exceed the greater of (i) $115,000,000 and (ii) 35.0% of Consolidated EBITDA for the most recently completed Measurement Period;</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4"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an aggregate principal amount not to exceed 100% of the net cash proceeds received by the Company after the Amendment No. 4 Effective Date from the issuance or sale (other than to a Restricted Subsidiary) of its Equity Interests (other than Disqualified Equity Interests);</w:t>
      </w:r>
    </w:p>
    <w:p>
      <w:pPr>
        <w:spacing w:after="0" w:line="18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Indebtedness in an aggregate principal amount outstanding not to exceed the greater of (i) $165,000,000 and</w:t>
      </w:r>
    </w:p>
    <w:p>
      <w:pPr>
        <w:spacing w:after="0" w:line="39"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50.0% of Consolidated EBITDA for the most recently completed Measurement Period;</w:t>
      </w:r>
    </w:p>
    <w:p>
      <w:pPr>
        <w:spacing w:after="0" w:line="195"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connection with a Permitted Acquisition or any other Investment permitted hereunder, in an aggregate principal amount outstanding not to exceed the greater of (i) $115,000,000 and (ii) 35.0% of Consolidated EBITDA for the most recently completed Measurement Period;</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Incremental Equivalent Debt; and</w:t>
      </w:r>
    </w:p>
    <w:p>
      <w:pPr>
        <w:spacing w:after="0" w:line="23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Attributable Indebtedness in respect of Sale and Leaseback Transactions in an aggregate principal amount outstanding not to exceed the greater of (i) $115,000,000 and (ii) 35.0% of Consolidated EBITDA for the most recently completed Measurement Period;</w:t>
      </w:r>
    </w:p>
    <w:p>
      <w:pPr>
        <w:spacing w:after="0" w:line="17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in no event shall the aggregate principal amount of Bilateral Foreign Loan Facilities outstanding at any time exceed $150,000,000.</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7.03</w:t>
      </w:r>
      <w:r>
        <w:rPr>
          <w:sz w:val="20"/>
          <w:szCs w:val="20"/>
          <w:color w:val="auto"/>
        </w:rPr>
        <w:tab/>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19"/>
          <w:szCs w:val="19"/>
          <w:color w:val="auto"/>
        </w:rPr>
        <w:t>. Make or hold any Investments, except:</w:t>
      </w:r>
    </w:p>
    <w:p>
      <w:pPr>
        <w:spacing w:after="0" w:line="28" w:lineRule="exact"/>
        <w:rPr>
          <w:sz w:val="20"/>
          <w:szCs w:val="20"/>
          <w:color w:val="auto"/>
        </w:rPr>
      </w:pPr>
    </w:p>
    <w:p>
      <w:pPr>
        <w:ind w:left="1300" w:hanging="644"/>
        <w:spacing w:after="0"/>
        <w:tabs>
          <w:tab w:leader="none" w:pos="130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held by the Company and its Restricted Subsidiaries in the form of Cash Equivalents;</w:t>
      </w:r>
    </w:p>
    <w:p>
      <w:pPr>
        <w:spacing w:after="0" w:line="195"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to officers, directors and employees of the Company and Restricted Subsidiaries in an aggregate amount not to exceed $10,000,000 at any time outstanding, for travel, entertainment, relocation and analogous ordinary business purposes;</w:t>
      </w:r>
    </w:p>
    <w:p>
      <w:pPr>
        <w:spacing w:after="0" w:line="16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3"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 by any Loan Party or any Restricted Subsidiary in any Loan Party, so long as, in the case of an Investment made by a non-Loan Party in a Loan Party in the form of Indebtedness owing by such Loan Party, such Indebtedness is permitted to be incurred by the relevant Loan Party pursuant to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(ii) by any Restricted Subsidiary that is not a Loan Party in any other Restricted Subsidiary that is also not a Loan Party, (iii) by a Loan Party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157</w:t>
      </w:r>
    </w:p>
    <w:p>
      <w:pPr>
        <w:sectPr>
          <w:pgSz w:w="11900" w:h="16838" w:orient="portrait"/>
          <w:cols w:equalWidth="0" w:num="1">
            <w:col w:w="11240"/>
          </w:cols>
          <w:pgMar w:left="320" w:top="1422" w:right="339" w:bottom="1440" w:gutter="0" w:footer="0" w:header="0"/>
        </w:sectPr>
      </w:pPr>
    </w:p>
    <w:bookmarkStart w:id="231" w:name="page232"/>
    <w:bookmarkEnd w:id="231"/>
    <w:p>
      <w:pPr>
        <w:jc w:val="both"/>
        <w:spacing w:after="0" w:line="263" w:lineRule="auto"/>
        <w:rPr>
          <w:sz w:val="20"/>
          <w:szCs w:val="20"/>
          <w:color w:val="auto"/>
        </w:rPr>
      </w:pPr>
      <w:r>
        <w:rPr>
          <w:rFonts w:ascii="Times New Roman" w:cs="Times New Roman" w:eastAsia="Times New Roman" w:hAnsi="Times New Roman"/>
          <w:sz w:val="21"/>
          <w:szCs w:val="21"/>
          <w:color w:val="auto"/>
        </w:rPr>
        <w:t>Restricted Subsidiary that is not a Loan Party either (A) constituting a capital contribution by a Loan Party of Equity Interests of Foreign Subsidiaries that are not Loan Parties or (B) otherwise in an aggregate amount at any time outstanding not to exceed the greater of (i) $250,000,000 and (ii) 75.0% of Consolidated EBITDA for the most recently completed Measurement Period and</w:t>
      </w:r>
    </w:p>
    <w:p>
      <w:pPr>
        <w:spacing w:after="0" w:line="2" w:lineRule="exact"/>
        <w:rPr>
          <w:sz w:val="20"/>
          <w:szCs w:val="20"/>
          <w:color w:val="auto"/>
        </w:rPr>
      </w:pPr>
    </w:p>
    <w:p>
      <w:pPr>
        <w:ind w:left="380" w:hanging="372"/>
        <w:spacing w:after="0"/>
        <w:tabs>
          <w:tab w:leader="none" w:pos="38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pursuant to the Permitted Post-Closing Reorganization;</w:t>
      </w:r>
    </w:p>
    <w:p>
      <w:pPr>
        <w:spacing w:after="0" w:line="20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Guarantees permitted by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additional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such Investment on a pro forma basis, the Consolidated Net Leverage Ratio is less than or equal to 3.50:1.00 as of the end of the most recently completed Measurement Period as of such time, so long as no Event of Default has occurred and is continuing (or would occur after giving pro forma effect to such Investment);</w:t>
      </w:r>
    </w:p>
    <w:p>
      <w:pPr>
        <w:spacing w:after="0" w:line="179"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291"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debt obligations) received in connection with the bankruptcy or reorganization of suppliers and customers and in good faith settlement of delinquent obligations of, and other disputes with, customers and suppliers arising in the ordinary course of business;</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arising out of Indebtedness permitted under </w:t>
      </w:r>
      <w:r>
        <w:rPr>
          <w:rFonts w:ascii="Times New Roman" w:cs="Times New Roman" w:eastAsia="Times New Roman" w:hAnsi="Times New Roman"/>
          <w:sz w:val="22"/>
          <w:szCs w:val="22"/>
          <w:u w:val="single" w:color="auto"/>
          <w:color w:val="auto"/>
        </w:rPr>
        <w:t>Section 7.02(g)</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20" w:firstLine="656"/>
        <w:spacing w:after="0" w:line="271" w:lineRule="auto"/>
        <w:tabs>
          <w:tab w:leader="none" w:pos="1284"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existing on the Amendment No. 4 Effective Date (other than those referred to in </w:t>
      </w:r>
      <w:r>
        <w:rPr>
          <w:rFonts w:ascii="Times New Roman" w:cs="Times New Roman" w:eastAsia="Times New Roman" w:hAnsi="Times New Roman"/>
          <w:sz w:val="22"/>
          <w:szCs w:val="22"/>
          <w:u w:val="single" w:color="auto"/>
          <w:color w:val="auto"/>
        </w:rPr>
        <w:t>Section 7.03(c)(i)</w:t>
      </w:r>
      <w:r>
        <w:rPr>
          <w:rFonts w:ascii="Times New Roman" w:cs="Times New Roman" w:eastAsia="Times New Roman" w:hAnsi="Times New Roman"/>
          <w:sz w:val="22"/>
          <w:szCs w:val="22"/>
          <w:color w:val="auto"/>
        </w:rPr>
        <w:t xml:space="preserve">) and set forth on </w:t>
      </w:r>
      <w:r>
        <w:rPr>
          <w:rFonts w:ascii="Times New Roman" w:cs="Times New Roman" w:eastAsia="Times New Roman" w:hAnsi="Times New Roman"/>
          <w:sz w:val="22"/>
          <w:szCs w:val="22"/>
          <w:u w:val="single" w:color="auto"/>
          <w:color w:val="auto"/>
        </w:rPr>
        <w:t>Schedule 7.03</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w:t>
      </w:r>
    </w:p>
    <w:p>
      <w:pPr>
        <w:spacing w:after="0" w:line="233"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joint ventures and Unrestricted Subsidiaries in an aggregate principal amount not to exceed the greater of (i) $115,000,000 and (ii) 35.0% of Consolidated EBITDA for the most completed Measurement Period;</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4"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made after the Amendment No. 4 Effective Date, the amount of which at any time outstanding shall not exceed the greater of (i) $250,000,000 and (ii) 75.0% of Consolidated EBITDA for the most recently completed Measurement Period; and</w:t>
      </w:r>
    </w:p>
    <w:p>
      <w:pPr>
        <w:spacing w:after="0" w:line="182" w:lineRule="exact"/>
        <w:rPr>
          <w:rFonts w:ascii="Times New Roman" w:cs="Times New Roman" w:eastAsia="Times New Roman" w:hAnsi="Times New Roman"/>
          <w:sz w:val="22"/>
          <w:szCs w:val="22"/>
          <w:color w:val="auto"/>
        </w:rPr>
      </w:pPr>
    </w:p>
    <w:p>
      <w:pPr>
        <w:jc w:val="both"/>
        <w:ind w:firstLine="656"/>
        <w:spacing w:after="0" w:line="259" w:lineRule="auto"/>
        <w:tabs>
          <w:tab w:leader="none" w:pos="1284"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that do not exceed the Cumulative Available Amount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no Specified Default shall have occurred and be continuing or would result therefrom and (ii) immediately prior to and after giving effect to such Investment, the Company shall be in pro forma compliance with all of the financial covenants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firstLine="293"/>
        <w:spacing w:after="0" w:line="271" w:lineRule="auto"/>
        <w:rPr>
          <w:sz w:val="20"/>
          <w:szCs w:val="20"/>
          <w:color w:val="auto"/>
        </w:rPr>
      </w:pPr>
      <w:r>
        <w:rPr>
          <w:rFonts w:ascii="Times New Roman" w:cs="Times New Roman" w:eastAsia="Times New Roman" w:hAnsi="Times New Roman"/>
          <w:sz w:val="22"/>
          <w:szCs w:val="22"/>
          <w:color w:val="auto"/>
        </w:rPr>
        <w:t>Notwithstanding anything to the contrary, in no event shall any Loan Party or any Restricted Subsidiary (i) Dispose of any Material Intellectual Property to any Unrestricted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158</w:t>
      </w:r>
    </w:p>
    <w:p>
      <w:pPr>
        <w:sectPr>
          <w:pgSz w:w="11900" w:h="16838" w:orient="portrait"/>
          <w:cols w:equalWidth="0" w:num="1">
            <w:col w:w="11240"/>
          </w:cols>
          <w:pgMar w:left="320" w:top="1422"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2"/>
          <w:szCs w:val="22"/>
          <w:color w:val="auto"/>
        </w:rPr>
        <w:t>Subsidiary or (ii) contribute or otherwise Invest any Material Intellectual Property to or in any Unrestricted Subsidiary.</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7.04 </w:t>
      </w:r>
      <w:r>
        <w:rPr>
          <w:rFonts w:ascii="Times New Roman" w:cs="Times New Roman" w:eastAsia="Times New Roman" w:hAnsi="Times New Roman"/>
          <w:sz w:val="22"/>
          <w:szCs w:val="22"/>
          <w:u w:val="single" w:color="auto"/>
          <w:color w:val="auto"/>
        </w:rPr>
        <w:t>Fundamental Changes</w:t>
      </w:r>
      <w:r>
        <w:rPr>
          <w:rFonts w:ascii="Times New Roman" w:cs="Times New Roman" w:eastAsia="Times New Roman" w:hAnsi="Times New Roman"/>
          <w:sz w:val="19"/>
          <w:szCs w:val="19"/>
          <w:color w:val="auto"/>
        </w:rPr>
        <w:t>. Merge, dissolve, liquidate, consolidate with or into another Person, or Dispose of (whether in 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transaction or in a series of transactions) all or substantially all of its assets (whether now owned or hereafter acquired) to or in favor of any Person, except that, so long as no Default exists or would result therefrom:</w:t>
      </w:r>
    </w:p>
    <w:p>
      <w:pPr>
        <w:jc w:val="both"/>
        <w:ind w:firstLine="656"/>
        <w:spacing w:after="0" w:line="254" w:lineRule="auto"/>
        <w:tabs>
          <w:tab w:leader="none" w:pos="1293"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may merge with (i)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be the continuing or surviving Person, or (ii) any one or more other Restricted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when any wholly-owned Restricted Subsidiary is merging with another Restricted Subsidiary, a wholly-owned Restricted Subsidiary shall be the continuing or surviving Person;</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may Dispose of all or substantially all of its assets (upon voluntary liquidation or otherwise) to the Company or to another Loan Party (other than the Company);</w:t>
      </w:r>
    </w:p>
    <w:p>
      <w:pPr>
        <w:spacing w:after="0" w:line="157" w:lineRule="exact"/>
        <w:rPr>
          <w:rFonts w:ascii="Times New Roman" w:cs="Times New Roman" w:eastAsia="Times New Roman" w:hAnsi="Times New Roman"/>
          <w:sz w:val="22"/>
          <w:szCs w:val="22"/>
          <w:color w:val="auto"/>
        </w:rPr>
      </w:pPr>
    </w:p>
    <w:p>
      <w:pPr>
        <w:ind w:firstLine="656"/>
        <w:spacing w:after="0" w:line="295" w:lineRule="auto"/>
        <w:tabs>
          <w:tab w:leader="none" w:pos="1293"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Restricted Subsidiary that is not a Loan Party may dispose of all or substantially all its assets (including any Disposition that is in the nature of a liquidation) to (i) another Restricted Subsidiary that is not a Loan Party or (ii) a Loan Party;</w:t>
      </w:r>
    </w:p>
    <w:p>
      <w:pPr>
        <w:spacing w:after="0" w:line="135" w:lineRule="exact"/>
        <w:rPr>
          <w:rFonts w:ascii="Times New Roman" w:cs="Times New Roman" w:eastAsia="Times New Roman" w:hAnsi="Times New Roman"/>
          <w:sz w:val="21"/>
          <w:szCs w:val="21"/>
          <w:color w:val="auto"/>
        </w:rPr>
      </w:pPr>
    </w:p>
    <w:p>
      <w:pPr>
        <w:jc w:val="both"/>
        <w:ind w:firstLine="656"/>
        <w:spacing w:after="0" w:line="252" w:lineRule="auto"/>
        <w:tabs>
          <w:tab w:leader="none" w:pos="1291"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acquisition permitted under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or a Disposition permitted pursuant to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any Borrower or any Restricted Subsidiary of the Company may merge into or consolidate with any other Person or permit any other Person to merge into or consolidate with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 the case of a Permitted Acquisition, such Borrower or such Restricted Subsidiary (or a replacement Restricted Subsidiary, in the case of a reverse triangular merger), as the case may be, shall be the Person surviving such merger, (ii) no Borrower or Restricted Subsidiary may merge with or into an Unrestricted Subsidiary and (iii) in the case of any such merger to which any Loan Party (other than the Company) is a party, such Loan Party is the surviving Person;</w:t>
      </w:r>
    </w:p>
    <w:p>
      <w:pPr>
        <w:spacing w:after="0" w:line="17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3"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Default has occurred and is continuing or would result therefrom, each of the Company and any other Loan Party may merge into or consolidate with any other Person or permit any other Person to merge into or consolidate with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each case, immediately after giving effect thereto (i) in the case of any such merger to which the Company is a party, the Company is the surviving entity and (ii) in the case of any such merger to which any Loan Party (other than the Company) is a party, such Loan Party is the surviving entity; and</w:t>
      </w:r>
    </w:p>
    <w:p>
      <w:pPr>
        <w:spacing w:after="0" w:line="178"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Subsidiary that has net assets with a Fair Market Value not in excess of $1,000,000 may be dissolved or liquidated.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7.05</w:t>
      </w:r>
      <w:r>
        <w:rPr>
          <w:sz w:val="20"/>
          <w:szCs w:val="20"/>
          <w:color w:val="auto"/>
        </w:rPr>
        <w:tab/>
      </w:r>
      <w:r>
        <w:rPr>
          <w:rFonts w:ascii="Times New Roman" w:cs="Times New Roman" w:eastAsia="Times New Roman" w:hAnsi="Times New Roman"/>
          <w:sz w:val="22"/>
          <w:szCs w:val="22"/>
          <w:u w:val="single" w:color="auto"/>
          <w:color w:val="auto"/>
        </w:rPr>
        <w:t>Dispositions</w:t>
      </w:r>
      <w:r>
        <w:rPr>
          <w:rFonts w:ascii="Times New Roman" w:cs="Times New Roman" w:eastAsia="Times New Roman" w:hAnsi="Times New Roman"/>
          <w:sz w:val="19"/>
          <w:szCs w:val="19"/>
          <w:color w:val="auto"/>
        </w:rPr>
        <w:t>. Make any Disposition or enter into any agreement to make any Disposition, except:</w:t>
      </w:r>
    </w:p>
    <w:p>
      <w:pPr>
        <w:spacing w:after="0" w:line="29" w:lineRule="exact"/>
        <w:rPr>
          <w:sz w:val="20"/>
          <w:szCs w:val="20"/>
          <w:color w:val="auto"/>
        </w:rPr>
      </w:pPr>
    </w:p>
    <w:p>
      <w:pPr>
        <w:ind w:left="1300" w:hanging="644"/>
        <w:spacing w:after="0"/>
        <w:tabs>
          <w:tab w:leader="none" w:pos="130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obsolete or worn out property, whether now owned or hereafter acquired, in the ordinary course of</w:t>
      </w:r>
    </w:p>
    <w:p>
      <w:pPr>
        <w:spacing w:after="0" w:line="2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159</w:t>
      </w:r>
    </w:p>
    <w:p>
      <w:pPr>
        <w:sectPr>
          <w:pgSz w:w="11900" w:h="16838" w:orient="portrait"/>
          <w:cols w:equalWidth="0" w:num="1">
            <w:col w:w="11240"/>
          </w:cols>
          <w:pgMar w:left="320" w:top="1422" w:right="339" w:bottom="1440" w:gutter="0" w:footer="0" w:header="0"/>
        </w:sectPr>
      </w:pPr>
    </w:p>
    <w:bookmarkStart w:id="233" w:name="page234"/>
    <w:bookmarkEnd w:id="233"/>
    <w:p>
      <w:pPr>
        <w:ind w:left="1300" w:hanging="644"/>
        <w:spacing w:after="0"/>
        <w:tabs>
          <w:tab w:leader="none" w:pos="130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inventory in the ordinary course of business;</w:t>
      </w:r>
    </w:p>
    <w:p>
      <w:pPr>
        <w:spacing w:after="0" w:line="21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3"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67" w:lineRule="exact"/>
        <w:rPr>
          <w:rFonts w:ascii="Times New Roman" w:cs="Times New Roman" w:eastAsia="Times New Roman" w:hAnsi="Times New Roman"/>
          <w:sz w:val="22"/>
          <w:szCs w:val="22"/>
          <w:color w:val="auto"/>
        </w:rPr>
      </w:pPr>
    </w:p>
    <w:p>
      <w:pPr>
        <w:jc w:val="both"/>
        <w:ind w:firstLine="656"/>
        <w:spacing w:after="0" w:line="268" w:lineRule="auto"/>
        <w:tabs>
          <w:tab w:leader="none" w:pos="1291"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Dispositions of property by the Company or any Restricted Subsidiary to the Company or to a wholly-owned 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transferor of such property is a Loan Party, the transferee thereof must be a Loan Party (except to the extent such Disposition consists solely of Equity Interests in a Foreign Subsidiary of such transferring Loan Party that is not a Loan Party); (ii) Dispositions of property by any Loan Party (other than the Company) to the Company or to another Loan Party (other than the Company); and (iii) Dispositions between or among non-Borrower Restricted Subsidiaries;</w:t>
      </w:r>
    </w:p>
    <w:p>
      <w:pPr>
        <w:spacing w:after="0" w:line="163"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constituting Investments permitted by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and Restricted Payments permitted by </w:t>
      </w:r>
      <w:r>
        <w:rPr>
          <w:rFonts w:ascii="Times New Roman" w:cs="Times New Roman" w:eastAsia="Times New Roman" w:hAnsi="Times New Roman"/>
          <w:sz w:val="22"/>
          <w:szCs w:val="22"/>
          <w:u w:val="single" w:color="auto"/>
          <w:color w:val="auto"/>
        </w:rPr>
        <w:t>Section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7.06</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property acquired by the Company or any Restricted Subsidiary in a Permitted Acquisition not in excess of $50,000,000 in the aggregate for any such Permitted Acquisition (other than property used solely in connection with line of business substantially different from those lines of business conducted by the Company and its Restricted Subsidiaries on the Amendment No. 4 Effective Date or any business substantially related or incidental thereto, for which there shall be no limit);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after giving effect to such Permitted Acquisition and such related Disposition, the Company or such Restricted Subsidiary is in compliance with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by the Company and any Restricted Subsidiary as required by any regulatory authority or in connection with compliance with any antitrust Laws in connection with any Permitted Acquisition;</w:t>
      </w:r>
    </w:p>
    <w:p>
      <w:pPr>
        <w:spacing w:after="0" w:line="17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by the Company and its Restricted Subsidiaries of property pursuant to Sale and Leaseback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book value of all property so Disposed of shall not exceed $50,000,000 from and after the Amendment No. 4 Effective Date;</w:t>
      </w:r>
    </w:p>
    <w:p>
      <w:pPr>
        <w:spacing w:after="0" w:line="172" w:lineRule="exact"/>
        <w:rPr>
          <w:rFonts w:ascii="Times New Roman" w:cs="Times New Roman" w:eastAsia="Times New Roman" w:hAnsi="Times New Roman"/>
          <w:sz w:val="22"/>
          <w:szCs w:val="22"/>
          <w:color w:val="auto"/>
        </w:rPr>
      </w:pPr>
    </w:p>
    <w:p>
      <w:pPr>
        <w:ind w:firstLine="656"/>
        <w:spacing w:after="0" w:line="271" w:lineRule="auto"/>
        <w:tabs>
          <w:tab w:leader="none" w:pos="128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in the nature of exclusive licenses of IP Rights not material (determined as of the date of the applicable license) to the business of the Company and its Restricted Subsidiaries;</w:t>
      </w:r>
    </w:p>
    <w:p>
      <w:pPr>
        <w:spacing w:after="0" w:line="171" w:lineRule="exact"/>
        <w:rPr>
          <w:rFonts w:ascii="Times New Roman" w:cs="Times New Roman" w:eastAsia="Times New Roman" w:hAnsi="Times New Roman"/>
          <w:sz w:val="22"/>
          <w:szCs w:val="22"/>
          <w:color w:val="auto"/>
        </w:rPr>
      </w:pPr>
    </w:p>
    <w:p>
      <w:pPr>
        <w:ind w:firstLine="656"/>
        <w:spacing w:after="0" w:line="295" w:lineRule="auto"/>
        <w:tabs>
          <w:tab w:leader="none" w:pos="1284"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by the Company and its Restricted Subsidiaries of accounts receivable arising in the ordinary course of business which are overdue or payable by a distressed company in connection with the compromise or collection thereof;</w:t>
      </w:r>
    </w:p>
    <w:p>
      <w:pPr>
        <w:spacing w:after="0" w:line="13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bankruptcy claims of customers of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160</w:t>
      </w:r>
    </w:p>
    <w:p>
      <w:pPr>
        <w:sectPr>
          <w:pgSz w:w="11900" w:h="16838" w:orient="portrait"/>
          <w:cols w:equalWidth="0" w:num="1">
            <w:col w:w="11240"/>
          </w:cols>
          <w:pgMar w:left="320" w:top="1422" w:right="339" w:bottom="1440" w:gutter="0" w:footer="0" w:header="0"/>
        </w:sectPr>
      </w:pPr>
    </w:p>
    <w:bookmarkStart w:id="234" w:name="page235"/>
    <w:bookmarkEnd w:id="234"/>
    <w:p>
      <w:pPr>
        <w:jc w:val="both"/>
        <w:ind w:firstLine="656"/>
        <w:spacing w:after="0" w:line="260" w:lineRule="auto"/>
        <w:tabs>
          <w:tab w:leader="none" w:pos="1284"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by Borrowers and their Restricted Subsidiaries not otherwise permitted under this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at the time of such Disposition, no Default shall exist or would result from such Disposition, (ii) such Disposition is for Fair Market Value and (iii) with respect to any Disposition under this </w:t>
      </w:r>
      <w:r>
        <w:rPr>
          <w:rFonts w:ascii="Times New Roman" w:cs="Times New Roman" w:eastAsia="Times New Roman" w:hAnsi="Times New Roman"/>
          <w:sz w:val="21"/>
          <w:szCs w:val="21"/>
          <w:u w:val="single" w:color="auto"/>
          <w:color w:val="auto"/>
        </w:rPr>
        <w:t>Section 7.05(l)</w:t>
      </w:r>
      <w:r>
        <w:rPr>
          <w:rFonts w:ascii="Times New Roman" w:cs="Times New Roman" w:eastAsia="Times New Roman" w:hAnsi="Times New Roman"/>
          <w:sz w:val="21"/>
          <w:szCs w:val="21"/>
          <w:color w:val="auto"/>
        </w:rPr>
        <w:t xml:space="preserve"> with a Fair Market Value in excess of $25,000,000, at least 75% of the value of the aggregate consideration received from such Disposition shall be in the form of cash or Cash Equivalents; provided that for purposes of this clause (iii), each of the following shall be deemed cash: (a) the amount of any liabilities (as shown on the Company’s or such Restricted Subsidiary’s most recent balance sheet or in the notes thereto) that are assumed by the transferee of any such assets, or otherwise cancelled in connection with such transaction,</w:t>
      </w:r>
    </w:p>
    <w:p>
      <w:pPr>
        <w:spacing w:after="0" w:line="1" w:lineRule="exact"/>
        <w:rPr>
          <w:rFonts w:ascii="Times New Roman" w:cs="Times New Roman" w:eastAsia="Times New Roman" w:hAnsi="Times New Roman"/>
          <w:sz w:val="21"/>
          <w:szCs w:val="21"/>
          <w:color w:val="auto"/>
        </w:rPr>
      </w:pPr>
    </w:p>
    <w:p>
      <w:pPr>
        <w:jc w:val="both"/>
        <w:ind w:firstLine="8"/>
        <w:spacing w:after="0" w:line="257" w:lineRule="auto"/>
        <w:tabs>
          <w:tab w:leader="none" w:pos="321"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notes or other obligations or other securities or assets received by the Company or such Restricted Subsidiary from the transferee that are converted by the Company or such Restricted Subsidiary into cash within 180 days after receipt thereof (to the extent of the cash received) and (c) any Designated Non-Cash Consideration received by the Company or any of its Restricted Subsidiaries in such Disposition having an aggregate Fair Market Value, taken together with all other Designated Non-Cash Consideration received pursuant to this clause (c) that is at that time outstanding, not to exceed the greater of (i) $83,000,000 and</w:t>
      </w:r>
    </w:p>
    <w:p>
      <w:pPr>
        <w:spacing w:after="0" w:line="3" w:lineRule="exact"/>
        <w:rPr>
          <w:rFonts w:ascii="Times New Roman" w:cs="Times New Roman" w:eastAsia="Times New Roman" w:hAnsi="Times New Roman"/>
          <w:sz w:val="21"/>
          <w:szCs w:val="21"/>
          <w:color w:val="auto"/>
        </w:rPr>
      </w:pPr>
    </w:p>
    <w:p>
      <w:pPr>
        <w:jc w:val="both"/>
        <w:ind w:firstLine="8"/>
        <w:spacing w:after="0" w:line="252" w:lineRule="auto"/>
        <w:tabs>
          <w:tab w:leader="none" w:pos="342"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25.0% of Consolidated EBITDA for the most recently completed Measurement Period immediately prior to the receipt of such Designated Non-Cash Consideration (with the Fair Market Value of each item of Designated Non-Cash Consideration being measured at the time received and without giving effect to subsequent changes in value);</w:t>
      </w:r>
    </w:p>
    <w:p>
      <w:pPr>
        <w:spacing w:after="0" w:line="178"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4"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in the ordinary course of business by the Company and its Subsidiaries of accounts and notes receivable or bankers’ acceptances relating thereto for accounts generated from customers located in China and other jurisdictions in the Pacific Rim region;</w:t>
      </w:r>
    </w:p>
    <w:p>
      <w:pPr>
        <w:spacing w:after="0" w:line="172" w:lineRule="exact"/>
        <w:rPr>
          <w:rFonts w:ascii="Times New Roman" w:cs="Times New Roman" w:eastAsia="Times New Roman" w:hAnsi="Times New Roman"/>
          <w:sz w:val="22"/>
          <w:szCs w:val="22"/>
          <w:color w:val="auto"/>
        </w:rPr>
      </w:pPr>
    </w:p>
    <w:p>
      <w:pPr>
        <w:ind w:right="20" w:firstLine="656"/>
        <w:spacing w:after="0" w:line="284" w:lineRule="auto"/>
        <w:tabs>
          <w:tab w:leader="none" w:pos="1291"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intercompany Dispositions by the Company or a Restricted Subsidiary to the Company or a Restricted Subsidiary pursuant to the Permitted Post-Closing Reorganization;</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unwinding of obligations with respect to Swap Contracts permitted hereunder; and</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or early termination of any Permitted Bond Hedge Transaction.</w:t>
      </w:r>
    </w:p>
    <w:p>
      <w:pPr>
        <w:spacing w:after="0" w:line="220"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22"/>
          <w:szCs w:val="22"/>
          <w:color w:val="auto"/>
        </w:rPr>
        <w:t xml:space="preserve">7.06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19"/>
          <w:szCs w:val="19"/>
          <w:color w:val="auto"/>
        </w:rPr>
        <w:t>. Declare or make, directly or indirectly, any Restricted Payment, or incur any obligation to do so,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except that:</w:t>
      </w:r>
    </w:p>
    <w:p>
      <w:pPr>
        <w:spacing w:after="0" w:line="1" w:lineRule="exact"/>
        <w:rPr>
          <w:sz w:val="20"/>
          <w:szCs w:val="20"/>
          <w:color w:val="auto"/>
        </w:rPr>
      </w:pPr>
    </w:p>
    <w:p>
      <w:pPr>
        <w:jc w:val="both"/>
        <w:ind w:firstLine="656"/>
        <w:spacing w:after="0" w:line="248" w:lineRule="auto"/>
        <w:tabs>
          <w:tab w:leader="none" w:pos="1293"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Restricted Subsidiary may make Restricted Payments (i) to the Company, any Subsidiaries of the Company that are Guarantors and any other Person that owns a direct Equity Interest in such Restricted Subsidiary, ratably according to their respective holdings of the type of Equity Interest in respect of which such Restricted Payment is being made and (ii) so long as no Default then exists or would result therefrom, to the Company and/or any other Restricted Subsidiary pursuant to the Permitted Post-Closing Reorganization;</w:t>
      </w:r>
    </w:p>
    <w:p>
      <w:pPr>
        <w:spacing w:after="0" w:line="184" w:lineRule="exact"/>
        <w:rPr>
          <w:rFonts w:ascii="Times New Roman" w:cs="Times New Roman" w:eastAsia="Times New Roman" w:hAnsi="Times New Roman"/>
          <w:sz w:val="22"/>
          <w:szCs w:val="22"/>
          <w:color w:val="auto"/>
        </w:rPr>
      </w:pPr>
    </w:p>
    <w:p>
      <w:pPr>
        <w:ind w:right="20" w:firstLine="656"/>
        <w:spacing w:after="0" w:line="271" w:lineRule="auto"/>
        <w:tabs>
          <w:tab w:leader="none" w:pos="129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Restricted Subsidiary may declare and make dividend payments or other distributions payable solely in the common stock or other common Equity Interests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161</w:t>
      </w:r>
    </w:p>
    <w:p>
      <w:pPr>
        <w:sectPr>
          <w:pgSz w:w="11900" w:h="16838" w:orient="portrait"/>
          <w:cols w:equalWidth="0" w:num="1">
            <w:col w:w="11240"/>
          </w:cols>
          <w:pgMar w:left="320" w:top="1422" w:right="339" w:bottom="1440" w:gutter="0" w:footer="0" w:header="0"/>
        </w:sectPr>
      </w:pPr>
    </w:p>
    <w:bookmarkStart w:id="235" w:name="page236"/>
    <w:bookmarkEnd w:id="235"/>
    <w:p>
      <w:pPr>
        <w:ind w:firstLine="656"/>
        <w:spacing w:after="0" w:line="295" w:lineRule="auto"/>
        <w:tabs>
          <w:tab w:leader="none" w:pos="1293"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Restricted Subsidiary may purchase, redeem or otherwise acquire its Equity Interests with the proceeds received from the substantially concurrent issue of new Equity Interests other than Disqualified Equity Interests;</w:t>
      </w:r>
    </w:p>
    <w:p>
      <w:pPr>
        <w:spacing w:after="0" w:line="135" w:lineRule="exact"/>
        <w:rPr>
          <w:rFonts w:ascii="Times New Roman" w:cs="Times New Roman" w:eastAsia="Times New Roman" w:hAnsi="Times New Roman"/>
          <w:sz w:val="21"/>
          <w:szCs w:val="21"/>
          <w:color w:val="auto"/>
        </w:rPr>
      </w:pPr>
    </w:p>
    <w:p>
      <w:pPr>
        <w:jc w:val="both"/>
        <w:ind w:firstLine="656"/>
        <w:spacing w:after="0" w:line="253" w:lineRule="auto"/>
        <w:tabs>
          <w:tab w:leader="none" w:pos="129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Restricted Subsidiary may make Restricted Payments so long as (i) no Default shall have occurred and be continuing or would result therefrom and (ii) the aggregate amount of such Restricted Payments paid or made in any fiscal year would not exceed the greater of (x) $33,000,000 and (y) 10.0% of Consolidated EBITDA of the Company and its Restricted Subsidiaries on a consolidated basis for the most recently completed Measurement Period (with unused amounts being carried over to the immediately succeeding fiscal year);</w:t>
      </w:r>
    </w:p>
    <w:p>
      <w:pPr>
        <w:spacing w:after="0" w:line="178"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3"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and each Restricted Subsidiary may make Restricted Payments that do not exceed the Cumulative Available Amount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no Specified Default shall have occurred and be continuing or would result therefrom and (ii) immediately prior to and after giving effect to such Restricted Payment, the Company shall be in pro forma compliance with all of the financial covenants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Restricted Subsidiary may make Restricted Payments in an aggregate amount not exceeding the greater of (i) $100,000,000 and (i) 30% of Consolidated EBITDA as of the most recently completed Measurement Period so long as no Default shall have occurred and be continuing or would result therefrom;</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Restricted Payment may be made by the Company and its Restricted Subsidiaries so long as (i) no Default shall have occurred and be continuing or would result therefrom and (ii) after giving pro forma effect thereto for the most recently ended Measurement Period (including any incurrence and/or repayment of Indebtedness in connection therewith), the Consolidated Net Leverage Ratio is less than 3.00 to 1.00 at the time of such Restricted Payment;</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make Restricted Payments in order to effectuate regularly scheduled dividend payments in an aggregate amount per fiscal year not to exceed the greater of (i) $30,000,000 (with unused amounts being carried over to the immediately succeeding fiscal year) and (ii) 5% of Market Capitalization of the Company per annum;</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284"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make Restricted Payments permitted in accordance with share repurchase programs approved by the board of directors of the Company;</w:t>
      </w:r>
    </w:p>
    <w:p>
      <w:pPr>
        <w:spacing w:after="0" w:line="157" w:lineRule="exact"/>
        <w:rPr>
          <w:rFonts w:ascii="Times New Roman" w:cs="Times New Roman" w:eastAsia="Times New Roman" w:hAnsi="Times New Roman"/>
          <w:sz w:val="22"/>
          <w:szCs w:val="22"/>
          <w:color w:val="auto"/>
        </w:rPr>
      </w:pPr>
    </w:p>
    <w:p>
      <w:pPr>
        <w:ind w:right="20" w:firstLine="656"/>
        <w:spacing w:after="0" w:line="284" w:lineRule="auto"/>
        <w:tabs>
          <w:tab w:leader="none" w:pos="1284"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Restricted Subsidiaries may pay the premium in respect of, and otherwise perform its obligations under, any Permitted Bond Hedge Transaction; and</w:t>
      </w:r>
    </w:p>
    <w:p>
      <w:pPr>
        <w:spacing w:after="0" w:line="143" w:lineRule="exact"/>
        <w:rPr>
          <w:rFonts w:ascii="Times New Roman" w:cs="Times New Roman" w:eastAsia="Times New Roman" w:hAnsi="Times New Roman"/>
          <w:sz w:val="22"/>
          <w:szCs w:val="22"/>
          <w:color w:val="auto"/>
        </w:rPr>
      </w:pPr>
    </w:p>
    <w:p>
      <w:pPr>
        <w:jc w:val="both"/>
        <w:ind w:firstLine="656"/>
        <w:spacing w:after="0" w:line="275" w:lineRule="auto"/>
        <w:tabs>
          <w:tab w:leader="none" w:pos="1291"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Restricted Subsidiaries may repurchase Equity Interests of the Company issued upon a conversion or exchange of any Permitted Convertible Indebtedness (and the payment of cash in lieu of fractional shares) with the proceeds of any other Permitted Convertible Indebtedness incurred substantially concurrently with such conversion 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162</w:t>
      </w:r>
    </w:p>
    <w:p>
      <w:pPr>
        <w:sectPr>
          <w:pgSz w:w="11900" w:h="16838" w:orient="portrait"/>
          <w:cols w:equalWidth="0" w:num="1">
            <w:col w:w="11240"/>
          </w:cols>
          <w:pgMar w:left="320" w:top="1422" w:right="339" w:bottom="1440" w:gutter="0" w:footer="0" w:header="0"/>
        </w:sectPr>
      </w:pPr>
    </w:p>
    <w:bookmarkStart w:id="236" w:name="page237"/>
    <w:bookmarkEnd w:id="236"/>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7.07 </w:t>
      </w:r>
      <w:r>
        <w:rPr>
          <w:rFonts w:ascii="Times New Roman" w:cs="Times New Roman" w:eastAsia="Times New Roman" w:hAnsi="Times New Roman"/>
          <w:sz w:val="22"/>
          <w:szCs w:val="22"/>
          <w:u w:val="single" w:color="auto"/>
          <w:color w:val="auto"/>
        </w:rPr>
        <w:t>Change in Nature of Business</w:t>
      </w:r>
      <w:r>
        <w:rPr>
          <w:rFonts w:ascii="Times New Roman" w:cs="Times New Roman" w:eastAsia="Times New Roman" w:hAnsi="Times New Roman"/>
          <w:sz w:val="19"/>
          <w:szCs w:val="19"/>
          <w:color w:val="auto"/>
        </w:rPr>
        <w:t>. Engage in any material line of business substantially different from those lines of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conducted by the Company and its Restricted Subsidiaries on the Amendment No. 4 Effective Date or any business substantially related or incidental thereto.</w:t>
      </w: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7.08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19"/>
          <w:szCs w:val="19"/>
          <w:color w:val="auto"/>
        </w:rPr>
        <w:t>. Enter into any transaction of any kind with any Affiliate of the Company, whether or not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the ordinary course of business, other than on fair and reasonable terms substantially as favorable to the Company or such Restricted Subsidiary as would be obtainable by the Company or such Restricted Subsidiary at the time in a comparable arm’s length transaction with a Person other than an Affiliate; provided that with respect to transactions between or among the Borrowers and any Restricted Subsidiaries that are not Borrowers, such terms shall be no less favorable to the Borrowers than a comparable arm’s length transaction, and provided further that the foregoing restrictions shall not apply to the following: (a) transactions among Borrowers which are jointly and severally liable hereunder; (b) transactions among other Restricted Subsidiaries; (c) Permitted Post-Closing Reorganizations; (d) Restricted Payments expressly permitted by </w:t>
      </w:r>
      <w:r>
        <w:rPr>
          <w:rFonts w:ascii="Times New Roman" w:cs="Times New Roman" w:eastAsia="Times New Roman" w:hAnsi="Times New Roman"/>
          <w:sz w:val="19"/>
          <w:szCs w:val="19"/>
          <w:u w:val="single" w:color="auto"/>
          <w:color w:val="auto"/>
        </w:rPr>
        <w:t>Section 7.06</w:t>
      </w:r>
      <w:r>
        <w:rPr>
          <w:rFonts w:ascii="Times New Roman" w:cs="Times New Roman" w:eastAsia="Times New Roman" w:hAnsi="Times New Roman"/>
          <w:sz w:val="19"/>
          <w:szCs w:val="19"/>
          <w:color w:val="auto"/>
        </w:rPr>
        <w:t xml:space="preserve">; and (e) intercompany Indebtedness, Investments, and Dispositions that are expressly permitted by </w:t>
      </w:r>
      <w:r>
        <w:rPr>
          <w:rFonts w:ascii="Times New Roman" w:cs="Times New Roman" w:eastAsia="Times New Roman" w:hAnsi="Times New Roman"/>
          <w:sz w:val="19"/>
          <w:szCs w:val="19"/>
          <w:u w:val="single" w:color="auto"/>
          <w:color w:val="auto"/>
        </w:rPr>
        <w:t>Sections 7.02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7.05</w:t>
      </w:r>
      <w:r>
        <w:rPr>
          <w:rFonts w:ascii="Times New Roman" w:cs="Times New Roman" w:eastAsia="Times New Roman" w:hAnsi="Times New Roman"/>
          <w:sz w:val="19"/>
          <w:szCs w:val="19"/>
          <w:color w:val="auto"/>
        </w:rPr>
        <w:t>, respectively.</w:t>
      </w:r>
    </w:p>
    <w:p>
      <w:pPr>
        <w:spacing w:after="0" w:line="22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7.09 </w:t>
      </w:r>
      <w:r>
        <w:rPr>
          <w:rFonts w:ascii="Times New Roman" w:cs="Times New Roman" w:eastAsia="Times New Roman" w:hAnsi="Times New Roman"/>
          <w:sz w:val="22"/>
          <w:szCs w:val="22"/>
          <w:u w:val="single" w:color="auto"/>
          <w:color w:val="auto"/>
        </w:rPr>
        <w:t>Burdensome Agreements</w:t>
      </w:r>
      <w:r>
        <w:rPr>
          <w:rFonts w:ascii="Times New Roman" w:cs="Times New Roman" w:eastAsia="Times New Roman" w:hAnsi="Times New Roman"/>
          <w:sz w:val="19"/>
          <w:szCs w:val="19"/>
          <w:color w:val="auto"/>
        </w:rPr>
        <w:t>. Enter into or permit to exist any Contractual Obligation (other than (1) this Agreement or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other Loan Document, and (2) any customary restrictions in any third-party financing agreement (x) with respect to Indebtedness otherwise permitted hereunder of a Foreign Subsidiary that is not a Loan Party (and which Indebtedness, except for Bilateral Foreign Loan Facilities, is not Guaranteed by any Loan Party), (y) with respect to Guarantees of Indebtedness of joint ventures otherwise permitted hereunder or (z) with respect to Incremental Equivalent Debt to the extent such restrictions are not materially more restrictive, taken as a whole, than the restrictions contained in this Agreement (as determined in good faith by the Company)) that (a) limits the ability (i) of any Restricted Subsidiary to make Restricted Payments to any Loan Party or to otherwise transfer property to any Loan Party, except for any agreement in effect (A) on the Amendment No. 4 Effective Date and set forth on </w:t>
      </w:r>
      <w:r>
        <w:rPr>
          <w:rFonts w:ascii="Times New Roman" w:cs="Times New Roman" w:eastAsia="Times New Roman" w:hAnsi="Times New Roman"/>
          <w:sz w:val="19"/>
          <w:szCs w:val="19"/>
          <w:u w:val="single" w:color="auto"/>
          <w:color w:val="auto"/>
        </w:rPr>
        <w:t>Schedule 7.09</w:t>
      </w:r>
      <w:r>
        <w:rPr>
          <w:rFonts w:ascii="Times New Roman" w:cs="Times New Roman" w:eastAsia="Times New Roman" w:hAnsi="Times New Roman"/>
          <w:sz w:val="19"/>
          <w:szCs w:val="19"/>
          <w:color w:val="auto"/>
        </w:rPr>
        <w:t xml:space="preserve"> or (B) at the time any Restricted Subsidiary becomes a Restricted Subsidiary of the Company, so long as such agreement was not entered into solely in contemplation of such Person becoming a Restricted Subsidiary of the Company, (ii) of any Restricted Subsidiary to Guarantee the Indebtedness of the Company or any Borrower or</w:t>
      </w:r>
    </w:p>
    <w:p>
      <w:pPr>
        <w:spacing w:after="0" w:line="4" w:lineRule="exact"/>
        <w:rPr>
          <w:sz w:val="20"/>
          <w:szCs w:val="20"/>
          <w:color w:val="auto"/>
        </w:rPr>
      </w:pPr>
    </w:p>
    <w:p>
      <w:pPr>
        <w:jc w:val="both"/>
        <w:ind w:firstLine="8"/>
        <w:spacing w:after="0" w:line="249" w:lineRule="auto"/>
        <w:tabs>
          <w:tab w:leader="none" w:pos="37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Company or any Restricted Subsidiary to create, incur, assume or suffer to exist Liens on property of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clause (iii) shall not prohibit (I) any negative pledge incurred or provided in favor of any holder of Indebtedness permitted under </w:t>
      </w:r>
      <w:r>
        <w:rPr>
          <w:rFonts w:ascii="Times New Roman" w:cs="Times New Roman" w:eastAsia="Times New Roman" w:hAnsi="Times New Roman"/>
          <w:sz w:val="20"/>
          <w:szCs w:val="20"/>
          <w:u w:val="single" w:color="auto"/>
          <w:color w:val="auto"/>
        </w:rPr>
        <w:t>Section 7.02(e)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7.02(f)</w:t>
      </w:r>
      <w:r>
        <w:rPr>
          <w:rFonts w:ascii="Times New Roman" w:cs="Times New Roman" w:eastAsia="Times New Roman" w:hAnsi="Times New Roman"/>
          <w:sz w:val="20"/>
          <w:szCs w:val="20"/>
          <w:color w:val="auto"/>
        </w:rPr>
        <w:t xml:space="preserve"> solely to the extent any such negative pledge relates to the property financed by or the subject of such Indebtedness; (II) any joint venture agreement entered into in the ordinary course of business to the extent it prohibits the pledge or the equity of or assets held by such joint venture or to the extent it provides conditions to the making of distributions by such joint venture; and (III) customary anti-assignment provisions in Contractual Obligations entered into in the ordinary course of business; or (b) requires the grant of a Lien to secure an obligation of such Person if a Lien is granted to secure another obligation of such Person.</w:t>
      </w:r>
    </w:p>
    <w:p>
      <w:pPr>
        <w:spacing w:after="0" w:line="3" w:lineRule="exact"/>
        <w:rPr>
          <w:rFonts w:ascii="Times New Roman" w:cs="Times New Roman" w:eastAsia="Times New Roman" w:hAnsi="Times New Roman"/>
          <w:sz w:val="20"/>
          <w:szCs w:val="20"/>
          <w:color w:val="auto"/>
        </w:rPr>
      </w:pPr>
    </w:p>
    <w:p>
      <w:pPr>
        <w:jc w:val="both"/>
        <w:ind w:firstLine="648"/>
        <w:spacing w:after="0" w:line="26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7.10 </w:t>
      </w: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19"/>
          <w:szCs w:val="19"/>
          <w:color w:val="auto"/>
        </w:rPr>
        <w:t>. Use the proceeds of any Credit Extension, whether directly or indirectly, and whether immediately,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incidentally or ultimately, to purchase or carry margin stock (within the meaning of Regulation U of the FRB) or to extend credit to others for the purpose of purchasing or carrying margin stock or to refund indebtedness originally incurred for such purpose, in each case, in violation of Regulation U of the FRB.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p>
      <w:pPr>
        <w:sectPr>
          <w:pgSz w:w="11900" w:h="16838" w:orient="portrait"/>
          <w:cols w:equalWidth="0" w:num="1">
            <w:col w:w="11240"/>
          </w:cols>
          <w:pgMar w:left="320" w:top="1422" w:right="339" w:bottom="1440" w:gutter="0" w:footer="0" w:header="0"/>
        </w:sectPr>
      </w:pPr>
    </w:p>
    <w:bookmarkStart w:id="237" w:name="page238"/>
    <w:bookmarkEnd w:id="237"/>
    <w:p>
      <w:pPr>
        <w:ind w:right="20" w:firstLine="648"/>
        <w:spacing w:after="0" w:line="264"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22"/>
          <w:szCs w:val="22"/>
          <w:u w:val="single" w:color="auto"/>
          <w:color w:val="auto"/>
        </w:rPr>
        <w:t>Financial Covenants</w:t>
      </w:r>
      <w:r>
        <w:rPr>
          <w:rFonts w:ascii="Times New Roman" w:cs="Times New Roman" w:eastAsia="Times New Roman" w:hAnsi="Times New Roman"/>
          <w:sz w:val="19"/>
          <w:szCs w:val="19"/>
          <w:color w:val="auto"/>
        </w:rPr>
        <w: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Consolidated Interest Coverage Ratio</w:t>
      </w:r>
      <w:r>
        <w:rPr>
          <w:rFonts w:ascii="Times New Roman" w:cs="Times New Roman" w:eastAsia="Times New Roman" w:hAnsi="Times New Roman"/>
          <w:sz w:val="19"/>
          <w:szCs w:val="19"/>
          <w:color w:val="auto"/>
        </w:rPr>
        <w:t>. Permit the Consolidated Interest Coverage Ratio as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end of any fiscal quarter of the Company to be less than 2.75 to 1.00.</w:t>
      </w:r>
    </w:p>
    <w:p>
      <w:pPr>
        <w:spacing w:after="0" w:line="1" w:lineRule="exact"/>
        <w:rPr>
          <w:sz w:val="20"/>
          <w:szCs w:val="20"/>
          <w:color w:val="auto"/>
        </w:rPr>
      </w:pPr>
    </w:p>
    <w:p>
      <w:pPr>
        <w:jc w:val="both"/>
        <w:ind w:firstLine="656"/>
        <w:spacing w:after="0" w:line="247" w:lineRule="auto"/>
        <w:tabs>
          <w:tab w:leader="none" w:pos="1293"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Consolidated Net Leverage Ratio and Consolidated Secured Net Leverage Ratio</w:t>
      </w:r>
      <w:r>
        <w:rPr>
          <w:rFonts w:ascii="Times New Roman" w:cs="Times New Roman" w:eastAsia="Times New Roman" w:hAnsi="Times New Roman"/>
          <w:sz w:val="22"/>
          <w:szCs w:val="22"/>
          <w:color w:val="auto"/>
        </w:rPr>
        <w:t>. (i) Permit the Consolidated Net Leverage Ratio as of the last day of any Measurement Period to be greater than 4.25 to 1.00 or (ii) in lieu of the foregoing, at the Company’s option, solely to the extent (x) the Company has consummated a Qualified Notes Offering, (y) a Collateral Release shall not have occurred and be continuing and (z) the Term Facilities and Revolving Credit Facility are secured by the Collateral, permit the Consolidated Secured Net Leverage Ratio as of the last day of any Measurement Period to be greater than 3.50 to 1.00 (this clause (ii), the “</w:t>
      </w:r>
      <w:r>
        <w:rPr>
          <w:rFonts w:ascii="Times New Roman" w:cs="Times New Roman" w:eastAsia="Times New Roman" w:hAnsi="Times New Roman"/>
          <w:sz w:val="22"/>
          <w:szCs w:val="22"/>
          <w:u w:val="single" w:color="auto"/>
          <w:color w:val="auto"/>
        </w:rPr>
        <w:t>Financial Covenant Adjustment</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Company’s option, commencing with the fiscal quarter ending September 30, 2026, (i) in the case of clause (b)(i) above, the maximum Consolidated Net Leverage Ratio permitted by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may be increased to 4.75 to 1.00 (each such election, a “</w:t>
      </w:r>
      <w:r>
        <w:rPr>
          <w:rFonts w:ascii="Times New Roman" w:cs="Times New Roman" w:eastAsia="Times New Roman" w:hAnsi="Times New Roman"/>
          <w:sz w:val="22"/>
          <w:szCs w:val="22"/>
          <w:u w:val="single" w:color="auto"/>
          <w:color w:val="auto"/>
        </w:rPr>
        <w:t>Consolidated Net Leverage Ratio Increase</w:t>
      </w:r>
      <w:r>
        <w:rPr>
          <w:rFonts w:ascii="Times New Roman" w:cs="Times New Roman" w:eastAsia="Times New Roman" w:hAnsi="Times New Roman"/>
          <w:sz w:val="22"/>
          <w:szCs w:val="22"/>
          <w:color w:val="auto"/>
        </w:rPr>
        <w:t>”) and (ii) in the case of clause (b)(ii) above, the maximum Consolidated Secured Net Leverage Ratio may be increased to 4.00 to 1.00 (each such election, a “</w:t>
      </w:r>
      <w:r>
        <w:rPr>
          <w:rFonts w:ascii="Times New Roman" w:cs="Times New Roman" w:eastAsia="Times New Roman" w:hAnsi="Times New Roman"/>
          <w:sz w:val="22"/>
          <w:szCs w:val="22"/>
          <w:u w:val="single" w:color="auto"/>
          <w:color w:val="auto"/>
        </w:rPr>
        <w:t>Consolidated Secured Net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Leverage Ratio Increase</w:t>
      </w:r>
      <w:r>
        <w:rPr>
          <w:rFonts w:ascii="Times New Roman" w:cs="Times New Roman" w:eastAsia="Times New Roman" w:hAnsi="Times New Roman"/>
          <w:sz w:val="22"/>
          <w:szCs w:val="22"/>
          <w:color w:val="auto"/>
        </w:rPr>
        <w:t>”), in each case for the four fiscal quarters immediately following the consummation of an Acquisition by the Company or a Restricted Subsidiary where the aggregate consideration (including the amount of any earnout or other post-closing payment reasonably estimated to be paid) exceeds $75,000,000, beginning with the fiscal quarter in which such Acquisition is consummated (any such period, a “</w:t>
      </w:r>
      <w:r>
        <w:rPr>
          <w:rFonts w:ascii="Times New Roman" w:cs="Times New Roman" w:eastAsia="Times New Roman" w:hAnsi="Times New Roman"/>
          <w:sz w:val="22"/>
          <w:szCs w:val="22"/>
          <w:u w:val="single" w:color="auto"/>
          <w:color w:val="auto"/>
        </w:rPr>
        <w:t>Leverage Ratio Increase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any event (without regard to the making of more than one such Acquisition), (i) in the event that the required test under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is based on the Consolidated Net Leverage Ratio, the maximum Consolidated Net Leverage Ratio permitted by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must return to 4.25 to 1.00 for the fiscal quarter ending immediately following a Leverage Ratio Increase Period and (ii) in the event that the required test under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is based on the Consolidated Secured Net Leverage Ratio, the maximum Consolidated Secured Net Leverage Ratio permitted by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must return to 3.50 to 1.00 for the fiscal quarter ending immediately following a Leverage Ratio Increase Period.</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u w:val="single" w:color="auto"/>
          <w:color w:val="auto"/>
        </w:rPr>
        <w:t>Amendments of Organization Documents</w:t>
      </w:r>
      <w:r>
        <w:rPr>
          <w:rFonts w:ascii="Times New Roman" w:cs="Times New Roman" w:eastAsia="Times New Roman" w:hAnsi="Times New Roman"/>
          <w:sz w:val="19"/>
          <w:szCs w:val="19"/>
          <w:color w:val="auto"/>
        </w:rPr>
        <w:t>. Amend any of its Organization Documents, except amendments that would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not reasonably be expected to be material and adverse to the interests of the Lenders.</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7.13 </w:t>
      </w:r>
      <w:r>
        <w:rPr>
          <w:rFonts w:ascii="Times New Roman" w:cs="Times New Roman" w:eastAsia="Times New Roman" w:hAnsi="Times New Roman"/>
          <w:sz w:val="22"/>
          <w:szCs w:val="22"/>
          <w:u w:val="single" w:color="auto"/>
          <w:color w:val="auto"/>
        </w:rPr>
        <w:t>Accounting Changes</w:t>
      </w:r>
      <w:r>
        <w:rPr>
          <w:rFonts w:ascii="Times New Roman" w:cs="Times New Roman" w:eastAsia="Times New Roman" w:hAnsi="Times New Roman"/>
          <w:sz w:val="19"/>
          <w:szCs w:val="19"/>
          <w:color w:val="auto"/>
        </w:rPr>
        <w:t>. Make any change in (a) accounting policies or reporting practices, except as (i) required by GAAP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rules of the SEC, (ii) recommended by the Company’s auditors and disclosed to the Lenders or (iii) agreed to by the Company’s auditors and not material, or (b) the fiscal year of the Company.</w:t>
      </w:r>
    </w:p>
    <w:p>
      <w:pPr>
        <w:spacing w:after="0" w:line="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 xml:space="preserve">7.14 </w:t>
      </w:r>
      <w:r>
        <w:rPr>
          <w:rFonts w:ascii="Times New Roman" w:cs="Times New Roman" w:eastAsia="Times New Roman" w:hAnsi="Times New Roman"/>
          <w:sz w:val="22"/>
          <w:szCs w:val="22"/>
          <w:u w:val="single" w:color="auto"/>
          <w:color w:val="auto"/>
        </w:rPr>
        <w:t>Prepayments, Etc. of Indebtedness</w:t>
      </w:r>
      <w:r>
        <w:rPr>
          <w:rFonts w:ascii="Times New Roman" w:cs="Times New Roman" w:eastAsia="Times New Roman" w:hAnsi="Times New Roman"/>
          <w:sz w:val="19"/>
          <w:szCs w:val="19"/>
          <w:color w:val="auto"/>
        </w:rPr>
        <w:t>. Prepay, redeem, purchase, defease or otherwise satisfy prior to the scheduled maturity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thereof in any manner, or make any payment in violation of any subordination terms of, any subordinated Indebtedness.</w:t>
      </w:r>
    </w:p>
    <w:p>
      <w:pPr>
        <w:spacing w:after="0" w:line="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7.15</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jc w:val="both"/>
        <w:ind w:right="20" w:firstLine="648"/>
        <w:spacing w:after="0" w:line="264" w:lineRule="auto"/>
        <w:rPr>
          <w:sz w:val="20"/>
          <w:szCs w:val="20"/>
          <w:color w:val="auto"/>
        </w:rPr>
      </w:pPr>
      <w:r>
        <w:rPr>
          <w:rFonts w:ascii="Times New Roman" w:cs="Times New Roman" w:eastAsia="Times New Roman" w:hAnsi="Times New Roman"/>
          <w:sz w:val="22"/>
          <w:szCs w:val="22"/>
          <w:color w:val="auto"/>
        </w:rPr>
        <w:t xml:space="preserve">7.16 </w:t>
      </w:r>
      <w:r>
        <w:rPr>
          <w:rFonts w:ascii="Times New Roman" w:cs="Times New Roman" w:eastAsia="Times New Roman" w:hAnsi="Times New Roman"/>
          <w:sz w:val="22"/>
          <w:szCs w:val="22"/>
          <w:u w:val="single" w:color="auto"/>
          <w:color w:val="auto"/>
        </w:rPr>
        <w:t>Designation of Senior Debt</w:t>
      </w:r>
      <w:r>
        <w:rPr>
          <w:rFonts w:ascii="Times New Roman" w:cs="Times New Roman" w:eastAsia="Times New Roman" w:hAnsi="Times New Roman"/>
          <w:sz w:val="19"/>
          <w:szCs w:val="19"/>
          <w:color w:val="auto"/>
        </w:rPr>
        <w:t>. Designate any Indebtedness (other than the Obligations or Incremental Equivalent Debt)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Company or any of its Restricted Subsidiaries as “</w:t>
      </w:r>
      <w:r>
        <w:rPr>
          <w:rFonts w:ascii="Times New Roman" w:cs="Times New Roman" w:eastAsia="Times New Roman" w:hAnsi="Times New Roman"/>
          <w:sz w:val="19"/>
          <w:szCs w:val="19"/>
          <w:u w:val="single" w:color="auto"/>
          <w:color w:val="auto"/>
        </w:rPr>
        <w:t>Designated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164</w:t>
      </w:r>
    </w:p>
    <w:p>
      <w:pPr>
        <w:sectPr>
          <w:pgSz w:w="11900" w:h="16838" w:orient="portrait"/>
          <w:cols w:equalWidth="0" w:num="1">
            <w:col w:w="11240"/>
          </w:cols>
          <w:pgMar w:left="320" w:top="1422" w:right="339" w:bottom="1440" w:gutter="0" w:footer="0" w:header="0"/>
        </w:sectPr>
      </w:pPr>
    </w:p>
    <w:bookmarkStart w:id="238" w:name="page239"/>
    <w:bookmarkEnd w:id="238"/>
    <w:p>
      <w:pPr>
        <w:jc w:val="both"/>
        <w:spacing w:after="0" w:line="261" w:lineRule="auto"/>
        <w:rPr>
          <w:sz w:val="20"/>
          <w:szCs w:val="20"/>
          <w:color w:val="auto"/>
        </w:rPr>
      </w:pPr>
      <w:r>
        <w:rPr>
          <w:rFonts w:ascii="Times New Roman" w:cs="Times New Roman" w:eastAsia="Times New Roman" w:hAnsi="Times New Roman"/>
          <w:sz w:val="20"/>
          <w:szCs w:val="20"/>
          <w:u w:val="single" w:color="auto"/>
          <w:color w:val="auto"/>
        </w:rPr>
        <w:t>Debt</w:t>
      </w:r>
      <w:r>
        <w:rPr>
          <w:rFonts w:ascii="Times New Roman" w:cs="Times New Roman" w:eastAsia="Times New Roman" w:hAnsi="Times New Roman"/>
          <w:sz w:val="20"/>
          <w:szCs w:val="20"/>
          <w:color w:val="auto"/>
        </w:rPr>
        <w:t>” (or any similar term) under, and as defined in, any subordinated Indebtedness and documents evidencing or governing any subordinated Indebtedness.</w:t>
      </w:r>
    </w:p>
    <w:p>
      <w:pPr>
        <w:spacing w:after="0" w:line="1"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2"/>
          <w:szCs w:val="22"/>
          <w:color w:val="auto"/>
        </w:rPr>
        <w:t xml:space="preserve">7.17 </w:t>
      </w:r>
      <w:r>
        <w:rPr>
          <w:rFonts w:ascii="Times New Roman" w:cs="Times New Roman" w:eastAsia="Times New Roman" w:hAnsi="Times New Roman"/>
          <w:sz w:val="22"/>
          <w:szCs w:val="22"/>
          <w:u w:val="single" w:color="auto"/>
          <w:color w:val="auto"/>
        </w:rPr>
        <w:t>Sale and Leaseback Transactions</w:t>
      </w:r>
      <w:r>
        <w:rPr>
          <w:rFonts w:ascii="Times New Roman" w:cs="Times New Roman" w:eastAsia="Times New Roman" w:hAnsi="Times New Roman"/>
          <w:sz w:val="19"/>
          <w:szCs w:val="19"/>
          <w:color w:val="auto"/>
        </w:rPr>
        <w:t>. Enter into any Sale and Leaseback Transaction except as set forth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7.02(q)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Section 7.05(h)</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7.18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19"/>
          <w:szCs w:val="19"/>
          <w:color w:val="auto"/>
        </w:rPr>
        <w:t>. Directly or, to the Company’s knowledge, indirectly, use the proceeds of any Credit Extension, or lend,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contribute or otherwise make available such proceeds to any Subsidiary, joint venture partner or other individual or entity, to fund any activities of or business with any individual or entity that, at the time of such funding, is the target of Sanctions, or in any Designated Jurisdiction, or in any other manner that will result in a violation of Sanctions by any individual or entity acting on behalf of the Company (including any individual or entity participating in the transaction, whether as Lender, Arranger, Administrative Agent, L/C Issuer, Swing Line Lender, or otherwise).</w:t>
      </w:r>
    </w:p>
    <w:p>
      <w:pPr>
        <w:spacing w:after="0" w:line="22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7.19 </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19"/>
          <w:szCs w:val="19"/>
          <w:color w:val="auto"/>
        </w:rPr>
        <w:t>. Directly or indirectly use the proceeds of any Credit Extension for any purpose which would breach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United States Foreign Corrupt Practices Act of 1977, the UK Bribery Act 2010, and other similar anti-corruption legislation in other jurisdictions.</w:t>
      </w:r>
    </w:p>
    <w:p>
      <w:pPr>
        <w:spacing w:after="0" w:line="22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7.20 </w:t>
      </w:r>
      <w:r>
        <w:rPr>
          <w:rFonts w:ascii="Times New Roman" w:cs="Times New Roman" w:eastAsia="Times New Roman" w:hAnsi="Times New Roman"/>
          <w:sz w:val="22"/>
          <w:szCs w:val="22"/>
          <w:u w:val="single" w:color="auto"/>
          <w:color w:val="auto"/>
        </w:rPr>
        <w:t>Outbound Investment</w:t>
      </w:r>
      <w:r>
        <w:rPr>
          <w:rFonts w:ascii="Times New Roman" w:cs="Times New Roman" w:eastAsia="Times New Roman" w:hAnsi="Times New Roman"/>
          <w:sz w:val="19"/>
          <w:szCs w:val="19"/>
          <w:color w:val="auto"/>
        </w:rPr>
        <w:t>. The Company will not, and will not permit any of its Subsidiaries to, (a) be or become a “covered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were a U.S. Person or (iii) any other activity that would cause Lenders to be in violation of the Outbound Investment Rules or cause Lenders to be legally prohibited by the Outbound Investment Rules from performing under this Agreement.</w:t>
      </w:r>
    </w:p>
    <w:p>
      <w:pPr>
        <w:spacing w:after="0" w:line="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ARTICLE VIII</w:t>
      </w:r>
    </w:p>
    <w:p>
      <w:pPr>
        <w:spacing w:after="0" w:line="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EVENTS OF DEFAULT AND REMEDIES</w:t>
      </w:r>
    </w:p>
    <w:p>
      <w:pPr>
        <w:spacing w:after="0" w:line="20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8.01</w:t>
      </w:r>
      <w:r>
        <w:rPr>
          <w:sz w:val="20"/>
          <w:szCs w:val="20"/>
          <w:color w:val="auto"/>
        </w:rPr>
        <w:tab/>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19"/>
          <w:szCs w:val="19"/>
          <w:color w:val="auto"/>
        </w:rPr>
        <w:t>. Any of the following shall constitute an Event of Default:</w:t>
      </w:r>
    </w:p>
    <w:p>
      <w:pPr>
        <w:spacing w:after="0" w:line="28" w:lineRule="exact"/>
        <w:rPr>
          <w:sz w:val="20"/>
          <w:szCs w:val="20"/>
          <w:color w:val="auto"/>
        </w:rPr>
      </w:pPr>
    </w:p>
    <w:p>
      <w:pPr>
        <w:jc w:val="both"/>
        <w:ind w:firstLine="656"/>
        <w:spacing w:after="0" w:line="247" w:lineRule="auto"/>
        <w:tabs>
          <w:tab w:leader="none" w:pos="1293"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Non-Payment</w:t>
      </w:r>
      <w:r>
        <w:rPr>
          <w:rFonts w:ascii="Times New Roman" w:cs="Times New Roman" w:eastAsia="Times New Roman" w:hAnsi="Times New Roman"/>
          <w:sz w:val="22"/>
          <w:szCs w:val="22"/>
          <w:color w:val="auto"/>
        </w:rPr>
        <w:t>. Any Borrower or any other Loan Party fails to (i) pay when and as required to be paid herein, and in the currency required hereunder, any amount of principal of any Loan or any L/C Obligation or deposit any funds as Cash Collateral in respect of L/C Obligations, or (ii) pay within three Business Days after the same becomes due, any interest on any Loan or on any L/C Obligation, or any fee due hereunder, or (iii) pay within five Business Days after the same becomes due, any other amount payable hereunder or under any other Loan Document; or</w:t>
      </w:r>
    </w:p>
    <w:p>
      <w:pPr>
        <w:spacing w:after="0" w:line="18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1"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Covenants</w:t>
      </w:r>
      <w:r>
        <w:rPr>
          <w:rFonts w:ascii="Times New Roman" w:cs="Times New Roman" w:eastAsia="Times New Roman" w:hAnsi="Times New Roman"/>
          <w:sz w:val="22"/>
          <w:szCs w:val="22"/>
          <w:color w:val="auto"/>
        </w:rPr>
        <w:t xml:space="preserve">. The Company or any Borrower fails to perform or observe any term, covenant or agreement contained in any of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6.05(a)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Event of Default under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shall not constitute an Event of Default for purposes of any Term B Loans unless and until all Required Pro Rata Facilities Lenders have declared all Obligations in respect of the Pro Rata Facilities to be immediately due and payable in accordance with this Agreement; or</w:t>
      </w:r>
    </w:p>
    <w:p>
      <w:pPr>
        <w:spacing w:after="0" w:line="178"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3"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Defaults</w:t>
      </w:r>
      <w:r>
        <w:rPr>
          <w:rFonts w:ascii="Times New Roman" w:cs="Times New Roman" w:eastAsia="Times New Roman" w:hAnsi="Times New Roman"/>
          <w:sz w:val="22"/>
          <w:szCs w:val="22"/>
          <w:color w:val="auto"/>
        </w:rPr>
        <w:t xml:space="preserve">. Any Loan Party fails to perform or observe any other covenant or agreement (not specified in </w:t>
      </w:r>
      <w:r>
        <w:rPr>
          <w:rFonts w:ascii="Times New Roman" w:cs="Times New Roman" w:eastAsia="Times New Roman" w:hAnsi="Times New Roman"/>
          <w:sz w:val="22"/>
          <w:szCs w:val="22"/>
          <w:u w:val="single" w:color="auto"/>
          <w:color w:val="auto"/>
        </w:rPr>
        <w:t>Section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contained in any Loan Document on its part to be performed or observed and such failure continues for 30 days;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165</w:t>
      </w:r>
    </w:p>
    <w:p>
      <w:pPr>
        <w:sectPr>
          <w:pgSz w:w="11900" w:h="16838" w:orient="portrait"/>
          <w:cols w:equalWidth="0" w:num="1">
            <w:col w:w="11240"/>
          </w:cols>
          <w:pgMar w:left="320" w:top="1413" w:right="339" w:bottom="1440" w:gutter="0" w:footer="0" w:header="0"/>
        </w:sectPr>
      </w:pPr>
    </w:p>
    <w:bookmarkStart w:id="239" w:name="page240"/>
    <w:bookmarkEnd w:id="239"/>
    <w:p>
      <w:pPr>
        <w:jc w:val="both"/>
        <w:ind w:firstLine="656"/>
        <w:spacing w:after="0" w:line="256" w:lineRule="auto"/>
        <w:tabs>
          <w:tab w:leader="none" w:pos="1291"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Any representation, warranty, certification or statement of fact made or deemed made by or on behalf of any Borrower or any other Loan Party herein, in any other Loan Document, or in any document delivered in connection herewith or therewith shall be incorrect or misleading in any material respect (or, with respect to representations and warranties modified by materiality standards, in any respect) when made or deemed made; or</w:t>
      </w:r>
    </w:p>
    <w:p>
      <w:pPr>
        <w:spacing w:after="0" w:line="176"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3"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Cross-Default</w:t>
      </w:r>
      <w:r>
        <w:rPr>
          <w:rFonts w:ascii="Times New Roman" w:cs="Times New Roman" w:eastAsia="Times New Roman" w:hAnsi="Times New Roman"/>
          <w:sz w:val="22"/>
          <w:szCs w:val="22"/>
          <w:color w:val="auto"/>
        </w:rPr>
        <w:t xml:space="preserve">. (i) Any Loan Party or any Restricted Subsidiary thereof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clause (e)(i)(B)</w:t>
      </w:r>
      <w:r>
        <w:rPr>
          <w:rFonts w:ascii="Times New Roman" w:cs="Times New Roman" w:eastAsia="Times New Roman" w:hAnsi="Times New Roman"/>
          <w:sz w:val="22"/>
          <w:szCs w:val="22"/>
          <w:color w:val="auto"/>
        </w:rPr>
        <w:t xml:space="preserve"> shall not apply to secured Indebtedness that becomes due as a result of the voluntary sale or transfer of the property or assets securing such Indebtedness, if such sale or transfer is permitted hereunder; or (ii) there occurs under any Swap Contract an Early Termination Date (as defined in such Swap Contract) resulting from (A) any event of default under such Swap Contract as to which a Loan Party or any Restricted Subsidiary thereof is the Defaulting Party (as defined in such Swap Contract) or (B) any Termination Event (as so defined) under such Swap Contract as to which a Loan Party or any Restricted Subsidiary thereof is an Affected Party (as so defined) and, in either event, the Swap Termination Value owed by such Loan Party or such Restricted Subsidiary as a result thereof is greater than the Threshold Amount; or</w:t>
      </w:r>
    </w:p>
    <w:p>
      <w:pPr>
        <w:spacing w:after="0" w:line="183"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Insolvency Proceedings, Etc</w:t>
      </w:r>
      <w:r>
        <w:rPr>
          <w:rFonts w:ascii="Times New Roman" w:cs="Times New Roman" w:eastAsia="Times New Roman" w:hAnsi="Times New Roman"/>
          <w:sz w:val="22"/>
          <w:szCs w:val="22"/>
          <w:color w:val="auto"/>
        </w:rPr>
        <w:t>. Any Loan Party or any Significant Subsidiary (or any group of Restricted Subsidiaries that, if constituting a single Restricted Subsidiary, would be a Significant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files a notice under Section 36 of the Tax Collection Act of the Netherlands (</w:t>
      </w:r>
      <w:r>
        <w:rPr>
          <w:rFonts w:ascii="Times New Roman" w:cs="Times New Roman" w:eastAsia="Times New Roman" w:hAnsi="Times New Roman"/>
          <w:sz w:val="22"/>
          <w:szCs w:val="22"/>
          <w:i w:val="1"/>
          <w:iCs w:val="1"/>
          <w:color w:val="auto"/>
        </w:rPr>
        <w:t>Invorderingswet 1990</w:t>
      </w:r>
      <w:r>
        <w:rPr>
          <w:rFonts w:ascii="Times New Roman" w:cs="Times New Roman" w:eastAsia="Times New Roman" w:hAnsi="Times New Roman"/>
          <w:sz w:val="22"/>
          <w:szCs w:val="22"/>
          <w:color w:val="auto"/>
        </w:rPr>
        <w:t>) or Section 60 of the Social Insurance Financing Act of the Netherlands (</w:t>
      </w:r>
      <w:r>
        <w:rPr>
          <w:rFonts w:ascii="Times New Roman" w:cs="Times New Roman" w:eastAsia="Times New Roman" w:hAnsi="Times New Roman"/>
          <w:sz w:val="22"/>
          <w:szCs w:val="22"/>
          <w:i w:val="1"/>
          <w:iCs w:val="1"/>
          <w:color w:val="auto"/>
        </w:rPr>
        <w:t>Wet Financiering Sociale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Verzekeringen</w:t>
      </w:r>
      <w:r>
        <w:rPr>
          <w:rFonts w:ascii="Times New Roman" w:cs="Times New Roman" w:eastAsia="Times New Roman" w:hAnsi="Times New Roman"/>
          <w:sz w:val="22"/>
          <w:szCs w:val="22"/>
          <w:color w:val="auto"/>
        </w:rPr>
        <w:t>) in conjunction with Section 36 of the Tax Collection Act of the Netherlands (</w:t>
      </w:r>
      <w:r>
        <w:rPr>
          <w:rFonts w:ascii="Times New Roman" w:cs="Times New Roman" w:eastAsia="Times New Roman" w:hAnsi="Times New Roman"/>
          <w:sz w:val="22"/>
          <w:szCs w:val="22"/>
          <w:i w:val="1"/>
          <w:iCs w:val="1"/>
          <w:color w:val="auto"/>
        </w:rPr>
        <w:t>Invorderingswet 1990</w:t>
      </w:r>
      <w:r>
        <w:rPr>
          <w:rFonts w:ascii="Times New Roman" w:cs="Times New Roman" w:eastAsia="Times New Roman" w:hAnsi="Times New Roman"/>
          <w:sz w:val="22"/>
          <w:szCs w:val="22"/>
          <w:color w:val="auto"/>
        </w:rPr>
        <w:t>);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receiver, trustee, custodian, conservator, liquidator, rehabilitator or similar officer is appointed without the application or consent of such Person and, in the case of any appointments outside of the Netherlands, the appointment continues undischarged or unstayed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166</w:t>
      </w:r>
    </w:p>
    <w:p>
      <w:pPr>
        <w:sectPr>
          <w:pgSz w:w="11900" w:h="16838" w:orient="portrait"/>
          <w:cols w:equalWidth="0" w:num="1">
            <w:col w:w="11240"/>
          </w:cols>
          <w:pgMar w:left="320" w:top="1422" w:right="339" w:bottom="1440" w:gutter="0" w:footer="0" w:header="0"/>
        </w:sectPr>
      </w:pPr>
    </w:p>
    <w:bookmarkStart w:id="240" w:name="page241"/>
    <w:bookmarkEnd w:id="240"/>
    <w:p>
      <w:pPr>
        <w:jc w:val="both"/>
        <w:spacing w:after="0" w:line="253" w:lineRule="auto"/>
        <w:rPr>
          <w:sz w:val="20"/>
          <w:szCs w:val="20"/>
          <w:color w:val="auto"/>
        </w:rPr>
      </w:pPr>
      <w:r>
        <w:rPr>
          <w:rFonts w:ascii="Times New Roman" w:cs="Times New Roman" w:eastAsia="Times New Roman" w:hAnsi="Times New Roman"/>
          <w:sz w:val="22"/>
          <w:szCs w:val="22"/>
          <w:color w:val="auto"/>
        </w:rPr>
        <w:t>for 60 calendar days; or any proceeding under any Debtor Relief Law relating to any such Person or to all or any material part of its property is instituted without the consent of such Person and, in the case of any proceedings instituted outside of the Netherlands, continues undismissed or unstayed for 60 calendar days, or an order for relief is entered in any such proceeding; provided that in the case of any insolvency proceedings in the Netherlands, no grace period is applicable, other than in the case of any frivolous or vexatious petitions for which a grace period of 15 calendar days applies; or</w:t>
      </w:r>
    </w:p>
    <w:p>
      <w:pPr>
        <w:spacing w:after="0" w:line="179" w:lineRule="exact"/>
        <w:rPr>
          <w:sz w:val="20"/>
          <w:szCs w:val="20"/>
          <w:color w:val="auto"/>
        </w:rPr>
      </w:pPr>
    </w:p>
    <w:p>
      <w:pPr>
        <w:jc w:val="both"/>
        <w:ind w:firstLine="656"/>
        <w:spacing w:after="0" w:line="253" w:lineRule="auto"/>
        <w:tabs>
          <w:tab w:leader="none" w:pos="1291"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Inability to Pay Debts; Attachment</w:t>
      </w:r>
      <w:r>
        <w:rPr>
          <w:rFonts w:ascii="Times New Roman" w:cs="Times New Roman" w:eastAsia="Times New Roman" w:hAnsi="Times New Roman"/>
          <w:sz w:val="22"/>
          <w:szCs w:val="22"/>
          <w:color w:val="auto"/>
        </w:rPr>
        <w:t>. (i) Any Loan Party or any Significant Subsidiary (or any group of Restricted Subsidiaries that, if constituting a single Restricted Subsidiary, would be a Significant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78"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Judgments</w:t>
      </w:r>
      <w:r>
        <w:rPr>
          <w:rFonts w:ascii="Times New Roman" w:cs="Times New Roman" w:eastAsia="Times New Roman" w:hAnsi="Times New Roman"/>
          <w:sz w:val="22"/>
          <w:szCs w:val="22"/>
          <w:color w:val="auto"/>
        </w:rPr>
        <w:t>. There is entered against any Loan Party or any Significant Subsidiary (or any group of Restricted Subsidiaries that, if constituting a single Restricted Subsidiary, would be a Significant Subsidiary) (i) one or more final judgments or orders for the payment of money in an aggregate amount (as to all such judgments and orders) exceeding the Threshold Amount (to the extent not covered by third-party insurance as to which the insurer is rated at least “A” by A.M. Best Company, has been notified of the potential claim and does not dispute coverage), or (ii) any one or more non-monetary final judgments that have, or would reasonably be expected to have, individually or in the aggregate, a Material Adverse Effect and, in either case, (A) such judgment is not paid by the applicable Loan Party or Significant Subsidiary, or (B) there is a period of 10 consecutive Business Days during which a stay of enforcement of such judgment, by reason of a pending appeal or otherwise, is not in effect; or</w:t>
      </w:r>
    </w:p>
    <w:p>
      <w:pPr>
        <w:spacing w:after="0" w:line="198" w:lineRule="exact"/>
        <w:rPr>
          <w:rFonts w:ascii="Times New Roman" w:cs="Times New Roman" w:eastAsia="Times New Roman" w:hAnsi="Times New Roman"/>
          <w:sz w:val="22"/>
          <w:szCs w:val="22"/>
          <w:color w:val="auto"/>
        </w:rPr>
      </w:pPr>
    </w:p>
    <w:p>
      <w:pPr>
        <w:jc w:val="both"/>
        <w:ind w:firstLine="656"/>
        <w:spacing w:after="0" w:line="250" w:lineRule="auto"/>
        <w:tabs>
          <w:tab w:leader="none" w:pos="1284"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(i) An ERISA Event occurs with respect to a Pension Plan or Multiemployer Plan which has resulted or would reasonably be expected to result in liability of the Company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94" w:lineRule="exact"/>
        <w:rPr>
          <w:rFonts w:ascii="Times New Roman" w:cs="Times New Roman" w:eastAsia="Times New Roman" w:hAnsi="Times New Roman"/>
          <w:sz w:val="22"/>
          <w:szCs w:val="22"/>
          <w:color w:val="auto"/>
        </w:rPr>
      </w:pPr>
    </w:p>
    <w:p>
      <w:pPr>
        <w:jc w:val="both"/>
        <w:ind w:firstLine="656"/>
        <w:spacing w:after="0" w:line="248" w:lineRule="auto"/>
        <w:tabs>
          <w:tab w:leader="none" w:pos="1284"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Invalidity of Loan Documents</w:t>
      </w:r>
      <w:r>
        <w:rPr>
          <w:rFonts w:ascii="Times New Roman" w:cs="Times New Roman" w:eastAsia="Times New Roman" w:hAnsi="Times New Roman"/>
          <w:sz w:val="22"/>
          <w:szCs w:val="22"/>
          <w:color w:val="auto"/>
        </w:rPr>
        <w:t>. Any material provision of any Loan Document, at any time after its execution and delivery and for any reason other than as expressly permitted hereunder or thereunder or satisfaction in full of all the Obligations (other than the Other Secured Obligations),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w:t>
      </w:r>
    </w:p>
    <w:p>
      <w:pPr>
        <w:spacing w:after="0" w:line="20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There occurs any Change of Control;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167</w:t>
      </w:r>
    </w:p>
    <w:p>
      <w:pPr>
        <w:sectPr>
          <w:pgSz w:w="11900" w:h="16838" w:orient="portrait"/>
          <w:cols w:equalWidth="0" w:num="1">
            <w:col w:w="11240"/>
          </w:cols>
          <w:pgMar w:left="320" w:top="1422" w:right="339" w:bottom="1440" w:gutter="0" w:footer="0" w:header="0"/>
        </w:sectPr>
      </w:pPr>
    </w:p>
    <w:bookmarkStart w:id="241" w:name="page242"/>
    <w:bookmarkEnd w:id="241"/>
    <w:p>
      <w:pPr>
        <w:jc w:val="both"/>
        <w:ind w:firstLine="656"/>
        <w:spacing w:after="0" w:line="256" w:lineRule="auto"/>
        <w:tabs>
          <w:tab w:leader="none" w:pos="1284"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xml:space="preserve">. Any Collateral Document after delivery thereof pursuant to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6.12</w:t>
      </w:r>
      <w:r>
        <w:rPr>
          <w:rFonts w:ascii="Times New Roman" w:cs="Times New Roman" w:eastAsia="Times New Roman" w:hAnsi="Times New Roman"/>
          <w:sz w:val="22"/>
          <w:szCs w:val="22"/>
          <w:color w:val="auto"/>
        </w:rPr>
        <w:t xml:space="preserve"> shall for any reason (other than pursuant to the terms thereof or solely due to the actions or inactions of the General Administrative Agent or any other Administrative Agent within its exclusive control) cease to create a valid and perfected first priority Lien (subject to Liens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on any material amount of the Collateral purported to be covered thereby.</w:t>
      </w:r>
    </w:p>
    <w:p>
      <w:pPr>
        <w:spacing w:after="0" w:line="17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8.02 </w:t>
      </w:r>
      <w:r>
        <w:rPr>
          <w:rFonts w:ascii="Times New Roman" w:cs="Times New Roman" w:eastAsia="Times New Roman" w:hAnsi="Times New Roman"/>
          <w:sz w:val="22"/>
          <w:szCs w:val="22"/>
          <w:u w:val="single" w:color="auto"/>
          <w:color w:val="auto"/>
        </w:rPr>
        <w:t>Remedies upon Event of Default</w:t>
      </w:r>
      <w:r>
        <w:rPr>
          <w:rFonts w:ascii="Times New Roman" w:cs="Times New Roman" w:eastAsia="Times New Roman" w:hAnsi="Times New Roman"/>
          <w:sz w:val="19"/>
          <w:szCs w:val="19"/>
          <w:color w:val="auto"/>
        </w:rPr>
        <w:t>. If any Event of Default occurs and is continuing, any of the Administrative Agents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shall, at the request of, or may, with the consent of, the Required Lenders, take any or all of the following actions:</w:t>
      </w:r>
    </w:p>
    <w:p>
      <w:pPr>
        <w:spacing w:after="0" w:line="1" w:lineRule="exact"/>
        <w:rPr>
          <w:sz w:val="20"/>
          <w:szCs w:val="20"/>
          <w:color w:val="auto"/>
        </w:rPr>
      </w:pPr>
    </w:p>
    <w:p>
      <w:pPr>
        <w:ind w:firstLine="656"/>
        <w:spacing w:after="0" w:line="265" w:lineRule="auto"/>
        <w:tabs>
          <w:tab w:leader="none" w:pos="1293"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commitment of each Lender to make Loans and any obligation of the L/C Issuer to make L/C Credit Extensions to be terminated, whereupon such commitments and obligation shall be terminated;</w:t>
      </w:r>
    </w:p>
    <w:p>
      <w:pPr>
        <w:spacing w:after="0" w:line="163"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67"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that the Borrowers Cash Collateralize the L/C Obligations (in an amount equal to the Minimum Collateral Amount with respect thereto); and</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on behalf of itself, the Lenders and the L/C Issuer all rights and remedies available to it, the Lenders and the L/C Issuer under the Loan Documents;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any of the Administrative Agents or any Lender.</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8.03 </w:t>
      </w:r>
      <w:r>
        <w:rPr>
          <w:rFonts w:ascii="Times New Roman" w:cs="Times New Roman" w:eastAsia="Times New Roman" w:hAnsi="Times New Roman"/>
          <w:sz w:val="22"/>
          <w:szCs w:val="22"/>
          <w:u w:val="single" w:color="auto"/>
          <w:color w:val="auto"/>
        </w:rPr>
        <w:t>Application of Funds</w:t>
      </w:r>
      <w:r>
        <w:rPr>
          <w:rFonts w:ascii="Times New Roman" w:cs="Times New Roman" w:eastAsia="Times New Roman" w:hAnsi="Times New Roman"/>
          <w:sz w:val="19"/>
          <w:szCs w:val="19"/>
          <w:color w:val="auto"/>
        </w:rPr>
        <w:t>. After the exercise of remedies provided for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(or after the Loans have automatically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become immediately due and payable and the L/C Obligations have automatically been required to be Cash Collateralized as set forth in the proviso to </w:t>
      </w:r>
      <w:r>
        <w:rPr>
          <w:rFonts w:ascii="Times New Roman" w:cs="Times New Roman" w:eastAsia="Times New Roman" w:hAnsi="Times New Roman"/>
          <w:sz w:val="19"/>
          <w:szCs w:val="19"/>
          <w:u w:val="single" w:color="auto"/>
          <w:color w:val="auto"/>
        </w:rPr>
        <w:t>Section 8.02</w:t>
      </w:r>
      <w:r>
        <w:rPr>
          <w:rFonts w:ascii="Times New Roman" w:cs="Times New Roman" w:eastAsia="Times New Roman" w:hAnsi="Times New Roman"/>
          <w:sz w:val="19"/>
          <w:szCs w:val="19"/>
          <w:color w:val="auto"/>
        </w:rPr>
        <w:t xml:space="preserve">), any amounts received on account of the Obligations shall, subject to the provisions of </w:t>
      </w:r>
      <w:r>
        <w:rPr>
          <w:rFonts w:ascii="Times New Roman" w:cs="Times New Roman" w:eastAsia="Times New Roman" w:hAnsi="Times New Roman"/>
          <w:sz w:val="19"/>
          <w:szCs w:val="19"/>
          <w:u w:val="single" w:color="auto"/>
          <w:color w:val="auto"/>
        </w:rPr>
        <w:t>Sections 2.17</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2.18</w:t>
      </w:r>
      <w:r>
        <w:rPr>
          <w:rFonts w:ascii="Times New Roman" w:cs="Times New Roman" w:eastAsia="Times New Roman" w:hAnsi="Times New Roman"/>
          <w:sz w:val="19"/>
          <w:szCs w:val="19"/>
          <w:color w:val="auto"/>
        </w:rPr>
        <w:t>, be applied by the Administrative Agents in the following order:</w:t>
      </w:r>
    </w:p>
    <w:p>
      <w:pPr>
        <w:jc w:val="both"/>
        <w:ind w:firstLine="648"/>
        <w:spacing w:after="0" w:line="254"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payment of that portion of the Obligations constituting fees, indemnities, expenses and other amounts (including fees, charges and disbursements of counsel to the Administrative Agents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payable to the Administrative Agents in their capacity as such;</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payment of that portion of the Obligations constituting fees, indemnities and other amounts (other than principal, interest and Letter of Credit Fees) payable to the Lenders and the L/C Issuer (including fees, charges and disbursements of counsel to the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168</w:t>
      </w:r>
    </w:p>
    <w:p>
      <w:pPr>
        <w:sectPr>
          <w:pgSz w:w="11900" w:h="16838" w:orient="portrait"/>
          <w:cols w:equalWidth="0" w:num="1">
            <w:col w:w="11240"/>
          </w:cols>
          <w:pgMar w:left="320" w:top="1422" w:right="339" w:bottom="1440" w:gutter="0" w:footer="0" w:header="0"/>
        </w:sectPr>
      </w:pPr>
    </w:p>
    <w:bookmarkStart w:id="242" w:name="page243"/>
    <w:bookmarkEnd w:id="24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Lenders and the L/C Issuer arising under the Loan Documents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ratably among them in proportion to the respective amounts described in this clause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payable to them;</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accrued and unpaid Letter of Credit Fees and interest on the Loans, L/C Borrowings, Bilateral Foreign Loan Facilities and other Obligations arising under the Loan Documents, ratably among the Lenders, the Bilateral Foreign Facility Lenders and the L/C Issuer in proportion to the respective amounts described in this clause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payable to them;</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payment of that portion of the Obligations constituting unpaid principal of the Loans, L/C Borrowings and Obligations then owing under Bilateral Foreign Loan Facilities, Secured Hedge Agreements and Secured Cash Management Agreements, ratably among the Lenders, the L/C Issuer, the Bilateral Foreign Facility Lenders, the Hedge Banks and the Cash Management Banks in proportion to the respective amounts described in this clause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held by them;</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to the Pro Rata Facilities Administrative Agent for the account of the L/C Issuer, to Cash Collateralize that portion of L/C Obligations comprised of the aggregate undrawn amount of Letters of Credit to the extent not otherwise Cash Collateralized by the Borrowers pursuant to </w:t>
      </w:r>
      <w:r>
        <w:rPr>
          <w:rFonts w:ascii="Times New Roman" w:cs="Times New Roman" w:eastAsia="Times New Roman" w:hAnsi="Times New Roman"/>
          <w:sz w:val="22"/>
          <w:szCs w:val="22"/>
          <w:u w:val="single" w:color="auto"/>
          <w:color w:val="auto"/>
        </w:rPr>
        <w:t>Sections 2.03</w:t>
      </w:r>
      <w:r>
        <w:rPr>
          <w:rFonts w:ascii="Times New Roman" w:cs="Times New Roman" w:eastAsia="Times New Roman" w:hAnsi="Times New Roman"/>
          <w:sz w:val="22"/>
          <w:szCs w:val="22"/>
          <w:color w:val="auto"/>
        </w:rPr>
        <w:t xml:space="preserve"> and 2.17;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-43815</wp:posOffset>
            </wp:positionV>
            <wp:extent cx="274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5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Obligations have been indefeasibly paid in full, to the Borrowers or as otherwise required by Laws.</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Sections 2.03(c)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2.17</w:t>
      </w:r>
      <w:r>
        <w:rPr>
          <w:rFonts w:ascii="Times New Roman" w:cs="Times New Roman" w:eastAsia="Times New Roman" w:hAnsi="Times New Roman"/>
          <w:sz w:val="22"/>
          <w:szCs w:val="22"/>
          <w:color w:val="auto"/>
        </w:rPr>
        <w:t xml:space="preserve">, amounts used to Cash Collateralize the aggregate undrawn amount of Letters of Credit pursuant to clause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Notwithstanding the foregoing, Obligations arising under (a) Secured Cash Management Agreements and Secured Hedge Agreements shall be excluded from the application described above if the General Administrative Agent has not received written notice thereof, together with such supporting documentation as the General Administrative Agent may request, from the applicable Cash Management Bank or Hedge Bank, as the case may be and (b) Bilateral Foreign Loan Facilities shall be excluded from the application described above if the General Administrative Agent has not received written notice thereof, together with such supporting documentation as the General Administrative Agent may request, from the Company and/or the Bilateral Foreign Facility Lender. Each Cash Management Bank or Hedge Bank not a party to the Credit Agreement that has given the notice contemplated by the preceding sentence, and each Bilateral Foreign Facility Lender for which the Company and the Bilateral Foreign Facility Lender has given such notice, shall be deemed to have acknowledged and accepted the appointment of the General Administrative Agent pursuant to the terms of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hereof for itself and its Affiliates as if a “Lender”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169</w:t>
      </w:r>
    </w:p>
    <w:p>
      <w:pPr>
        <w:sectPr>
          <w:pgSz w:w="11900" w:h="16838" w:orient="portrait"/>
          <w:cols w:equalWidth="0" w:num="1">
            <w:col w:w="11240"/>
          </w:cols>
          <w:pgMar w:left="320" w:top="1422" w:right="339" w:bottom="1440" w:gutter="0" w:footer="0" w:header="0"/>
        </w:sectPr>
      </w:pPr>
    </w:p>
    <w:bookmarkStart w:id="243" w:name="page244"/>
    <w:bookmarkEnd w:id="243"/>
    <w:p>
      <w:pPr>
        <w:ind w:left="4980"/>
        <w:spacing w:after="0"/>
        <w:rPr>
          <w:sz w:val="20"/>
          <w:szCs w:val="20"/>
          <w:color w:val="auto"/>
        </w:rPr>
      </w:pPr>
      <w:r>
        <w:rPr>
          <w:rFonts w:ascii="Times New Roman" w:cs="Times New Roman" w:eastAsia="Times New Roman" w:hAnsi="Times New Roman"/>
          <w:sz w:val="22"/>
          <w:szCs w:val="22"/>
          <w:color w:val="auto"/>
        </w:rPr>
        <w:t>ARTICLE IX</w:t>
      </w:r>
    </w:p>
    <w:p>
      <w:pPr>
        <w:spacing w:after="0" w:line="2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ADMINISTRATIVE AGENTS</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9.01 </w:t>
      </w:r>
      <w:r>
        <w:rPr>
          <w:rFonts w:ascii="Times New Roman" w:cs="Times New Roman" w:eastAsia="Times New Roman" w:hAnsi="Times New Roman"/>
          <w:sz w:val="22"/>
          <w:szCs w:val="22"/>
          <w:u w:val="single" w:color="auto"/>
          <w:color w:val="auto"/>
        </w:rPr>
        <w:t>Appointment and Authority</w:t>
      </w:r>
      <w:r>
        <w:rPr>
          <w:rFonts w:ascii="Times New Roman" w:cs="Times New Roman" w:eastAsia="Times New Roman" w:hAnsi="Times New Roman"/>
          <w:sz w:val="19"/>
          <w:szCs w:val="19"/>
          <w:color w:val="auto"/>
        </w:rPr>
        <w:t>. (a)(i) Each of the Term B Lenders hereby appoints JPM to act on its behalf as Term Loan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Administrative Agent hereunder and under the other Loan Documents, (ii) each of the Revolving Credit Lenders, the L/C Issuers U.S. Term Lenders and Euro Term Lenders hereby irrevocably appoints Bank of America to act on its behalf as Pro Rata Facilities Administrative Agent hereunder and under the other Loan Documents and (iii) each of the Lenders and L/C Issuers hereby appoints Bank of America to act on its behalf as the General Administrative Agent hereunder and under the other Loan Documents and authorizes each such Administrative Agent to take such actions on its behalf and to exercise such powers as are delegated to such Administrative Agent by the terms hereof or thereof, together with such actions and powers as are reasonably incidental thereto. The provisions of this Article are solely for the benefit of the Administrative Agents, the Lenders and the L/C Issuer, and the Company shall not have rights as a third party beneficiary of any of such provisions. It is understood and agreed that the use of the term “agent” herein or in any other Loan Documents (or any other similar term) with reference to any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3" w:lineRule="exact"/>
        <w:rPr>
          <w:sz w:val="20"/>
          <w:szCs w:val="20"/>
          <w:color w:val="auto"/>
        </w:rPr>
      </w:pPr>
    </w:p>
    <w:p>
      <w:pPr>
        <w:jc w:val="both"/>
        <w:ind w:firstLine="656"/>
        <w:spacing w:after="0" w:line="246" w:lineRule="auto"/>
        <w:tabs>
          <w:tab w:leader="none" w:pos="1293"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Administrative Agent shall also act as the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xml:space="preserve">” under the Loan Documents, and each of the Lenders (including in its capacities as a potential Hedge Bank and a potential Cash Management Bank) and the L/C Issuer hereby irrevocably appoints and authorizes the General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the General Administrative Agent, as “collateral agent” and any co-agents, sub-agents and attorneys-in-fact appointed by the General Administrative Agent pursuant to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for purposes of holding or enforcing any Lien on the Collateral (or any portion thereof) granted under the Collateral Documents, or for exercising any rights and remedies thereunder at the direction of the General Administrative Agent), shall be entitled to the benefits of all provisions of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as though such co-agents, sub-agents and attorneys-in-fact were the “collateral agent” under the Loan Documents) as if set forth in full herein with respect thereto.</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9.02 </w:t>
      </w:r>
      <w:r>
        <w:rPr>
          <w:rFonts w:ascii="Times New Roman" w:cs="Times New Roman" w:eastAsia="Times New Roman" w:hAnsi="Times New Roman"/>
          <w:sz w:val="22"/>
          <w:szCs w:val="22"/>
          <w:u w:val="single" w:color="auto"/>
          <w:color w:val="auto"/>
        </w:rPr>
        <w:t>Rights as a Lender</w:t>
      </w:r>
      <w:r>
        <w:rPr>
          <w:rFonts w:ascii="Times New Roman" w:cs="Times New Roman" w:eastAsia="Times New Roman" w:hAnsi="Times New Roman"/>
          <w:sz w:val="19"/>
          <w:szCs w:val="19"/>
          <w:color w:val="auto"/>
        </w:rPr>
        <w:t>. The Persons serving as the Administrative Agents hereunder shall have the same rights and powers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their capacity as a Lender as any other Lender and may exercise the same as though it were not an Administrative Agent and the term “Lender” or “Lenders” shall, unless otherwise expressly indicated or unless the context otherwise requires, include the Persons serving as an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Persons were not an Administrative Agent hereunder and without any duty to account therefor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170</w:t>
      </w:r>
    </w:p>
    <w:p>
      <w:pPr>
        <w:sectPr>
          <w:pgSz w:w="11900" w:h="16838" w:orient="portrait"/>
          <w:cols w:equalWidth="0" w:num="1">
            <w:col w:w="11240"/>
          </w:cols>
          <w:pgMar w:left="320" w:top="1422" w:right="339" w:bottom="1440" w:gutter="0" w:footer="0" w:header="0"/>
        </w:sectPr>
      </w:pPr>
    </w:p>
    <w:bookmarkStart w:id="244" w:name="page245"/>
    <w:bookmarkEnd w:id="244"/>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9.03</w:t>
      </w:r>
      <w:r>
        <w:rPr>
          <w:sz w:val="20"/>
          <w:szCs w:val="20"/>
          <w:color w:val="auto"/>
        </w:rPr>
        <w:tab/>
      </w:r>
      <w:r>
        <w:rPr>
          <w:rFonts w:ascii="Times New Roman" w:cs="Times New Roman" w:eastAsia="Times New Roman" w:hAnsi="Times New Roman"/>
          <w:sz w:val="21"/>
          <w:szCs w:val="21"/>
          <w:u w:val="single" w:color="auto"/>
          <w:color w:val="auto"/>
        </w:rPr>
        <w:t>Exculpatory Provisions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63" w:lineRule="auto"/>
        <w:tabs>
          <w:tab w:leader="none" w:pos="1293"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Agents shall not have any duties or obligations except those expressly set forth herein and in the other Loan Documents, and its duties hereunder shall be administrative in nature. Without limiting the generality of the foregoing, the Administrative Agents:</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944"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 and is continuing;</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0"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any of the Administrative Agents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none of the Administrative Agents shall be required to take any action that, in its opinion or the opinion of its counsel, may expose such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75" w:lineRule="auto"/>
        <w:tabs>
          <w:tab w:leader="none" w:pos="1956" w:val="left"/>
        </w:tabs>
        <w:numPr>
          <w:ilvl w:val="1"/>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Persons serving as an Administrative Agent or any of its Affiliates in any capacity.</w:t>
      </w:r>
    </w:p>
    <w:p>
      <w:pPr>
        <w:spacing w:after="0" w:line="155" w:lineRule="exact"/>
        <w:rPr>
          <w:rFonts w:ascii="Times New Roman" w:cs="Times New Roman" w:eastAsia="Times New Roman" w:hAnsi="Times New Roman"/>
          <w:sz w:val="21"/>
          <w:szCs w:val="21"/>
          <w:color w:val="auto"/>
        </w:rPr>
      </w:pPr>
    </w:p>
    <w:p>
      <w:pPr>
        <w:jc w:val="both"/>
        <w:ind w:firstLine="656"/>
        <w:spacing w:after="0" w:line="265" w:lineRule="auto"/>
        <w:tabs>
          <w:tab w:leader="none" w:pos="1291"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Administrative Agent shall be liable for any action taken or not taken by it (i) with the consent or at the request of the Required Lenders (or such other number or percentage of the Lenders as shall be necessary, or as such Administrative Agent shall believe in good faith shall be necessary, under the circumstances as provided in </w:t>
      </w:r>
      <w:r>
        <w:rPr>
          <w:rFonts w:ascii="Times New Roman" w:cs="Times New Roman" w:eastAsia="Times New Roman" w:hAnsi="Times New Roman"/>
          <w:sz w:val="21"/>
          <w:szCs w:val="21"/>
          <w:u w:val="single" w:color="auto"/>
          <w:color w:val="auto"/>
        </w:rPr>
        <w:t>Sections 10.01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8.02</w:t>
      </w:r>
      <w:r>
        <w:rPr>
          <w:rFonts w:ascii="Times New Roman" w:cs="Times New Roman" w:eastAsia="Times New Roman" w:hAnsi="Times New Roman"/>
          <w:sz w:val="21"/>
          <w:szCs w:val="21"/>
          <w:color w:val="auto"/>
        </w:rPr>
        <w:t>) or (ii) in the absence of its own gross negligence or willful misconduct, as determined by a court of competent jurisdiction by a final and nonappealable judgment. The Administrative Agents shall be deemed not to have knowledge of any Default unless and until notice describing such Default is given to such Administrative Agent by the Company, a Lender or the L/C Issuer.</w:t>
      </w:r>
    </w:p>
    <w:p>
      <w:pPr>
        <w:spacing w:after="0" w:line="182" w:lineRule="exact"/>
        <w:rPr>
          <w:rFonts w:ascii="Times New Roman" w:cs="Times New Roman" w:eastAsia="Times New Roman" w:hAnsi="Times New Roman"/>
          <w:sz w:val="21"/>
          <w:szCs w:val="21"/>
          <w:color w:val="auto"/>
        </w:rPr>
      </w:pPr>
    </w:p>
    <w:p>
      <w:pPr>
        <w:jc w:val="both"/>
        <w:ind w:firstLine="656"/>
        <w:spacing w:after="0" w:line="248" w:lineRule="auto"/>
        <w:tabs>
          <w:tab w:leader="none" w:pos="1293"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Administrative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171</w:t>
      </w:r>
    </w:p>
    <w:p>
      <w:pPr>
        <w:sectPr>
          <w:pgSz w:w="11900" w:h="16838" w:orient="portrait"/>
          <w:cols w:equalWidth="0" w:num="1">
            <w:col w:w="11240"/>
          </w:cols>
          <w:pgMar w:left="320" w:top="1422" w:right="339" w:bottom="1440" w:gutter="0" w:footer="0" w:header="0"/>
        </w:sectPr>
      </w:pPr>
    </w:p>
    <w:bookmarkStart w:id="245" w:name="page246"/>
    <w:bookmarkEnd w:id="245"/>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to be created by the Collateral Documents, (v) the value or the sufficiency of any Collateral, or (v) the satisfaction of any condition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elsewhere herein, other than to confirm receipt of items expressly required to be delivered to such Administrative Agent.</w:t>
      </w:r>
    </w:p>
    <w:p>
      <w:pPr>
        <w:spacing w:after="0" w:line="186" w:lineRule="exact"/>
        <w:rPr>
          <w:sz w:val="20"/>
          <w:szCs w:val="20"/>
          <w:color w:val="auto"/>
        </w:rPr>
      </w:pPr>
    </w:p>
    <w:p>
      <w:pPr>
        <w:jc w:val="both"/>
        <w:ind w:firstLine="656"/>
        <w:spacing w:after="0" w:line="265" w:lineRule="auto"/>
        <w:tabs>
          <w:tab w:leader="none" w:pos="1170"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Administrative Agent shall be responsible or have any liability for, or have any duty to ascertain, inquire into, monitor or enforce, compliance with the provisions of this Agreement relating to Disqualified Institutions. Without limiting the generality of the foregoing, no Administrative Agent shall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9.04 </w:t>
      </w:r>
      <w:r>
        <w:rPr>
          <w:rFonts w:ascii="Times New Roman" w:cs="Times New Roman" w:eastAsia="Times New Roman" w:hAnsi="Times New Roman"/>
          <w:sz w:val="22"/>
          <w:szCs w:val="22"/>
          <w:u w:val="single" w:color="auto"/>
          <w:color w:val="auto"/>
        </w:rPr>
        <w:t>Reliance by Administrative Agent</w:t>
      </w:r>
      <w:r>
        <w:rPr>
          <w:rFonts w:ascii="Times New Roman" w:cs="Times New Roman" w:eastAsia="Times New Roman" w:hAnsi="Times New Roman"/>
          <w:sz w:val="19"/>
          <w:szCs w:val="19"/>
          <w:color w:val="auto"/>
        </w:rPr>
        <w:t>. Each Administrative Agent shall be entitled to rely upon, and shall not incur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such Administrative Agent may presume that such condition is satisfactory to such Lender or the L/C Issuer unless such Administrative Agent shall have received notice to the contrary from such Lender or the L/C Issuer prior to the making of such Loan or the issuance of such Letter of Credit. Each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9.05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19"/>
          <w:szCs w:val="19"/>
          <w:color w:val="auto"/>
        </w:rPr>
        <w:t>. Each Administrative Agent may perform any and all of its duties and exercise its rights and powers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hereunder or under any other Loan Document by or through any one or more sub-agents appointed by such Administrative Agent. Each Administrative Agent and any such sub-agent may perform any and all of its duties and exercise its rights and powers by or through their respective Related Parties. The exculpatory provisions of this Article shall apply to any such sub-agent and to the Related Parties of such Administrative Agent and any such sub-agent, and shall apply to their respective activities in connection with the syndication of the credit facilities provided for herein as well as activities as an Administrative Agent. No Administrative Agent shall be responsible for the negligence or misconduct of any sub-agents except to the extent that a court of competent jurisdiction determines in a final and nonappealable judgment that such Administrative Agent acted with gross negligence or willful misconduct in the selection of such sub-agents.</w:t>
      </w:r>
    </w:p>
    <w:p>
      <w:pPr>
        <w:spacing w:after="0" w:line="22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9.06</w:t>
      </w:r>
      <w:r>
        <w:rPr>
          <w:sz w:val="20"/>
          <w:szCs w:val="20"/>
          <w:color w:val="auto"/>
        </w:rPr>
        <w:tab/>
      </w:r>
      <w:r>
        <w:rPr>
          <w:rFonts w:ascii="Times New Roman" w:cs="Times New Roman" w:eastAsia="Times New Roman" w:hAnsi="Times New Roman"/>
          <w:sz w:val="21"/>
          <w:szCs w:val="21"/>
          <w:u w:val="single" w:color="auto"/>
          <w:color w:val="auto"/>
        </w:rPr>
        <w:t>Resignation of Administrative Agent</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656"/>
        <w:spacing w:after="0" w:line="252" w:lineRule="auto"/>
        <w:tabs>
          <w:tab w:leader="none" w:pos="1293"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Administrative Agent may at any time give notice of its resignation to the Lenders, the L/C Issuer and the Company. Upon receipt of any such notice of resignation, the Required Lenders (in the case of the General Administrative Agent), the Required Term B Lenders (in the case of the Term Loan B Administrative Agent) and the Required Pro Rata Facilities Lenders (in the case of the Pro Rata Facilities) shall have the right, in consultation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172</w:t>
      </w:r>
    </w:p>
    <w:p>
      <w:pPr>
        <w:sectPr>
          <w:pgSz w:w="11900" w:h="16838" w:orient="portrait"/>
          <w:cols w:equalWidth="0" w:num="1">
            <w:col w:w="11240"/>
          </w:cols>
          <w:pgMar w:left="320" w:top="1422" w:right="339" w:bottom="1440" w:gutter="0" w:footer="0" w:header="0"/>
        </w:sectPr>
      </w:pPr>
    </w:p>
    <w:bookmarkStart w:id="246" w:name="page247"/>
    <w:bookmarkEnd w:id="246"/>
    <w:p>
      <w:pPr>
        <w:jc w:val="both"/>
        <w:spacing w:after="0" w:line="249" w:lineRule="auto"/>
        <w:rPr>
          <w:sz w:val="20"/>
          <w:szCs w:val="20"/>
          <w:color w:val="auto"/>
        </w:rPr>
      </w:pPr>
      <w:r>
        <w:rPr>
          <w:rFonts w:ascii="Times New Roman" w:cs="Times New Roman" w:eastAsia="Times New Roman" w:hAnsi="Times New Roman"/>
          <w:sz w:val="22"/>
          <w:szCs w:val="22"/>
          <w:color w:val="auto"/>
        </w:rPr>
        <w:t>the Company, to appoint a successor, which shall be a bank with an office in the United States, or an Affiliate of any such bank with an office in the United States. If no such successor shall have been so appointed by the Required Lenders, the Required Term B Lenders and the Required Pro Rata Facilities Lenders, as the case may be, and shall have accepted such appointment within 30 days after such retiring Administrative Agent gives notice of its resignation, (or such earlier day as shall be agreed by the Required Lenders, the Required Term B Lenders and the Required Pro Rata Facilities Lenders, as the case may be,) (the “</w:t>
      </w:r>
      <w:r>
        <w:rPr>
          <w:rFonts w:ascii="Times New Roman" w:cs="Times New Roman" w:eastAsia="Times New Roman" w:hAnsi="Times New Roman"/>
          <w:sz w:val="22"/>
          <w:szCs w:val="22"/>
          <w:u w:val="single" w:color="auto"/>
          <w:color w:val="auto"/>
        </w:rPr>
        <w:t>Resignation Effective Date</w:t>
      </w:r>
      <w:r>
        <w:rPr>
          <w:rFonts w:ascii="Times New Roman" w:cs="Times New Roman" w:eastAsia="Times New Roman" w:hAnsi="Times New Roman"/>
          <w:sz w:val="22"/>
          <w:szCs w:val="22"/>
          <w:color w:val="auto"/>
        </w:rPr>
        <w:t>”), then such retiring Administrative Agent may (but shall not be obligated to) on behalf of the applicable Lenders and the L/C Issuer, appoint a successor Administrative Agent meeting the qualifications set forth above, provided that in no event shall any such successor Administrative Agent be a Defaulting Lender or Disqualified Institution. Whether or not a successor has been appointed, such resignation shall become effective in accordance with such notice on the Resignation Effective Date.</w:t>
      </w:r>
    </w:p>
    <w:p>
      <w:pPr>
        <w:spacing w:after="0" w:line="183" w:lineRule="exact"/>
        <w:rPr>
          <w:sz w:val="20"/>
          <w:szCs w:val="20"/>
          <w:color w:val="auto"/>
        </w:rPr>
      </w:pPr>
    </w:p>
    <w:p>
      <w:pPr>
        <w:jc w:val="both"/>
        <w:ind w:firstLine="656"/>
        <w:spacing w:after="0" w:line="262" w:lineRule="auto"/>
        <w:tabs>
          <w:tab w:leader="none" w:pos="1291"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Person serving as an Administrative Agent is a Defaulting Lender pursuant to clause (d) of the definition thereof, the Required Lenders, the Required Term B Lenders and the Required Pro Rata Facilities Lenders, as the case may be, may, to the extent permitted by applicable law, by notice in writing to the Company and such Person remove such Person as an Administrative Agent and, in consultation with the Company, appoint a successor. If no such successor shall have been so appointed by the Required Lenders, the Required Term B Lenders and the Required Pro Rata Facilities Lenders, as the case may be, and shall have accepted such appointment within 30 days (or such earlier day as shall be agreed by the Required Lenders, the Required Term B Lenders and the Required Pro Rata Facilities Lenders, as the case may be) (the “</w:t>
      </w:r>
      <w:r>
        <w:rPr>
          <w:rFonts w:ascii="Times New Roman" w:cs="Times New Roman" w:eastAsia="Times New Roman" w:hAnsi="Times New Roman"/>
          <w:sz w:val="21"/>
          <w:szCs w:val="21"/>
          <w:u w:val="single" w:color="auto"/>
          <w:color w:val="auto"/>
        </w:rPr>
        <w:t>Removal Effective Date</w:t>
      </w:r>
      <w:r>
        <w:rPr>
          <w:rFonts w:ascii="Times New Roman" w:cs="Times New Roman" w:eastAsia="Times New Roman" w:hAnsi="Times New Roman"/>
          <w:sz w:val="21"/>
          <w:szCs w:val="21"/>
          <w:color w:val="auto"/>
        </w:rPr>
        <w:t>”), then such removal shall nonetheless become effective in accordance with such notice on the Removal Effective Date.</w:t>
      </w:r>
    </w:p>
    <w:p>
      <w:pPr>
        <w:spacing w:after="0" w:line="172" w:lineRule="exact"/>
        <w:rPr>
          <w:rFonts w:ascii="Times New Roman" w:cs="Times New Roman" w:eastAsia="Times New Roman" w:hAnsi="Times New Roman"/>
          <w:sz w:val="21"/>
          <w:szCs w:val="21"/>
          <w:color w:val="auto"/>
        </w:rPr>
      </w:pPr>
    </w:p>
    <w:p>
      <w:pPr>
        <w:jc w:val="both"/>
        <w:ind w:firstLine="656"/>
        <w:spacing w:after="0" w:line="248" w:lineRule="auto"/>
        <w:tabs>
          <w:tab w:leader="none" w:pos="1293"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General Administrative Agent on behalf of the Lenders or the L/C Issuer under any of the Loan Documents, the retiring General Administrative Agent shall continue to hold such collateral security until such time as a successor General Administrative Agent is appointed) and (2) except for any indemnity payments or other amounts then owed to the retiring or removed Administrative Agent, all payments, communications and determinations provided to be made by, to or through such Administrative Agent shall instead be made by or to each Lender and the L/C Issuer directly, until such time, if any, as the Required Lenders, the Required Term B Lenders and the Required Pro Rata Facilities Lenders, as the case may be, appoint a successor Administrative Agent as provided for above. Upon the acceptance of a successor’s appointment as an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22"/>
          <w:szCs w:val="22"/>
          <w:u w:val="single" w:color="auto"/>
          <w:color w:val="auto"/>
        </w:rPr>
        <w:t>Section 3.01(g)</w:t>
      </w:r>
      <w:r>
        <w:rPr>
          <w:rFonts w:ascii="Times New Roman" w:cs="Times New Roman" w:eastAsia="Times New Roman" w:hAnsi="Times New Roman"/>
          <w:sz w:val="22"/>
          <w:szCs w:val="22"/>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173</w:t>
      </w:r>
    </w:p>
    <w:p>
      <w:pPr>
        <w:sectPr>
          <w:pgSz w:w="11900" w:h="16838" w:orient="portrait"/>
          <w:cols w:equalWidth="0" w:num="1">
            <w:col w:w="11240"/>
          </w:cols>
          <w:pgMar w:left="320" w:top="1422" w:right="339" w:bottom="1440" w:gutter="0" w:footer="0" w:header="0"/>
        </w:sectPr>
      </w:pPr>
    </w:p>
    <w:bookmarkStart w:id="247" w:name="page248"/>
    <w:bookmarkEnd w:id="247"/>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provided above in this Section).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an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80" w:lineRule="exact"/>
        <w:rPr>
          <w:sz w:val="20"/>
          <w:szCs w:val="20"/>
          <w:color w:val="auto"/>
        </w:rPr>
      </w:pPr>
    </w:p>
    <w:p>
      <w:pPr>
        <w:jc w:val="both"/>
        <w:ind w:firstLine="656"/>
        <w:spacing w:after="0" w:line="259" w:lineRule="auto"/>
        <w:tabs>
          <w:tab w:leader="none" w:pos="1291" w:val="left"/>
        </w:tabs>
        <w:numPr>
          <w:ilvl w:val="1"/>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resignation or removal by Bank of America as General Administrative Agent or Pro Rata Facilities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Upon the appointment by the Company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w:t>
      </w:r>
    </w:p>
    <w:p>
      <w:pPr>
        <w:spacing w:after="0" w:line="5" w:lineRule="exact"/>
        <w:rPr>
          <w:rFonts w:ascii="Times New Roman" w:cs="Times New Roman" w:eastAsia="Times New Roman" w:hAnsi="Times New Roman"/>
          <w:sz w:val="21"/>
          <w:szCs w:val="21"/>
          <w:color w:val="auto"/>
        </w:rPr>
      </w:pPr>
    </w:p>
    <w:p>
      <w:pPr>
        <w:jc w:val="both"/>
        <w:ind w:firstLine="8"/>
        <w:spacing w:after="0" w:line="245" w:lineRule="auto"/>
        <w:tabs>
          <w:tab w:leader="none" w:pos="353"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9.07 </w:t>
      </w:r>
      <w:r>
        <w:rPr>
          <w:rFonts w:ascii="Times New Roman" w:cs="Times New Roman" w:eastAsia="Times New Roman" w:hAnsi="Times New Roman"/>
          <w:sz w:val="22"/>
          <w:szCs w:val="22"/>
          <w:u w:val="single" w:color="auto"/>
          <w:color w:val="auto"/>
        </w:rPr>
        <w:t>Non-Reliance on Administrative Agents and Other Lenders</w:t>
      </w:r>
      <w:r>
        <w:rPr>
          <w:rFonts w:ascii="Times New Roman" w:cs="Times New Roman" w:eastAsia="Times New Roman" w:hAnsi="Times New Roman"/>
          <w:sz w:val="19"/>
          <w:szCs w:val="19"/>
          <w:color w:val="auto"/>
        </w:rPr>
        <w:t>. Each Lender and the L/C Issuer acknowledges that it has,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independently and without reliance upon any of the Administrative Agents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any of the Administrative Agents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2"/>
          <w:szCs w:val="22"/>
          <w:color w:val="auto"/>
        </w:rPr>
        <w:t xml:space="preserve">9.08 </w:t>
      </w:r>
      <w:r>
        <w:rPr>
          <w:rFonts w:ascii="Times New Roman" w:cs="Times New Roman" w:eastAsia="Times New Roman" w:hAnsi="Times New Roman"/>
          <w:sz w:val="22"/>
          <w:szCs w:val="22"/>
          <w:u w:val="single" w:color="auto"/>
          <w:color w:val="auto"/>
        </w:rPr>
        <w:t>No Other Duties, Etc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Anything herein to the contrary notwithstanding, none of the Bookrunners, Arrangers, Syndication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Agents, Documentation Agents or other similar titles or roles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174</w:t>
      </w:r>
    </w:p>
    <w:p>
      <w:pPr>
        <w:sectPr>
          <w:pgSz w:w="11900" w:h="16838" w:orient="portrait"/>
          <w:cols w:equalWidth="0" w:num="1">
            <w:col w:w="11240"/>
          </w:cols>
          <w:pgMar w:left="320" w:top="1422" w:right="339" w:bottom="1440" w:gutter="0" w:footer="0" w:header="0"/>
        </w:sectPr>
      </w:pPr>
    </w:p>
    <w:bookmarkStart w:id="248" w:name="page249"/>
    <w:bookmarkEnd w:id="248"/>
    <w:p>
      <w:pPr>
        <w:jc w:val="both"/>
        <w:spacing w:after="0" w:line="254" w:lineRule="auto"/>
        <w:rPr>
          <w:sz w:val="20"/>
          <w:szCs w:val="20"/>
          <w:color w:val="auto"/>
        </w:rPr>
      </w:pPr>
      <w:r>
        <w:rPr>
          <w:rFonts w:ascii="Times New Roman" w:cs="Times New Roman" w:eastAsia="Times New Roman" w:hAnsi="Times New Roman"/>
          <w:sz w:val="20"/>
          <w:szCs w:val="20"/>
          <w:color w:val="auto"/>
        </w:rPr>
        <w:t>on the cover page hereof shall have any powers, duties or responsibilities under this Agreement or any of the other Loan Documents, except in its capacity, as applicable, as the General Administrative Agent, Pro Rata Facilities Administrative Agent, Term B Loan Administrative Agent, a Lender or the L/C Issuer hereunder.</w:t>
      </w:r>
    </w:p>
    <w:p>
      <w:pPr>
        <w:spacing w:after="0" w:line="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9.09 </w:t>
      </w:r>
      <w:r>
        <w:rPr>
          <w:rFonts w:ascii="Times New Roman" w:cs="Times New Roman" w:eastAsia="Times New Roman" w:hAnsi="Times New Roman"/>
          <w:sz w:val="22"/>
          <w:szCs w:val="22"/>
          <w:u w:val="single" w:color="auto"/>
          <w:color w:val="auto"/>
        </w:rPr>
        <w:t>Administrative Agents May File Proofs of Claim; Credit Bidding</w:t>
      </w:r>
      <w:r>
        <w:rPr>
          <w:rFonts w:ascii="Times New Roman" w:cs="Times New Roman" w:eastAsia="Times New Roman" w:hAnsi="Times New Roman"/>
          <w:sz w:val="19"/>
          <w:szCs w:val="19"/>
          <w:color w:val="auto"/>
        </w:rPr>
        <w:t>. In case of the pendency of any proceeding under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Debtor Relief Law or any other judicial proceeding relative to any Loan Party, each Administrative Agent (irrespective of whether the principal of any Loan or L/C Obligation shall then be due and payable as herein expressed or by declaration or otherwise and irrespective of whether such Administrative Agent shall have made any demand on the Borrowers) shall be entitled and empowered, by intervention in such proceeding or otherwise:</w:t>
      </w:r>
    </w:p>
    <w:p>
      <w:pPr>
        <w:jc w:val="both"/>
        <w:ind w:firstLine="656"/>
        <w:spacing w:after="0" w:line="250" w:lineRule="auto"/>
        <w:tabs>
          <w:tab w:leader="none" w:pos="1293"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each Administrative Agent (including any claim for the reasonable compensation, expenses, disbursements and advances of the Lenders, the L/C Issuer and each Administrative Agent and their respective agents and counsel and all other amounts due the Lenders, the L/C Issuer and each Administrative Agent under </w:t>
      </w:r>
      <w:r>
        <w:rPr>
          <w:rFonts w:ascii="Times New Roman" w:cs="Times New Roman" w:eastAsia="Times New Roman" w:hAnsi="Times New Roman"/>
          <w:sz w:val="22"/>
          <w:szCs w:val="22"/>
          <w:u w:val="single" w:color="auto"/>
          <w:color w:val="auto"/>
        </w:rPr>
        <w:t>Sections 2.03(h)</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allowed in such judicial proceeding; and</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and receive any monies or other property payable or deliverable on any such claims and to distribute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same;</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and any custodian, receiver, assignee, trustee, liquidator, sequestrator or other similar official in any such judicial proceeding is hereby authorized by each Lender and the L/C Issuer to make such payments to such Administrative Agent and, if such Administrative Agent shall consent to the making of such payments directly to the Lenders and the L/C Issuer, to pay to such Administrative Agent any amount due for the reasonable compensation, expenses, disbursements and advances of such Administrative Agent and its agents and counsel, and any other amounts due such Administrative Agent under </w:t>
      </w:r>
      <w:r>
        <w:rPr>
          <w:rFonts w:ascii="Times New Roman" w:cs="Times New Roman" w:eastAsia="Times New Roman" w:hAnsi="Times New Roman"/>
          <w:sz w:val="22"/>
          <w:szCs w:val="22"/>
          <w:u w:val="single" w:color="auto"/>
          <w:color w:val="auto"/>
        </w:rPr>
        <w:t>Sections 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Nothing contained herein shall be deemed to authorize any Administrative Agent to authorize or consent to or accept or adopt on behalf of any Lender or the L/C Issuer any plan of reorganization, arrangement, adjustment or composition affecting the Obligations or the rights of any Lender or the L/C Issuer to authorize any Administrative Agent to vote in respect of the claim of any Lender or the L/C Issuer in any such proceeding.</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Secured Parties hereby irrevocably authorize the General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175</w:t>
      </w:r>
    </w:p>
    <w:p>
      <w:pPr>
        <w:sectPr>
          <w:pgSz w:w="11900" w:h="16838" w:orient="portrait"/>
          <w:cols w:equalWidth="0" w:num="1">
            <w:col w:w="11240"/>
          </w:cols>
          <w:pgMar w:left="320" w:top="1413" w:right="339" w:bottom="1440" w:gutter="0" w:footer="0" w:header="0"/>
        </w:sectPr>
      </w:pPr>
    </w:p>
    <w:bookmarkStart w:id="249" w:name="page250"/>
    <w:bookmarkEnd w:id="249"/>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direction of) the General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General Administrative Agent shall be authorized to form one or more acquisition vehicles to make a bid, (ii) to adopt documents providing for the governance of the acquisition vehicle or vehicles (provided that any actions by the General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(l) of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of this Agreement),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9.10 </w:t>
      </w:r>
      <w:r>
        <w:rPr>
          <w:rFonts w:ascii="Times New Roman" w:cs="Times New Roman" w:eastAsia="Times New Roman" w:hAnsi="Times New Roman"/>
          <w:sz w:val="22"/>
          <w:szCs w:val="22"/>
          <w:u w:val="single" w:color="auto"/>
          <w:color w:val="auto"/>
        </w:rPr>
        <w:t>Collateral and Guaranty Matters</w:t>
      </w:r>
      <w:r>
        <w:rPr>
          <w:rFonts w:ascii="Times New Roman" w:cs="Times New Roman" w:eastAsia="Times New Roman" w:hAnsi="Times New Roman"/>
          <w:sz w:val="19"/>
          <w:szCs w:val="19"/>
          <w:color w:val="auto"/>
        </w:rPr>
        <w:t>. Without limiting the provision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9.09</w:t>
      </w:r>
      <w:r>
        <w:rPr>
          <w:rFonts w:ascii="Times New Roman" w:cs="Times New Roman" w:eastAsia="Times New Roman" w:hAnsi="Times New Roman"/>
          <w:sz w:val="19"/>
          <w:szCs w:val="19"/>
          <w:color w:val="auto"/>
        </w:rPr>
        <w:t>, the Lenders (including in its capacities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 potential Cash Management Bank, a potential Hedge Bank and a potential Bilateral Foreign Facility Lender) and the L/C Issuer irrevocably authorize the General Administrative Agent, at its option and in its discretion,</w:t>
      </w:r>
    </w:p>
    <w:p>
      <w:pPr>
        <w:spacing w:after="0" w:line="2" w:lineRule="exact"/>
        <w:rPr>
          <w:sz w:val="20"/>
          <w:szCs w:val="20"/>
          <w:color w:val="auto"/>
        </w:rPr>
      </w:pPr>
    </w:p>
    <w:p>
      <w:pPr>
        <w:jc w:val="both"/>
        <w:ind w:firstLine="656"/>
        <w:spacing w:after="0" w:line="248" w:lineRule="auto"/>
        <w:tabs>
          <w:tab w:leader="none" w:pos="1293" w:val="left"/>
        </w:tabs>
        <w:numPr>
          <w:ilvl w:val="1"/>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release any Lien on any property granted to or held by the General Administrative Agent under any Loan Document (i) upon termination of the Aggregate Commitments and payment in full of all Obligations (other than (A) contingent indemnification obligations and (B) Other Secured Obligations) and the expiration or termination of all Letters of Credit (other than Letters of Credit as to which other arrangements satisfactory to the General Administrative Agent and the L/C Issuer shall have been made), (ii) that is sold or otherwise disposed of or to be sold or otherwise disposed of as part of or in connection with any sale or other disposition permitted hereunder or under any other Loan Document to a Person that is not (and not required to be) a Loan Party, (iii) that constitutes Excluded Assets, or (iv) if approved, authorized or ratified in writing in accordance with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release any Guarantor from its obligations under the Guaranty and other Loan Documents if such Person either</w:t>
      </w:r>
    </w:p>
    <w:p>
      <w:pPr>
        <w:spacing w:after="0" w:line="40" w:lineRule="exact"/>
        <w:rPr>
          <w:rFonts w:ascii="Times New Roman" w:cs="Times New Roman" w:eastAsia="Times New Roman" w:hAnsi="Times New Roman"/>
          <w:sz w:val="21"/>
          <w:szCs w:val="21"/>
          <w:color w:val="auto"/>
        </w:rPr>
      </w:pPr>
    </w:p>
    <w:p>
      <w:pPr>
        <w:jc w:val="both"/>
        <w:ind w:firstLine="8"/>
        <w:spacing w:after="0" w:line="248" w:lineRule="auto"/>
        <w:tabs>
          <w:tab w:leader="none" w:pos="273"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ceases to be a Restricted Subsidiary as a result of a transaction permitted under the Loan Documents or (ii) is not otherwise required to be a Guarantor pursuant to the provisions of the Loan Documents (including by ceasing to be a Material Domestic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release of any Guarantor from its obligations under the Guaranty and other Loan Documents solely as a result of such Guarantor ceasing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176</w:t>
      </w:r>
    </w:p>
    <w:p>
      <w:pPr>
        <w:sectPr>
          <w:pgSz w:w="11900" w:h="16838" w:orient="portrait"/>
          <w:cols w:equalWidth="0" w:num="1">
            <w:col w:w="11240"/>
          </w:cols>
          <w:pgMar w:left="320" w:top="1422" w:right="339" w:bottom="1440" w:gutter="0" w:footer="0" w:header="0"/>
        </w:sectPr>
      </w:pPr>
    </w:p>
    <w:bookmarkStart w:id="250" w:name="page251"/>
    <w:bookmarkEnd w:id="250"/>
    <w:p>
      <w:pPr>
        <w:jc w:val="both"/>
        <w:spacing w:after="0" w:line="256" w:lineRule="auto"/>
        <w:rPr>
          <w:sz w:val="20"/>
          <w:szCs w:val="20"/>
          <w:color w:val="auto"/>
        </w:rPr>
      </w:pPr>
      <w:r>
        <w:rPr>
          <w:rFonts w:ascii="Times New Roman" w:cs="Times New Roman" w:eastAsia="Times New Roman" w:hAnsi="Times New Roman"/>
          <w:sz w:val="22"/>
          <w:szCs w:val="22"/>
          <w:color w:val="auto"/>
        </w:rPr>
        <w:t>a wholly-owned Subsidiary shall only be permitted if such Guarantor becomes a non-wholly owned Subsidiary pursuant to a transaction or series of transactions entered into by the Company or its applicable Restricted Subsidiary for a bona fide business purpose (as determined in good faith by Company) and not for the purpose of causing such Subsidiary to cease to be a wholly-owned Subsidiary or to become an Unrestricted Subsidiary; and</w:t>
      </w:r>
    </w:p>
    <w:p>
      <w:pPr>
        <w:spacing w:after="0" w:line="176" w:lineRule="exact"/>
        <w:rPr>
          <w:sz w:val="20"/>
          <w:szCs w:val="20"/>
          <w:color w:val="auto"/>
        </w:rPr>
      </w:pPr>
    </w:p>
    <w:p>
      <w:pPr>
        <w:ind w:firstLine="656"/>
        <w:spacing w:after="0" w:line="271" w:lineRule="auto"/>
        <w:tabs>
          <w:tab w:leader="none" w:pos="1293"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subordinate any Lien on any property granted to or held by the General Administrative Agent under any Loan Document to the holder of any Lien on such property that is permitted to be senior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Upon request by the General Administrative Agent at any time, the Required Lenders will confirm in writing the General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In each case as specified in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the General Administrative Agent will, at the Company’s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No Administrative Agent shall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any Administrative Agent be responsible or liable to the Lenders for any failure to monitor or maintain any portion of the Collateral.</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9.11</w:t>
      </w:r>
      <w:r>
        <w:rPr>
          <w:sz w:val="20"/>
          <w:szCs w:val="20"/>
          <w:color w:val="auto"/>
        </w:rPr>
        <w:tab/>
      </w:r>
      <w:r>
        <w:rPr>
          <w:rFonts w:ascii="Times New Roman" w:cs="Times New Roman" w:eastAsia="Times New Roman" w:hAnsi="Times New Roman"/>
          <w:sz w:val="21"/>
          <w:szCs w:val="21"/>
          <w:u w:val="single" w:color="auto"/>
          <w:color w:val="auto"/>
        </w:rPr>
        <w:t>Secured Cash Management Agreements, Secured Hedge Agreements and Bilateral Foreign Loan Facilities</w:t>
      </w:r>
      <w:r>
        <w:rPr>
          <w:rFonts w:ascii="Times New Roman" w:cs="Times New Roman" w:eastAsia="Times New Roman" w:hAnsi="Times New Roman"/>
          <w:sz w:val="18"/>
          <w:szCs w:val="18"/>
          <w:color w:val="auto"/>
        </w:rPr>
        <w:t>. Except</w:t>
      </w:r>
    </w:p>
    <w:p>
      <w:pPr>
        <w:spacing w:after="0" w:line="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as otherwise expressly set forth herein, no Cash Management Bank, Hedge Bank or Bilateral Foreign Facility Lender that obtains the benefits of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Subject to the next sentence but notwithstanding any other provision of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color w:val="auto"/>
        </w:rPr>
        <w:t xml:space="preserve"> to the contrary, the General Administrative Agent shall not be required to verify the payment of, or that other satisfactory arrangements have been made with respect to, Obligations arising under Secured Cash Management Agreements, Secured Hedge Agreements and Bilateral Foreign Loan Facilities unless the General Administrative Agent has received written notice of such Obligations, together with such supporting documentation as the General Administrative Agent may request, from the applicable Cash Management Bank, Hedge Bank, Bilateral Foreign Facility Lender or the Company, as the case may be. The General Administrative Agent shall not be required to verify the payment of, or that other satisfactory arrangements have been made with respect to Obligations arising under Secured Cash Management Agreements, Secured Hedge Agreements or Bilateral Foreign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177</w:t>
      </w:r>
    </w:p>
    <w:p>
      <w:pPr>
        <w:sectPr>
          <w:pgSz w:w="11900" w:h="16838" w:orient="portrait"/>
          <w:cols w:equalWidth="0" w:num="1">
            <w:col w:w="11240"/>
          </w:cols>
          <w:pgMar w:left="320" w:top="1422" w:right="339" w:bottom="1440" w:gutter="0" w:footer="0" w:header="0"/>
        </w:sectPr>
      </w:pPr>
    </w:p>
    <w:bookmarkStart w:id="251" w:name="page252"/>
    <w:bookmarkEnd w:id="251"/>
    <w:p>
      <w:pPr>
        <w:jc w:val="both"/>
        <w:spacing w:after="0" w:line="251" w:lineRule="auto"/>
        <w:rPr>
          <w:sz w:val="20"/>
          <w:szCs w:val="20"/>
          <w:color w:val="auto"/>
        </w:rPr>
      </w:pPr>
      <w:r>
        <w:rPr>
          <w:rFonts w:ascii="Times New Roman" w:cs="Times New Roman" w:eastAsia="Times New Roman" w:hAnsi="Times New Roman"/>
          <w:sz w:val="20"/>
          <w:szCs w:val="20"/>
          <w:color w:val="auto"/>
        </w:rPr>
        <w:t>Facilities upon termination of the Aggregate Commitments and payment in full of all Obligations (other than (A) contingent indemnification obligations and (B) obligations and liabilities under Secured Cash Management Agreements, Secured Hedge Agreements and Bilateral Foreign Loan Facilities). Each Cash Management Bank, Hedge Bank and Bilateral Foreign Facility Lender acknowledges and agrees that the Liens and Guarantees under the Loan Documents shall be released at such time as the Obligations, excluding those under the Secured Cash Management Agreements, Secured Hedge Agreements and Bilateral Foreign Loan Facilities, are repaid in full.</w:t>
      </w:r>
    </w:p>
    <w:p>
      <w:pPr>
        <w:spacing w:after="0" w:line="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9.12</w:t>
      </w:r>
      <w:r>
        <w:rPr>
          <w:sz w:val="20"/>
          <w:szCs w:val="20"/>
          <w:color w:val="auto"/>
        </w:rPr>
        <w:tab/>
      </w:r>
      <w:r>
        <w:rPr>
          <w:rFonts w:ascii="Times New Roman" w:cs="Times New Roman" w:eastAsia="Times New Roman" w:hAnsi="Times New Roman"/>
          <w:sz w:val="21"/>
          <w:szCs w:val="21"/>
          <w:u w:val="single" w:color="auto"/>
          <w:color w:val="auto"/>
        </w:rPr>
        <w:t>Certain ERISA Matters</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656"/>
        <w:spacing w:after="0" w:line="256" w:lineRule="auto"/>
        <w:tabs>
          <w:tab w:leader="none" w:pos="1293"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Agents and not, for the avoidance of doubt, to or for the benefit of the Company or any other Loan Party, that at least one of the following is and will be true:</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44"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5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956"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1" w:lineRule="exact"/>
        <w:rPr>
          <w:rFonts w:ascii="Times New Roman" w:cs="Times New Roman" w:eastAsia="Times New Roman" w:hAnsi="Times New Roman"/>
          <w:sz w:val="22"/>
          <w:szCs w:val="22"/>
          <w:color w:val="auto"/>
        </w:rPr>
      </w:pPr>
    </w:p>
    <w:p>
      <w:pPr>
        <w:ind w:left="660" w:firstLine="644"/>
        <w:spacing w:after="0" w:line="271" w:lineRule="auto"/>
        <w:tabs>
          <w:tab w:leader="none" w:pos="1944"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applicable Administrative Agent, in its sole discretion, and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178</w:t>
      </w:r>
    </w:p>
    <w:p>
      <w:pPr>
        <w:sectPr>
          <w:pgSz w:w="11900" w:h="16838" w:orient="portrait"/>
          <w:cols w:equalWidth="0" w:num="1">
            <w:col w:w="11240"/>
          </w:cols>
          <w:pgMar w:left="320" w:top="1413" w:right="339" w:bottom="1440" w:gutter="0" w:footer="0" w:header="0"/>
        </w:sectPr>
      </w:pPr>
    </w:p>
    <w:bookmarkStart w:id="252" w:name="page253"/>
    <w:bookmarkEnd w:id="252"/>
    <w:p>
      <w:pPr>
        <w:jc w:val="both"/>
        <w:ind w:firstLine="656"/>
        <w:spacing w:after="0" w:line="250" w:lineRule="auto"/>
        <w:tabs>
          <w:tab w:leader="none" w:pos="1291"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Agents and not, for the avoidance of doubt, to or for the benefit of the Company or any other Loan Party, that no Administrative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Agents under this Agreement, any Loan Document or any documents related hereto or thereto).</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9.13 </w:t>
      </w:r>
      <w:r>
        <w:rPr>
          <w:rFonts w:ascii="Times New Roman" w:cs="Times New Roman" w:eastAsia="Times New Roman" w:hAnsi="Times New Roman"/>
          <w:sz w:val="22"/>
          <w:szCs w:val="22"/>
          <w:u w:val="single" w:color="auto"/>
          <w:color w:val="auto"/>
        </w:rPr>
        <w:t>Recovery of Erroneous Payments</w:t>
      </w:r>
      <w:r>
        <w:rPr>
          <w:rFonts w:ascii="Times New Roman" w:cs="Times New Roman" w:eastAsia="Times New Roman" w:hAnsi="Times New Roman"/>
          <w:sz w:val="19"/>
          <w:szCs w:val="19"/>
          <w:color w:val="auto"/>
        </w:rPr>
        <w:t>. Without limitation of any other provision in this Agreement, if at any time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Administrative Agent 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such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such Administrative Agent, at the greater of the Federal Funds Rate and a rate determined by such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applicable Administrative Agent shall inform each Lender Recipient Party promptly upon determining that any payment made to such Lender Recipient Party comprised, in whole or in part, a Rescindable Amount.</w:t>
      </w:r>
    </w:p>
    <w:p>
      <w:pPr>
        <w:spacing w:after="0" w:line="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X</w:t>
      </w:r>
    </w:p>
    <w:p>
      <w:pPr>
        <w:spacing w:after="0" w:line="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MISCELLANEOUS</w:t>
      </w:r>
    </w:p>
    <w:p>
      <w:pPr>
        <w:spacing w:after="0" w:line="20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10.01 </w:t>
      </w:r>
      <w:r>
        <w:rPr>
          <w:rFonts w:ascii="Times New Roman" w:cs="Times New Roman" w:eastAsia="Times New Roman" w:hAnsi="Times New Roman"/>
          <w:sz w:val="22"/>
          <w:szCs w:val="22"/>
          <w:u w:val="single" w:color="auto"/>
          <w:color w:val="auto"/>
        </w:rPr>
        <w:t>Amendments, Etc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No amendment or waiver of any provision of this Agreement or any other Loan Document (excluding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the Engagement Letters and the Fee Letters), and no consent to any departure by any Borrower or any other Loan Party therefrom, shall be effective unless in writing signed by the Required Lenders and the Company or the applicable Loan Party, as the case may be, and acknowledged by the Administrative Agents, and each such waiver or consent shall be effective only in the specific instance and for the specific purpose for which given;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w:t>
      </w:r>
    </w:p>
    <w:p>
      <w:pPr>
        <w:spacing w:after="0" w:line="1" w:lineRule="exact"/>
        <w:rPr>
          <w:sz w:val="20"/>
          <w:szCs w:val="20"/>
          <w:color w:val="auto"/>
        </w:rPr>
      </w:pPr>
    </w:p>
    <w:p>
      <w:pPr>
        <w:ind w:firstLine="656"/>
        <w:spacing w:after="0" w:line="265" w:lineRule="auto"/>
        <w:tabs>
          <w:tab w:leader="none" w:pos="1293"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such amendment, waiver or consent shall waive any condition set forth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without the written consent of each Lender;</w:t>
      </w:r>
    </w:p>
    <w:p>
      <w:pPr>
        <w:spacing w:after="0" w:line="163"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waiver of any condition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as to any Credit Extension under the Revolving Credit Facility after the Amendment No. 4 Effective Date shall require only the written consent of the Required Revolving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179</w:t>
      </w:r>
    </w:p>
    <w:p>
      <w:pPr>
        <w:sectPr>
          <w:pgSz w:w="11900" w:h="16838" w:orient="portrait"/>
          <w:cols w:equalWidth="0" w:num="1">
            <w:col w:w="11240"/>
          </w:cols>
          <w:pgMar w:left="320" w:top="1422" w:right="339" w:bottom="1440" w:gutter="0" w:footer="0" w:header="0"/>
        </w:sectPr>
      </w:pPr>
    </w:p>
    <w:bookmarkStart w:id="253" w:name="page254"/>
    <w:bookmarkEnd w:id="253"/>
    <w:p>
      <w:pPr>
        <w:ind w:firstLine="656"/>
        <w:spacing w:after="0" w:line="271" w:lineRule="auto"/>
        <w:tabs>
          <w:tab w:leader="none" w:pos="1293"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amendment, waiver or consent that extends or increases the Commitment of any Lender (or reinstates any Commitment terminated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shall require only the written consent of such Lender;</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waiver or consent that postpones any date fixed by this Agreement or any other Loan Document for any scheduled payment (excluding, for the avoidance of doubt, mandatory prepayments) of principal, interest, fees or other amounts due to the Lenders (or any of them) hereunder or under such other Loan Document shall require only the written consent of each Lender entitled to such payment;</w:t>
      </w:r>
    </w:p>
    <w:p>
      <w:pPr>
        <w:spacing w:after="0" w:line="176"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3"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amendment, waiver or consent that reduces the principal of, or the rate of interest specified herein on, any Loan or L/C Borrowing, or (subject to clause (iv) of the second proviso to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any fees or other amounts payable hereunder or under any other Loan Document shall require only the written consent of each Lender entitled to such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only the consent of the Required Lenders shall be necessary to amend the definition of “Default Rate” or to waive any obligation of the Borrowers to pay interest or Letter of Credit Fees at the Default Rate and (ii) only the consent of the Required Pro Rata Facilities Lenders shall be necessary to amend any financial covenant hereunder (or any defined term used therein), in each case even if the effect of such amendment would be to reduce the rate of interest on any Loan or L/C Borrowing or to reduce any fee payable hereunder;</w:t>
      </w:r>
    </w:p>
    <w:p>
      <w:pPr>
        <w:spacing w:after="0" w:line="195"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such amendment, waiver or consent shall change (i)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without the written consent of each Lender or (ii) the order of application of any prepayment of Loans among the Facilities from the application thereof set forth in the applicable provisions of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in any manner that materially and adversely affects the Lenders under a Facility without the written consent of (i) if such Facility is the Term B Facility, the Required Term B Lenders, (ii) if such Facility is the U.S. Term Facility, the Required U.S. Term Lenders, (iii) if such Facility is the Euro Term Facility, the Required Euro Term Lenders and (iv) if such Facility is the Revolving Credit Facility, the Required Revolving Lenders;</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amendment to (i)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or the definition of “Alternative Currency” shall require only the written consent of each Revolving Credit Lender and (ii) </w:t>
      </w:r>
      <w:r>
        <w:rPr>
          <w:rFonts w:ascii="Times New Roman" w:cs="Times New Roman" w:eastAsia="Times New Roman" w:hAnsi="Times New Roman"/>
          <w:sz w:val="22"/>
          <w:szCs w:val="22"/>
          <w:u w:val="single" w:color="auto"/>
          <w:color w:val="auto"/>
        </w:rPr>
        <w:t>Section 2.15(b)</w:t>
      </w:r>
      <w:r>
        <w:rPr>
          <w:rFonts w:ascii="Times New Roman" w:cs="Times New Roman" w:eastAsia="Times New Roman" w:hAnsi="Times New Roman"/>
          <w:sz w:val="22"/>
          <w:szCs w:val="22"/>
          <w:color w:val="auto"/>
        </w:rPr>
        <w:t xml:space="preserve"> to reduce the number or percentage of Lenders required to consent thereunder shall require only the consent of each Lender that would otherwise be required to consent thereunder;</w:t>
      </w:r>
    </w:p>
    <w:p>
      <w:pPr>
        <w:spacing w:after="0" w:line="172"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change to (i) any provision of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clause (ii) of this </w:t>
      </w:r>
      <w:r>
        <w:rPr>
          <w:rFonts w:ascii="Times New Roman" w:cs="Times New Roman" w:eastAsia="Times New Roman" w:hAnsi="Times New Roman"/>
          <w:sz w:val="22"/>
          <w:szCs w:val="22"/>
          <w:u w:val="single" w:color="auto"/>
          <w:color w:val="auto"/>
        </w:rPr>
        <w:t>Section 10.01(h)</w:t>
      </w:r>
      <w:r>
        <w:rPr>
          <w:rFonts w:ascii="Times New Roman" w:cs="Times New Roman" w:eastAsia="Times New Roman" w:hAnsi="Times New Roman"/>
          <w:sz w:val="22"/>
          <w:szCs w:val="22"/>
          <w:color w:val="auto"/>
        </w:rPr>
        <w:t>), shall require the written consent of each Lender and (ii) the definition of “Required Revolving Lenders,” “Required Term B Lenders” “Required U.S. Term Lenders,” “Required Euro Term Lenders” or “Required Pro Rata Facilities Lenders” shall require only the written consent of each Lender under the applicable Facility (and in the case the definition of “Required Pro Rata Facilities Lenders” each Lender under the Pro Rata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180</w:t>
      </w:r>
    </w:p>
    <w:p>
      <w:pPr>
        <w:sectPr>
          <w:pgSz w:w="11900" w:h="16838" w:orient="portrait"/>
          <w:cols w:equalWidth="0" w:num="1">
            <w:col w:w="11240"/>
          </w:cols>
          <w:pgMar w:left="320" w:top="1422" w:right="339" w:bottom="1440" w:gutter="0" w:footer="0" w:header="0"/>
        </w:sectPr>
      </w:pPr>
    </w:p>
    <w:bookmarkStart w:id="254" w:name="page255"/>
    <w:bookmarkEnd w:id="254"/>
    <w:p>
      <w:pPr>
        <w:jc w:val="both"/>
        <w:ind w:firstLine="656"/>
        <w:spacing w:after="0" w:line="257" w:lineRule="auto"/>
        <w:tabs>
          <w:tab w:leader="none" w:pos="1284"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release all or substantially all of the Collateral in any transaction or series of related transactions (except as expressly set forth herein during a Collateral Release Period), without the written consent of each Lender;</w:t>
      </w:r>
    </w:p>
    <w:p>
      <w:pPr>
        <w:spacing w:after="0" w:line="18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84"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amendment, waiver or consent shall release all or substantially all of (i) the value of the Guaranty of all Guarantors, taken as a whole, without the written consent of each Lender, except to the extent the release of any Subsidiary from the Guaranty is permitted pursuant to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 xml:space="preserve"> (in which case such release may be made by the General Administrative Agent acting alone) or (ii) the value of the Company’s guaranty of the Obligations owing by the Dutch Borrower or any other Designated Borrower under the Loan Documents, without the written consent of each Lender;</w:t>
      </w:r>
    </w:p>
    <w:p>
      <w:pPr>
        <w:spacing w:after="0" w:line="19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waiver or consent to impose any greater restriction on the ability of any Lender under a Facility to assign any of its rights or obligations hereunder shall require only the written consent of (i) if such Facility is the Term B Facility, the Required Term B Lenders, (ii) if such Facility is the U.S. Term Facility, the Required U.S. Term Lenders, (iii) if such Facility is the Euro Term Facility, the Required Euro Term Lenders and (iv) if such Facility is the Revolving Credit Facility, the Required Revolving Lenders; and</w:t>
      </w:r>
    </w:p>
    <w:p>
      <w:pPr>
        <w:spacing w:after="0" w:line="180" w:lineRule="exact"/>
        <w:rPr>
          <w:rFonts w:ascii="Times New Roman" w:cs="Times New Roman" w:eastAsia="Times New Roman" w:hAnsi="Times New Roman"/>
          <w:sz w:val="22"/>
          <w:szCs w:val="22"/>
          <w:color w:val="auto"/>
        </w:rPr>
      </w:pPr>
    </w:p>
    <w:p>
      <w:pPr>
        <w:jc w:val="both"/>
        <w:ind w:firstLine="656"/>
        <w:spacing w:after="0" w:line="256" w:lineRule="auto"/>
        <w:tabs>
          <w:tab w:leader="none" w:pos="1284"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waiver or consent that (x) subordinates, or has the effect of subordinating, the Liens securing the Obligations to Liens securing any other Indebtedness for borrowed money and/or (y) subordinates, or has the effect of subordinating the Obligations to any other Indebtedness for borrowed money, in each case, shall require the written consent of each Lender affected thereby;</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such Swing Line Lender in addition to the Lenders required above, affect the rights or duties of any Swing Line Lender under this Agreement; (iii) no amendment, waiver or consent shall, unless in writing and signed by the General Administrative Agent and the Applicable Facility Agent in addition to the Lenders required above, affect the rights or duties of any Administrative Agent under this Agreement or any other Loan Document; (iv) the Engagement Letters and the Fee Letters may be amended, or rights or privileges thereunder waived, in a writing executed only by the parties thereto; (v)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 and the requisite percentage in interest of the affected Class of Lenders that would be required to consent thereto under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if such Class of Lenders were the only Class of Lenders hereunder at the time; and (vi) </w:t>
      </w:r>
      <w:r>
        <w:rPr>
          <w:rFonts w:ascii="Times New Roman" w:cs="Times New Roman" w:eastAsia="Times New Roman" w:hAnsi="Times New Roman"/>
          <w:sz w:val="20"/>
          <w:szCs w:val="20"/>
          <w:color w:val="auto"/>
        </w:rPr>
        <w:t>without limiting the foregoing and n</w:t>
      </w:r>
      <w:r>
        <w:rPr>
          <w:rFonts w:ascii="Times New Roman" w:cs="Times New Roman" w:eastAsia="Times New Roman" w:hAnsi="Times New Roman"/>
          <w:sz w:val="22"/>
          <w:szCs w:val="22"/>
          <w:color w:val="auto"/>
        </w:rPr>
        <w:t xml:space="preserve">otwithstanding anything to the contrary herein, any amendment, waiver or consent with respect to the financial covenants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(or any defined term used therein) or the proviso in Section 8.01(b) will not require the consent of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181</w:t>
      </w:r>
    </w:p>
    <w:p>
      <w:pPr>
        <w:sectPr>
          <w:pgSz w:w="11900" w:h="16838" w:orient="portrait"/>
          <w:cols w:equalWidth="0" w:num="1">
            <w:col w:w="11240"/>
          </w:cols>
          <w:pgMar w:left="320" w:top="1422" w:right="339" w:bottom="1440" w:gutter="0" w:footer="0" w:header="0"/>
        </w:sectPr>
      </w:pPr>
    </w:p>
    <w:bookmarkStart w:id="255" w:name="page256"/>
    <w:bookmarkEnd w:id="255"/>
    <w:p>
      <w:pPr>
        <w:jc w:val="both"/>
        <w:spacing w:after="0" w:line="263" w:lineRule="auto"/>
        <w:rPr>
          <w:sz w:val="20"/>
          <w:szCs w:val="20"/>
          <w:color w:val="auto"/>
        </w:rPr>
      </w:pPr>
      <w:r>
        <w:rPr>
          <w:rFonts w:ascii="Times New Roman" w:cs="Times New Roman" w:eastAsia="Times New Roman" w:hAnsi="Times New Roman"/>
          <w:sz w:val="21"/>
          <w:szCs w:val="21"/>
          <w:color w:val="auto"/>
        </w:rPr>
        <w:t>and shall be effective if in writing and signed by the Required Pro Rata Facilities Lenders.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73"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2"/>
          <w:szCs w:val="22"/>
          <w:color w:val="auto"/>
        </w:rPr>
        <w:t xml:space="preserve">Notwithstanding any provision herein to the contrary, this Agreement may be amended with the written consent of the Pro Rata Facilities Administrative Agent, the L/C Issuer, the Company and Lenders affected thereby to amend the definition of “Alternative Currency” or “Alternative Currency Daily Rate” or “Alternative Currency Term Rate” or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 xml:space="preserve"> solely to add additional currency options and the applicable interest rate with respect thereto, in each case solely to the extent permitted pursuant to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right="80" w:firstLine="846"/>
        <w:spacing w:after="0" w:line="253" w:lineRule="auto"/>
        <w:rPr>
          <w:sz w:val="20"/>
          <w:szCs w:val="20"/>
          <w:color w:val="auto"/>
        </w:rPr>
      </w:pPr>
      <w:r>
        <w:rPr>
          <w:rFonts w:ascii="Times New Roman" w:cs="Times New Roman" w:eastAsia="Times New Roman" w:hAnsi="Times New Roman"/>
          <w:sz w:val="20"/>
          <w:szCs w:val="20"/>
          <w:color w:val="auto"/>
        </w:rPr>
        <w:t>Notwithstanding anything to the contrary herein, this Agreement may be amended or amended and restated without the consent of any Lender (but with the consent of the Company and the General Administrative Agent and the Applicable Facility Agent) if, upon giving effect to such amendment or amendment and restatement, such Lender shall no longer be a party to this Agreement (as so amended or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201" w:lineRule="exact"/>
        <w:rPr>
          <w:sz w:val="20"/>
          <w:szCs w:val="20"/>
          <w:color w:val="auto"/>
        </w:rPr>
      </w:pPr>
    </w:p>
    <w:p>
      <w:pPr>
        <w:jc w:val="both"/>
        <w:ind w:firstLine="368"/>
        <w:spacing w:after="0" w:line="248" w:lineRule="auto"/>
        <w:rPr>
          <w:sz w:val="20"/>
          <w:szCs w:val="20"/>
          <w:color w:val="auto"/>
        </w:rPr>
      </w:pPr>
      <w:r>
        <w:rPr>
          <w:rFonts w:ascii="Times New Roman" w:cs="Times New Roman" w:eastAsia="Times New Roman" w:hAnsi="Times New Roman"/>
          <w:sz w:val="22"/>
          <w:szCs w:val="22"/>
          <w:color w:val="auto"/>
        </w:rPr>
        <w:t>Notwithstanding any provision herein to the contrary, this Agreement may be amended with the written consent of the Required Lenders, the Administrative Agents and the Company (1)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(2) in connection with the foregoing, to permit, as deemed appropriate by the Administrative Agents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99" w:lineRule="exact"/>
        <w:rPr>
          <w:sz w:val="20"/>
          <w:szCs w:val="20"/>
          <w:color w:val="auto"/>
        </w:rPr>
      </w:pPr>
    </w:p>
    <w:p>
      <w:pPr>
        <w:jc w:val="both"/>
        <w:ind w:right="20" w:firstLine="282"/>
        <w:spacing w:after="0" w:line="271" w:lineRule="auto"/>
        <w:rPr>
          <w:sz w:val="20"/>
          <w:szCs w:val="20"/>
          <w:color w:val="auto"/>
        </w:rPr>
      </w:pPr>
      <w:r>
        <w:rPr>
          <w:rFonts w:ascii="Times New Roman" w:cs="Times New Roman" w:eastAsia="Times New Roman" w:hAnsi="Times New Roman"/>
          <w:sz w:val="22"/>
          <w:szCs w:val="22"/>
          <w:color w:val="auto"/>
        </w:rPr>
        <w:t xml:space="preserve">Notwithstanding the foregoing, the General Administrative Agent and the </w:t>
      </w:r>
      <w:r>
        <w:rPr>
          <w:rFonts w:ascii="Times New Roman" w:cs="Times New Roman" w:eastAsia="Times New Roman" w:hAnsi="Times New Roman"/>
          <w:sz w:val="20"/>
          <w:szCs w:val="20"/>
          <w:color w:val="auto"/>
        </w:rPr>
        <w:t>Company</w:t>
      </w:r>
      <w:r>
        <w:rPr>
          <w:rFonts w:ascii="Times New Roman" w:cs="Times New Roman" w:eastAsia="Times New Roman" w:hAnsi="Times New Roman"/>
          <w:sz w:val="22"/>
          <w:szCs w:val="22"/>
          <w:color w:val="auto"/>
        </w:rPr>
        <w:t xml:space="preserve"> may amend this Agreement to cure any ambiguity, inconsistency or manifest error without the consent of any other party 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10.02  </w:t>
      </w:r>
      <w:r>
        <w:rPr>
          <w:rFonts w:ascii="Times New Roman" w:cs="Times New Roman" w:eastAsia="Times New Roman" w:hAnsi="Times New Roman"/>
          <w:sz w:val="22"/>
          <w:szCs w:val="22"/>
          <w:u w:val="single" w:color="auto"/>
          <w:color w:val="auto"/>
        </w:rPr>
        <w:t>Notices; Effectiveness; Electronic Communications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Notices Generally</w:t>
      </w:r>
      <w:r>
        <w:rPr>
          <w:rFonts w:ascii="Times New Roman" w:cs="Times New Roman" w:eastAsia="Times New Roman" w:hAnsi="Times New Roman"/>
          <w:sz w:val="19"/>
          <w:szCs w:val="19"/>
          <w:color w:val="auto"/>
        </w:rPr>
        <w:t>. Except in the case of notices and other</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182</w:t>
      </w:r>
    </w:p>
    <w:p>
      <w:pPr>
        <w:sectPr>
          <w:pgSz w:w="11900" w:h="16838" w:orient="portrait"/>
          <w:cols w:equalWidth="0" w:num="1">
            <w:col w:w="11240"/>
          </w:cols>
          <w:pgMar w:left="320" w:top="1422" w:right="339" w:bottom="1440" w:gutter="0" w:footer="0" w:header="0"/>
        </w:sectPr>
      </w:pPr>
    </w:p>
    <w:bookmarkStart w:id="256" w:name="page257"/>
    <w:bookmarkEnd w:id="256"/>
    <w:p>
      <w:pPr>
        <w:ind w:right="20"/>
        <w:spacing w:after="0" w:line="261" w:lineRule="auto"/>
        <w:rPr>
          <w:sz w:val="20"/>
          <w:szCs w:val="20"/>
          <w:color w:val="auto"/>
        </w:rPr>
      </w:pPr>
      <w:r>
        <w:rPr>
          <w:rFonts w:ascii="Times New Roman" w:cs="Times New Roman" w:eastAsia="Times New Roman" w:hAnsi="Times New Roman"/>
          <w:sz w:val="20"/>
          <w:szCs w:val="20"/>
          <w:color w:val="auto"/>
        </w:rPr>
        <w:t>or sent by facsimile or electronic mail as follows, and all notices and other communications expressly permitted hereunder to be given by telephone shall be made to the applicable telephone number, as follows:</w:t>
      </w:r>
    </w:p>
    <w:p>
      <w:pPr>
        <w:spacing w:after="0" w:line="1" w:lineRule="exact"/>
        <w:rPr>
          <w:sz w:val="20"/>
          <w:szCs w:val="20"/>
          <w:color w:val="auto"/>
        </w:rPr>
      </w:pPr>
    </w:p>
    <w:p>
      <w:pPr>
        <w:jc w:val="both"/>
        <w:ind w:left="660" w:firstLine="644"/>
        <w:spacing w:after="0" w:line="275" w:lineRule="auto"/>
        <w:tabs>
          <w:tab w:leader="none" w:pos="1944"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to any Loan Party, any of the Administrative Agents, the L/C Issuer or either Swing Line Lender, to the address, facsimile number, electronic mail address or telephone number specified for such Person on </w:t>
      </w:r>
      <w:r>
        <w:rPr>
          <w:rFonts w:ascii="Times New Roman" w:cs="Times New Roman" w:eastAsia="Times New Roman" w:hAnsi="Times New Roman"/>
          <w:sz w:val="21"/>
          <w:szCs w:val="21"/>
          <w:u w:val="single" w:color="auto"/>
          <w:color w:val="auto"/>
        </w:rPr>
        <w:t>Schedule 10.02</w:t>
      </w:r>
      <w:r>
        <w:rPr>
          <w:rFonts w:ascii="Times New Roman" w:cs="Times New Roman" w:eastAsia="Times New Roman" w:hAnsi="Times New Roman"/>
          <w:sz w:val="21"/>
          <w:szCs w:val="21"/>
          <w:color w:val="auto"/>
        </w:rPr>
        <w:t>; and</w:t>
      </w:r>
    </w:p>
    <w:p>
      <w:pPr>
        <w:spacing w:after="0" w:line="169" w:lineRule="exact"/>
        <w:rPr>
          <w:rFonts w:ascii="Times New Roman" w:cs="Times New Roman" w:eastAsia="Times New Roman" w:hAnsi="Times New Roman"/>
          <w:sz w:val="21"/>
          <w:szCs w:val="21"/>
          <w:color w:val="auto"/>
        </w:rPr>
      </w:pPr>
    </w:p>
    <w:p>
      <w:pPr>
        <w:jc w:val="both"/>
        <w:ind w:left="660" w:right="20" w:firstLine="644"/>
        <w:spacing w:after="0" w:line="252" w:lineRule="auto"/>
        <w:tabs>
          <w:tab w:leader="none" w:pos="195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below shall be effective as provided in such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656"/>
        <w:spacing w:after="0" w:line="250" w:lineRule="auto"/>
        <w:tabs>
          <w:tab w:leader="none" w:pos="1293"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xml:space="preserve">. Notices and other communications to the Lenders and the L/C Issuer hereunder may be delivered or furnished by electronic communication (including e-mail, FpML messaging, and Internet or intranet websites) pursuant to procedures approved by the applicable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Lender or the L/C Issuer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if such Lender or the L/C Issuer, as applicable, has notified the applicable Administrative Agent that it is incapable of receiving notices under such Article by electronic communication. The Administrative Agents, the Swing Line Lenders, the L/C Issuer or the Loan Parties may each,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Unless the applicable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both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183</w:t>
      </w:r>
    </w:p>
    <w:p>
      <w:pPr>
        <w:sectPr>
          <w:pgSz w:w="11900" w:h="16838" w:orient="portrait"/>
          <w:cols w:equalWidth="0" w:num="1">
            <w:col w:w="11240"/>
          </w:cols>
          <w:pgMar w:left="320" w:top="1413" w:right="339" w:bottom="1440" w:gutter="0" w:footer="0" w:header="0"/>
        </w:sectPr>
      </w:pPr>
    </w:p>
    <w:bookmarkStart w:id="257" w:name="page258"/>
    <w:bookmarkEnd w:id="257"/>
    <w:p>
      <w:pPr>
        <w:ind w:left="1300" w:hanging="644"/>
        <w:spacing w:after="0"/>
        <w:tabs>
          <w:tab w:leader="none" w:pos="1300"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Platform</w:t>
      </w:r>
      <w:r>
        <w:rPr>
          <w:rFonts w:ascii="Times New Roman" w:cs="Times New Roman" w:eastAsia="Times New Roman" w:hAnsi="Times New Roman"/>
          <w:sz w:val="21"/>
          <w:szCs w:val="21"/>
          <w:color w:val="auto"/>
        </w:rPr>
        <w:t>. THE PLATFORM IS PROVIDED “AS IS” AND “AS AVAILABLE.” THE AGENT PARTIES (AS</w:t>
      </w:r>
    </w:p>
    <w:p>
      <w:pPr>
        <w:spacing w:after="0" w:line="39" w:lineRule="exact"/>
        <w:rPr>
          <w:rFonts w:ascii="Times New Roman" w:cs="Times New Roman" w:eastAsia="Times New Roman" w:hAnsi="Times New Roman"/>
          <w:sz w:val="21"/>
          <w:szCs w:val="21"/>
          <w:color w:val="auto"/>
        </w:rPr>
      </w:pPr>
    </w:p>
    <w:p>
      <w:pPr>
        <w:jc w:val="both"/>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any of the Administrative Agents or any of their respective Related Parties (collectively, the “</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xml:space="preserve">”) have any liability to the Borrowers, any Lender, the L/C Issuer or any other Person for losses, claims, damages, liabilities or expenses of any kind (whether in tort, contract or otherwise) arising out of the Company’s, any Loan Party’s or such Administrative Agent’s transmission of Borrower Materials or notices through the Platform, any other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shall any Agent Party have any liability to any Borrower, any Loan Party, any Lender or any other Person for indirect, special, incidental, consequential or punitive damages (as opposed to direct or actual damages).</w:t>
      </w:r>
    </w:p>
    <w:p>
      <w:pPr>
        <w:spacing w:after="0" w:line="190" w:lineRule="exact"/>
        <w:rPr>
          <w:rFonts w:ascii="Times New Roman" w:cs="Times New Roman" w:eastAsia="Times New Roman" w:hAnsi="Times New Roman"/>
          <w:sz w:val="21"/>
          <w:szCs w:val="21"/>
          <w:color w:val="auto"/>
        </w:rPr>
      </w:pPr>
    </w:p>
    <w:p>
      <w:pPr>
        <w:jc w:val="both"/>
        <w:ind w:firstLine="656"/>
        <w:spacing w:after="0" w:line="247" w:lineRule="auto"/>
        <w:tabs>
          <w:tab w:leader="none" w:pos="1293"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Each of the Loan Parties, any of the Administrative Agents,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applicable Administrative Agent, the L/C Issuer and the Swing Line Lender. In addition, each Lender agrees to notify the applicable Administrative Agent from time to time to ensure that the applicable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192"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291"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by Administrative Agents, L/C Issuer and Lenders</w:t>
      </w:r>
      <w:r>
        <w:rPr>
          <w:rFonts w:ascii="Times New Roman" w:cs="Times New Roman" w:eastAsia="Times New Roman" w:hAnsi="Times New Roman"/>
          <w:sz w:val="22"/>
          <w:szCs w:val="22"/>
          <w:color w:val="auto"/>
        </w:rPr>
        <w:t>. The Administrative Agents, the L/C Issuer and the Lenders shall be entitled to rely and act upon any notices (including telephonic or electronic notices, Committed Loan Notices, Letter of Credit Applications and Swing Line Loan Notices) purportedly given by or on behalf of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184</w:t>
      </w:r>
    </w:p>
    <w:p>
      <w:pPr>
        <w:sectPr>
          <w:pgSz w:w="11900" w:h="16838" w:orient="portrait"/>
          <w:cols w:equalWidth="0" w:num="1">
            <w:col w:w="11240"/>
          </w:cols>
          <w:pgMar w:left="320" w:top="1422" w:right="339" w:bottom="1440" w:gutter="0" w:footer="0" w:header="0"/>
        </w:sectPr>
      </w:pPr>
    </w:p>
    <w:bookmarkStart w:id="258" w:name="page259"/>
    <w:bookmarkEnd w:id="258"/>
    <w:p>
      <w:pPr>
        <w:jc w:val="both"/>
        <w:spacing w:after="0" w:line="263" w:lineRule="auto"/>
        <w:rPr>
          <w:sz w:val="20"/>
          <w:szCs w:val="20"/>
          <w:color w:val="auto"/>
        </w:rPr>
      </w:pPr>
      <w:r>
        <w:rPr>
          <w:rFonts w:ascii="Times New Roman" w:cs="Times New Roman" w:eastAsia="Times New Roman" w:hAnsi="Times New Roman"/>
          <w:sz w:val="21"/>
          <w:szCs w:val="21"/>
          <w:color w:val="auto"/>
        </w:rPr>
        <w:t>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each of the Administrative Agents, the L/C Issuer, each Lender and the Related Parties of each of them from all losses, costs, expenses and liabilities resulting from the reliance by such Person on each notice purportedly given by or on behalf of any Borrower, except such losses, costs, expenses and liability resulting from such Person’s gross negligence or willful misconduct. All telephonic notices to and other telephonic communications with any Administrative Agent may be recorded by such Administrative Agent, and each of the parties hereto hereby consents to such recording.</w:t>
      </w:r>
    </w:p>
    <w:p>
      <w:pPr>
        <w:spacing w:after="0" w:line="17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2"/>
          <w:szCs w:val="22"/>
          <w:color w:val="auto"/>
        </w:rPr>
        <w:t xml:space="preserve">10.03 </w:t>
      </w:r>
      <w:r>
        <w:rPr>
          <w:rFonts w:ascii="Times New Roman" w:cs="Times New Roman" w:eastAsia="Times New Roman" w:hAnsi="Times New Roman"/>
          <w:sz w:val="22"/>
          <w:szCs w:val="22"/>
          <w:u w:val="single" w:color="auto"/>
          <w:color w:val="auto"/>
        </w:rPr>
        <w:t>No Waiver; Cumulative Remedies; Enforcement</w:t>
      </w:r>
      <w:r>
        <w:rPr>
          <w:rFonts w:ascii="Times New Roman" w:cs="Times New Roman" w:eastAsia="Times New Roman" w:hAnsi="Times New Roman"/>
          <w:sz w:val="19"/>
          <w:szCs w:val="19"/>
          <w:color w:val="auto"/>
        </w:rPr>
        <w:t>. No failure by any Lender, the L/C Issuer or any Administrative Agent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Agents in accordance with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for the benefit of all the Lenders and the L/C Issuer;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shall not prohibit (a) the Administrative Agents from exercising on their own behalf the rights and remedies that inure to their respective benefit (solely in their capacity as Administrative Agents) hereunder and under the other Loan Documents, (b) the L/C Issuer or the Swing Line Lender from exercising the rights and remedies that inure to its benefit (solely in its capacity as L/C Issuer or Swing Line Lender, as the case may be) hereunder and under the other Loan Documents,</w:t>
      </w:r>
    </w:p>
    <w:p>
      <w:pPr>
        <w:spacing w:after="0" w:line="6" w:lineRule="exact"/>
        <w:rPr>
          <w:sz w:val="20"/>
          <w:szCs w:val="20"/>
          <w:color w:val="auto"/>
        </w:rPr>
      </w:pPr>
    </w:p>
    <w:p>
      <w:pPr>
        <w:jc w:val="both"/>
        <w:ind w:firstLine="8"/>
        <w:spacing w:after="0" w:line="248" w:lineRule="auto"/>
        <w:tabs>
          <w:tab w:leader="none" w:pos="309"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from exercising setoff rights in accordance with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(subject to the terms of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at any time there is no Person acting as an Administrative Agent hereunder and under the other Loan Documents, then (i) the Required Lenders shall have the rights otherwise ascribed to the Administrative Agents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and (ii) in addition to the matters set forth in clauses (b), (c) and (d) of the preceding proviso and subject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any Lender may, with the consent of the Required Lenders, enforce any rights and remedies available to it and as authorized by the Required Lenders.</w:t>
      </w:r>
    </w:p>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10.04 </w:t>
      </w:r>
      <w:r>
        <w:rPr>
          <w:rFonts w:ascii="Times New Roman" w:cs="Times New Roman" w:eastAsia="Times New Roman" w:hAnsi="Times New Roman"/>
          <w:sz w:val="22"/>
          <w:szCs w:val="22"/>
          <w:u w:val="single" w:color="auto"/>
          <w:color w:val="auto"/>
        </w:rPr>
        <w:t>Expenses; Indemnity; Damage Waiver</w:t>
      </w:r>
      <w:r>
        <w:rPr>
          <w:rFonts w:ascii="Times New Roman" w:cs="Times New Roman" w:eastAsia="Times New Roman" w:hAnsi="Times New Roman"/>
          <w:sz w:val="19"/>
          <w:szCs w:val="19"/>
          <w:color w:val="auto"/>
        </w:rPr>
        <w: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The Company shall pay (i) all reasonable out-of-pocket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expenses incurred by the Administrative Agents and their Affiliates (limited, in the case of legal fees and expenses, to the reasonable fees, disbursements and other charges of (A) one primary counsel to the Administrative Agents, (B) one reasonably necessary firm of special and/or regulatory counsel to the Administrative Agents, and (C) one firm of local counsel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185</w:t>
      </w:r>
    </w:p>
    <w:p>
      <w:pPr>
        <w:sectPr>
          <w:pgSz w:w="11900" w:h="16838" w:orient="portrait"/>
          <w:cols w:equalWidth="0" w:num="1">
            <w:col w:w="11240"/>
          </w:cols>
          <w:pgMar w:left="320" w:top="1422" w:right="339" w:bottom="1440" w:gutter="0" w:footer="0" w:header="0"/>
        </w:sectPr>
      </w:pPr>
    </w:p>
    <w:bookmarkStart w:id="259" w:name="page260"/>
    <w:bookmarkEnd w:id="259"/>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Administrative Agents in each applicable jurisdiction (including each jurisdiction of each Foreign Obligor))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Administrative Agents, any Arranger, any Lender or the L/C Issuer (including the fees, charges and disbursements of any counsel for the Administrative Agent, any Arranger, any Lender or the L/C Issuer), in connection with the enforcement or protection of its rights (A) in connection with this Agreement and the other Loan Documents, including its rights under this Section, or (B) in connection with Loans made or Letters of Credit issued hereunder, including all such out-of-pocket expenses incurred during any workout, restructuring or negotiations in respect of such Loans or Letters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legal fees and expenses shall be limited to the reasonable fees, disbursements and other charges of one primary counsel, one local counsel in each relevant jurisdiction (including each jurisdiction of each Foreign Obligor), one specialty counsel for each relevant specialty and, in the case where an actual or imminent conflict exists and the relevant Person notifies you in advance in writing of the conflict and engages separate counsel, one additional conflicts counsel for all such similarly situated Persons.</w:t>
      </w:r>
    </w:p>
    <w:p>
      <w:pPr>
        <w:spacing w:after="0" w:line="9" w:lineRule="exact"/>
        <w:rPr>
          <w:sz w:val="20"/>
          <w:szCs w:val="20"/>
          <w:color w:val="auto"/>
        </w:rPr>
      </w:pPr>
    </w:p>
    <w:p>
      <w:pPr>
        <w:jc w:val="both"/>
        <w:ind w:firstLine="656"/>
        <w:spacing w:after="0" w:line="246" w:lineRule="auto"/>
        <w:tabs>
          <w:tab w:leader="none" w:pos="1293"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Company</w:t>
      </w:r>
      <w:r>
        <w:rPr>
          <w:rFonts w:ascii="Times New Roman" w:cs="Times New Roman" w:eastAsia="Times New Roman" w:hAnsi="Times New Roman"/>
          <w:sz w:val="22"/>
          <w:szCs w:val="22"/>
          <w:color w:val="auto"/>
        </w:rPr>
        <w:t>. Each Borrower shall indemnify each of the Administrative Agents (and any sub-agent thereof), each Lender, each Arranger and the L/C Issuer, and each Related Party of any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Company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Agents (and any sub-agent thereof) and their respective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at, on, under or emanating from any property owned, leased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whether brought by a third party or by the Company or any of its Subsidiaries, or any of their respective directors, shareholders or creditors, and regardless of whether any Indemnitee is a party thereto (collectively, the “</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as to any Indemnitee, be available to the extent that such Indemnified Liabilities (A) are determined by a court of competent jurisdiction by final and nonappealable judgment to have resulted from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186</w:t>
      </w:r>
    </w:p>
    <w:p>
      <w:pPr>
        <w:sectPr>
          <w:pgSz w:w="11900" w:h="16838" w:orient="portrait"/>
          <w:cols w:equalWidth="0" w:num="1">
            <w:col w:w="11240"/>
          </w:cols>
          <w:pgMar w:left="320" w:top="1413" w:right="339" w:bottom="1440" w:gutter="0" w:footer="0" w:header="0"/>
        </w:sectPr>
      </w:pPr>
    </w:p>
    <w:bookmarkStart w:id="260" w:name="page261"/>
    <w:bookmarkEnd w:id="260"/>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such Indemnitee’s gross negligence, bad faith or willful misconduct or (y) such Indemnitee’s material breach of its obligations under this Agreement or under any other Loan Document or (B) result solely from a proceeding between or among Indemnitees, other than any claims against any Arranger, any Administrative Agent, any Swing Line Lender or the L/C Issuer in its respective capacity as such under the Facilities, and other than any claims arising out of any act or omission on the part of any Loan Party or their respective Subsidiaries or Affiliates, or any of their respective officers, directors, employees, agents, advisors or other representatives;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in the case of legal expenses, the obligations of the Borrowers under this </w:t>
      </w:r>
      <w:r>
        <w:rPr>
          <w:rFonts w:ascii="Times New Roman" w:cs="Times New Roman" w:eastAsia="Times New Roman" w:hAnsi="Times New Roman"/>
          <w:sz w:val="22"/>
          <w:szCs w:val="22"/>
          <w:u w:val="single" w:color="auto"/>
          <w:color w:val="auto"/>
        </w:rPr>
        <w:t>Section 10.04(b)</w:t>
      </w:r>
      <w:r>
        <w:rPr>
          <w:rFonts w:ascii="Times New Roman" w:cs="Times New Roman" w:eastAsia="Times New Roman" w:hAnsi="Times New Roman"/>
          <w:sz w:val="22"/>
          <w:szCs w:val="22"/>
          <w:color w:val="auto"/>
        </w:rPr>
        <w:t xml:space="preserve"> shall be limited to the reasonable fees, disbursements and other charges of one primary counsel, one local counsel in each relevant jurisdiction (including each jurisdiction of each Foreign Obligor), one specialty counsel for each relevant specialty and, in the case where an actual or imminent conflict exists and the relevant Indemnitee notifies the Company in advance in writing of the conflict and engages separate counsel, one additional conflicts counsel for all such similarly situated Indemnitees. Without limiting the provisions of </w:t>
      </w:r>
      <w:r>
        <w:rPr>
          <w:rFonts w:ascii="Times New Roman" w:cs="Times New Roman" w:eastAsia="Times New Roman" w:hAnsi="Times New Roman"/>
          <w:sz w:val="22"/>
          <w:szCs w:val="22"/>
          <w:u w:val="single" w:color="auto"/>
          <w:color w:val="auto"/>
        </w:rPr>
        <w:t>Section 3.01(c)</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10.04(b)</w:t>
      </w:r>
      <w:r>
        <w:rPr>
          <w:rFonts w:ascii="Times New Roman" w:cs="Times New Roman" w:eastAsia="Times New Roman" w:hAnsi="Times New Roman"/>
          <w:sz w:val="22"/>
          <w:szCs w:val="22"/>
          <w:color w:val="auto"/>
        </w:rPr>
        <w:t xml:space="preserve"> shall not apply with respect to Taxes other than any Taxes that represent losses, claims, damages, etc. arising from any non-Tax claim.</w:t>
      </w:r>
    </w:p>
    <w:p>
      <w:pPr>
        <w:spacing w:after="0" w:line="184" w:lineRule="exact"/>
        <w:rPr>
          <w:sz w:val="20"/>
          <w:szCs w:val="20"/>
          <w:color w:val="auto"/>
        </w:rPr>
      </w:pPr>
    </w:p>
    <w:p>
      <w:pPr>
        <w:jc w:val="both"/>
        <w:ind w:firstLine="656"/>
        <w:spacing w:after="0" w:line="248" w:lineRule="auto"/>
        <w:tabs>
          <w:tab w:leader="none" w:pos="1291"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by Lenders</w:t>
      </w:r>
      <w:r>
        <w:rPr>
          <w:rFonts w:ascii="Times New Roman" w:cs="Times New Roman" w:eastAsia="Times New Roman" w:hAnsi="Times New Roman"/>
          <w:sz w:val="22"/>
          <w:szCs w:val="22"/>
          <w:color w:val="auto"/>
        </w:rPr>
        <w:t xml:space="preserve">. To the extent that the Company for any reason fails to indefeasibly pay any amount required under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to be paid by it to any of the Administrative Agents (or any sub-agent thereof), the L/C Issuer, either Swing Line Lender or any Related Party of any of the foregoing, each Lender severally agrees to pay to such Administrative Agent (or any such sub-agent), the L/C Issuer, such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such Administrative Agent (or any such sub-agent), the L/C Issuer or such Swing Line Lender in its capacity as such, or against any Related Party of any of the foregoing acting for such Administrative Agent (or any such sub-agent), the L/C Issuer or such Swing Line Lender in connection with such capacity. The obligations of the Lenders under this </w:t>
      </w:r>
      <w:r>
        <w:rPr>
          <w:rFonts w:ascii="Times New Roman" w:cs="Times New Roman" w:eastAsia="Times New Roman" w:hAnsi="Times New Roman"/>
          <w:sz w:val="22"/>
          <w:szCs w:val="22"/>
          <w:u w:val="single" w:color="auto"/>
          <w:color w:val="auto"/>
        </w:rPr>
        <w:t>subsection (c)</w:t>
      </w:r>
      <w:r>
        <w:rPr>
          <w:rFonts w:ascii="Times New Roman" w:cs="Times New Roman" w:eastAsia="Times New Roman" w:hAnsi="Times New Roman"/>
          <w:sz w:val="22"/>
          <w:szCs w:val="22"/>
          <w:color w:val="auto"/>
        </w:rPr>
        <w:t xml:space="preserve"> are subject to the provisions of </w:t>
      </w:r>
      <w:r>
        <w:rPr>
          <w:rFonts w:ascii="Times New Roman" w:cs="Times New Roman" w:eastAsia="Times New Roman" w:hAnsi="Times New Roman"/>
          <w:sz w:val="22"/>
          <w:szCs w:val="22"/>
          <w:u w:val="single" w:color="auto"/>
          <w:color w:val="auto"/>
        </w:rPr>
        <w:t>Section 2.12(e)</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3"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To the fullest extent permitted by applicable law, none of the Borrowers shall assert, and each of the foregoing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To the fullest extent permitted by applicable law, no Borrower shall have any liability under this Agreement or any Loan Document, on any theory of liability, for special, indirect, consequential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187</w:t>
      </w:r>
    </w:p>
    <w:p>
      <w:pPr>
        <w:sectPr>
          <w:pgSz w:w="11900" w:h="16838" w:orient="portrait"/>
          <w:cols w:equalWidth="0" w:num="1">
            <w:col w:w="11240"/>
          </w:cols>
          <w:pgMar w:left="320" w:top="1422" w:right="339" w:bottom="1440" w:gutter="0" w:footer="0" w:header="0"/>
        </w:sectPr>
      </w:pPr>
    </w:p>
    <w:bookmarkStart w:id="261" w:name="page262"/>
    <w:bookmarkEnd w:id="261"/>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sentence shall not limit the Borrowers’ indemnity or reimbursement obligation to the extent such special, indirect, consequential or punitive damages are included in any third party claim in connection with which an Indemnitee is otherwise entitled to indemnification thereunder. No Indemnitee referred to in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above shall be liable for any damages arising from the use by 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3" w:lineRule="exact"/>
        <w:rPr>
          <w:sz w:val="20"/>
          <w:szCs w:val="20"/>
          <w:color w:val="auto"/>
        </w:rPr>
      </w:pPr>
    </w:p>
    <w:p>
      <w:pPr>
        <w:ind w:left="1300" w:hanging="644"/>
        <w:spacing w:after="0"/>
        <w:tabs>
          <w:tab w:leader="none" w:pos="130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All amounts due under this Section shall be payable not later than ten Business Days after demand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therefor.</w:t>
      </w:r>
    </w:p>
    <w:p>
      <w:pPr>
        <w:spacing w:after="0" w:line="195"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3"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agreements in this Section and the indemnity provision of </w:t>
      </w:r>
      <w:r>
        <w:rPr>
          <w:rFonts w:ascii="Times New Roman" w:cs="Times New Roman" w:eastAsia="Times New Roman" w:hAnsi="Times New Roman"/>
          <w:sz w:val="22"/>
          <w:szCs w:val="22"/>
          <w:u w:val="single" w:color="auto"/>
          <w:color w:val="auto"/>
        </w:rPr>
        <w:t>Section 10.02(e)</w:t>
      </w:r>
      <w:r>
        <w:rPr>
          <w:rFonts w:ascii="Times New Roman" w:cs="Times New Roman" w:eastAsia="Times New Roman" w:hAnsi="Times New Roman"/>
          <w:sz w:val="22"/>
          <w:szCs w:val="22"/>
          <w:color w:val="auto"/>
        </w:rPr>
        <w:t xml:space="preserve"> shall survive the resignation of any of the Administrative Agents, the L/C Issuer and any Swing Line Lender, the replacement of any Lender, the termination of the Aggregate Commitments and the repayment, satisfaction or discharge of all the other Obligations.</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10.05 </w:t>
      </w:r>
      <w:r>
        <w:rPr>
          <w:rFonts w:ascii="Times New Roman" w:cs="Times New Roman" w:eastAsia="Times New Roman" w:hAnsi="Times New Roman"/>
          <w:sz w:val="22"/>
          <w:szCs w:val="22"/>
          <w:u w:val="single" w:color="auto"/>
          <w:color w:val="auto"/>
        </w:rPr>
        <w:t>Payments Set Aside</w:t>
      </w:r>
      <w:r>
        <w:rPr>
          <w:rFonts w:ascii="Times New Roman" w:cs="Times New Roman" w:eastAsia="Times New Roman" w:hAnsi="Times New Roman"/>
          <w:sz w:val="19"/>
          <w:szCs w:val="19"/>
          <w:color w:val="auto"/>
        </w:rPr>
        <w:t>. To the extent that any payment by or on behalf of a Borrower is made to any Administrative Agent,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the L/C Issuer or any Lender, or any of the Administrative Agents, the L/C Issuer or any Lender exercises its right of setoff, and such payment or the proceeds of such setoff or any part thereof is subsequently invalidated, declared to be fraudulent or preferential, set aside or required (including pursuant to any settlement entered into by such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Agents upon demand its applicable share (without duplication) of any amount so recovered from or repaid by such Administrative Agent,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interest thereon from the date of such demand to the date such payment is made at a rate per annum equal to the applicable Overnight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10.06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u w:val="single" w:color="auto"/>
          <w:color w:val="auto"/>
        </w:rPr>
        <w:t>Successors and Assigns Generally</w:t>
      </w:r>
      <w:r>
        <w:rPr>
          <w:rFonts w:ascii="Times New Roman" w:cs="Times New Roman" w:eastAsia="Times New Roman" w:hAnsi="Times New Roman"/>
          <w:sz w:val="19"/>
          <w:szCs w:val="19"/>
          <w:color w:val="auto"/>
        </w:rPr>
        <w:t>. The provisions of this Agreement shall be binding upon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inure to the benefit of the parties hereto and their respective successors and assigns permitted hereby, except that no Borrower nor any other Loan Party may assign or otherwise transfer any of its rights or obligations hereunder without the prior written consent of the Applicable Facility Agent and each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assignment or deemed assignment solely as a result of redomestication of a Borrower from one state or jurisdiction of organization within the United States to another state or jurisdiction of organization within the United States shall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188</w:t>
      </w:r>
    </w:p>
    <w:p>
      <w:pPr>
        <w:sectPr>
          <w:pgSz w:w="11900" w:h="16838" w:orient="portrait"/>
          <w:cols w:equalWidth="0" w:num="1">
            <w:col w:w="11240"/>
          </w:cols>
          <w:pgMar w:left="320" w:top="1422" w:right="339" w:bottom="1440" w:gutter="0" w:footer="0" w:header="0"/>
        </w:sectPr>
      </w:pPr>
    </w:p>
    <w:bookmarkStart w:id="262" w:name="page263"/>
    <w:bookmarkEnd w:id="262"/>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consent of the Applicable Facility Agent only) and no Lender may assign or otherwise transfer any of its rights or obligations hereunder except (i) to an assignee in accordance with the provisions of </w:t>
      </w:r>
      <w:r>
        <w:rPr>
          <w:rFonts w:ascii="Times New Roman" w:cs="Times New Roman" w:eastAsia="Times New Roman" w:hAnsi="Times New Roman"/>
          <w:sz w:val="19"/>
          <w:szCs w:val="19"/>
          <w:u w:val="single" w:color="auto"/>
          <w:color w:val="auto"/>
        </w:rPr>
        <w:t>Section 10.06(b)</w:t>
      </w:r>
      <w:r>
        <w:rPr>
          <w:rFonts w:ascii="Times New Roman" w:cs="Times New Roman" w:eastAsia="Times New Roman" w:hAnsi="Times New Roman"/>
          <w:sz w:val="19"/>
          <w:szCs w:val="19"/>
          <w:color w:val="auto"/>
        </w:rPr>
        <w:t xml:space="preserve">, (ii) by way of participation in accordance with the provisions of </w:t>
      </w:r>
      <w:r>
        <w:rPr>
          <w:rFonts w:ascii="Times New Roman" w:cs="Times New Roman" w:eastAsia="Times New Roman" w:hAnsi="Times New Roman"/>
          <w:sz w:val="19"/>
          <w:szCs w:val="19"/>
          <w:u w:val="single" w:color="auto"/>
          <w:color w:val="auto"/>
        </w:rPr>
        <w:t>Section 10.06(d)</w:t>
      </w:r>
      <w:r>
        <w:rPr>
          <w:rFonts w:ascii="Times New Roman" w:cs="Times New Roman" w:eastAsia="Times New Roman" w:hAnsi="Times New Roman"/>
          <w:sz w:val="19"/>
          <w:szCs w:val="19"/>
          <w:color w:val="auto"/>
        </w:rPr>
        <w:t xml:space="preserve">, or (iii) by way of pledge or assignment of a security interest subject to the restrictions of </w:t>
      </w:r>
      <w:r>
        <w:rPr>
          <w:rFonts w:ascii="Times New Roman" w:cs="Times New Roman" w:eastAsia="Times New Roman" w:hAnsi="Times New Roman"/>
          <w:sz w:val="19"/>
          <w:szCs w:val="19"/>
          <w:u w:val="single" w:color="auto"/>
          <w:color w:val="auto"/>
        </w:rPr>
        <w:t>Section 10.06(f)</w:t>
      </w:r>
      <w:r>
        <w:rPr>
          <w:rFonts w:ascii="Times New Roman" w:cs="Times New Roman" w:eastAsia="Times New Roman" w:hAnsi="Times New Roman"/>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9"/>
          <w:szCs w:val="19"/>
          <w:u w:val="single" w:color="auto"/>
          <w:color w:val="auto"/>
        </w:rPr>
        <w:t>subsection (d)</w:t>
      </w:r>
      <w:r>
        <w:rPr>
          <w:rFonts w:ascii="Times New Roman" w:cs="Times New Roman" w:eastAsia="Times New Roman" w:hAnsi="Times New Roman"/>
          <w:sz w:val="19"/>
          <w:szCs w:val="19"/>
          <w:color w:val="auto"/>
        </w:rPr>
        <w:t xml:space="preserve"> of this Section and, to the extent expressly contemplated hereby, the Related Parties of each of the Administrative Agents, the L/C Issuer and the Lenders) any legal or equitable right, remedy or claim under or by reason of this Agreement.</w:t>
      </w:r>
    </w:p>
    <w:p>
      <w:pPr>
        <w:spacing w:after="0" w:line="1" w:lineRule="exact"/>
        <w:rPr>
          <w:sz w:val="20"/>
          <w:szCs w:val="20"/>
          <w:color w:val="auto"/>
        </w:rPr>
      </w:pPr>
    </w:p>
    <w:p>
      <w:pPr>
        <w:jc w:val="both"/>
        <w:ind w:firstLine="656"/>
        <w:spacing w:after="0" w:line="250" w:lineRule="auto"/>
        <w:tabs>
          <w:tab w:leader="none" w:pos="1293"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 xml:space="preserve">, participations in L/C Obligations and in Swing Line Loans) at the time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with respect to any Facility) any such assignment shall be subject to the following conditions:</w:t>
      </w:r>
    </w:p>
    <w:p>
      <w:pPr>
        <w:spacing w:after="0" w:line="18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8" w:lineRule="auto"/>
        <w:tabs>
          <w:tab w:leader="none" w:pos="2585" w:val="left"/>
        </w:tabs>
        <w:numPr>
          <w:ilvl w:val="2"/>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Times New Roman" w:cs="Times New Roman" w:eastAsia="Times New Roman" w:hAnsi="Times New Roman"/>
          <w:sz w:val="21"/>
          <w:szCs w:val="21"/>
          <w:u w:val="single" w:color="auto"/>
          <w:color w:val="auto"/>
        </w:rPr>
        <w:t>paragraph (b)(i)(B)</w:t>
      </w:r>
      <w:r>
        <w:rPr>
          <w:rFonts w:ascii="Times New Roman" w:cs="Times New Roman" w:eastAsia="Times New Roman" w:hAnsi="Times New Roman"/>
          <w:sz w:val="21"/>
          <w:szCs w:val="21"/>
          <w:color w:val="auto"/>
        </w:rPr>
        <w:t xml:space="preserve"> of this Section in the aggregate or in the case of an assignment to a Lender, an Affiliate of a Lender or an Approved Fund, no minimum amount need be assigned; and</w:t>
      </w:r>
    </w:p>
    <w:p>
      <w:pPr>
        <w:spacing w:after="0" w:line="163" w:lineRule="exact"/>
        <w:rPr>
          <w:rFonts w:ascii="Times New Roman" w:cs="Times New Roman" w:eastAsia="Times New Roman" w:hAnsi="Times New Roman"/>
          <w:sz w:val="21"/>
          <w:szCs w:val="21"/>
          <w:color w:val="auto"/>
        </w:rPr>
      </w:pPr>
    </w:p>
    <w:p>
      <w:pPr>
        <w:jc w:val="both"/>
        <w:ind w:left="1300" w:firstLine="652"/>
        <w:spacing w:after="0" w:line="250" w:lineRule="auto"/>
        <w:tabs>
          <w:tab w:leader="none" w:pos="2587" w:val="left"/>
        </w:tabs>
        <w:numPr>
          <w:ilvl w:val="2"/>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any case not described in </w:t>
      </w:r>
      <w:r>
        <w:rPr>
          <w:rFonts w:ascii="Times New Roman" w:cs="Times New Roman" w:eastAsia="Times New Roman" w:hAnsi="Times New Roman"/>
          <w:sz w:val="22"/>
          <w:szCs w:val="22"/>
          <w:u w:val="single" w:color="auto"/>
          <w:color w:val="auto"/>
        </w:rPr>
        <w:t>subsection (b)(i)(A)</w:t>
      </w:r>
      <w:r>
        <w:rPr>
          <w:rFonts w:ascii="Times New Roman" w:cs="Times New Roman" w:eastAsia="Times New Roman" w:hAnsi="Times New Roman"/>
          <w:sz w:val="22"/>
          <w:szCs w:val="22"/>
          <w:color w:val="auto"/>
        </w:rPr>
        <w:t xml:space="preserve">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Applicable Facility Agent or, if “Trade Date” is specified in the Assignment and Assumption, as of the Trade Date, shall not be less than $5,000,000, in the case of any assignment in respect of the Revolving Credit Facility, or $1,000,000, in the case of any assignment in respect of any Term Facility, unless each of the Applicable Facility Agent and, so long as no Event of Default has occurred and is continuing, the Company otherwise consents (each such consent not to be unreasonably withheld or delayed).</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0" w:val="left"/>
        </w:tabs>
        <w:numPr>
          <w:ilvl w:val="1"/>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Each partial assignment shall be made as an assignment of a proportionate part of all the assigning Lender’s rights and obligations under this Agreement with respect to the Loans or the Commitment assigned, except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189</w:t>
      </w:r>
    </w:p>
    <w:p>
      <w:pPr>
        <w:sectPr>
          <w:pgSz w:w="11900" w:h="16838" w:orient="portrait"/>
          <w:cols w:equalWidth="0" w:num="1">
            <w:col w:w="11240"/>
          </w:cols>
          <w:pgMar w:left="320" w:top="1413" w:right="339" w:bottom="1440" w:gutter="0" w:footer="0" w:header="0"/>
        </w:sectPr>
      </w:pPr>
    </w:p>
    <w:bookmarkStart w:id="263" w:name="page264"/>
    <w:bookmarkEnd w:id="263"/>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shall not (A) apply to either Swing Line Lender’s rights and obligations in respect of its Swing Line Loans or (B) prohibit any Lender from assigning all or a portion of its rights and obligations among separate Facilities on a non-pro rata basis.</w:t>
      </w:r>
    </w:p>
    <w:p>
      <w:pPr>
        <w:spacing w:after="0" w:line="186" w:lineRule="exact"/>
        <w:rPr>
          <w:sz w:val="20"/>
          <w:szCs w:val="20"/>
          <w:color w:val="auto"/>
        </w:rPr>
      </w:pPr>
    </w:p>
    <w:p>
      <w:pPr>
        <w:ind w:right="20" w:firstLine="644"/>
        <w:spacing w:after="0" w:line="271" w:lineRule="auto"/>
        <w:tabs>
          <w:tab w:leader="none" w:pos="1296"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xml:space="preserve">. No consent shall be required for any assignment except to the extent required by </w:t>
      </w:r>
      <w:r>
        <w:rPr>
          <w:rFonts w:ascii="Times New Roman" w:cs="Times New Roman" w:eastAsia="Times New Roman" w:hAnsi="Times New Roman"/>
          <w:sz w:val="22"/>
          <w:szCs w:val="22"/>
          <w:u w:val="single" w:color="auto"/>
          <w:color w:val="auto"/>
        </w:rPr>
        <w:t>subsection (b)(i)(B)</w:t>
      </w:r>
      <w:r>
        <w:rPr>
          <w:rFonts w:ascii="Times New Roman" w:cs="Times New Roman" w:eastAsia="Times New Roman" w:hAnsi="Times New Roman"/>
          <w:sz w:val="22"/>
          <w:szCs w:val="22"/>
          <w:color w:val="auto"/>
        </w:rPr>
        <w:t xml:space="preserve"> of this Section and, in addition:</w:t>
      </w:r>
    </w:p>
    <w:p>
      <w:pPr>
        <w:spacing w:after="0" w:line="157" w:lineRule="exact"/>
        <w:rPr>
          <w:rFonts w:ascii="Times New Roman" w:cs="Times New Roman" w:eastAsia="Times New Roman" w:hAnsi="Times New Roman"/>
          <w:sz w:val="22"/>
          <w:szCs w:val="22"/>
          <w:color w:val="auto"/>
        </w:rPr>
      </w:pPr>
    </w:p>
    <w:p>
      <w:pPr>
        <w:jc w:val="both"/>
        <w:ind w:left="640" w:firstLine="652"/>
        <w:spacing w:after="0" w:line="251" w:lineRule="auto"/>
        <w:tabs>
          <w:tab w:leader="none" w:pos="1925"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consent of the Company (such consent not to be unreasonably withheld or delayed) shall be required unless (1) a Specified Default has occurred and is continuing at the time of such assignment or (2) such assignment is to a Lender, an Affiliate of a Lender or an Approved 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be deemed to have consented to any such assignment unless it shall object thereto by written notice to the Applicable Facility Agent within seven (7) Business Days after having received notice thereof;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Company’s consent shall not be required during the primary syndication of the Facilities;</w:t>
      </w:r>
    </w:p>
    <w:p>
      <w:pPr>
        <w:spacing w:after="0" w:line="181" w:lineRule="exact"/>
        <w:rPr>
          <w:rFonts w:ascii="Times New Roman" w:cs="Times New Roman" w:eastAsia="Times New Roman" w:hAnsi="Times New Roman"/>
          <w:sz w:val="22"/>
          <w:szCs w:val="22"/>
          <w:color w:val="auto"/>
        </w:rPr>
      </w:pPr>
    </w:p>
    <w:p>
      <w:pPr>
        <w:jc w:val="both"/>
        <w:ind w:left="640" w:firstLine="652"/>
        <w:spacing w:after="0" w:line="253" w:lineRule="auto"/>
        <w:tabs>
          <w:tab w:leader="none" w:pos="1927"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Applicable Facility Agent (such consent not to be unreasonably withheld or delayed) shall be required for assignments in respect of (i) any unfunded Term Commitment or any Revolving Credit Commitment if such assignment is to a Person that is not a Lender with a Commitment in respect of the applicable Facility, an Affiliate of such Lender or an Approved Fund with respect to such Lender or (ii) any Term Loan to a Person that is not a Lender, an Affiliate of a Lender or an Approved Fund; and</w:t>
      </w:r>
    </w:p>
    <w:p>
      <w:pPr>
        <w:spacing w:after="0" w:line="178" w:lineRule="exact"/>
        <w:rPr>
          <w:rFonts w:ascii="Times New Roman" w:cs="Times New Roman" w:eastAsia="Times New Roman" w:hAnsi="Times New Roman"/>
          <w:sz w:val="22"/>
          <w:szCs w:val="22"/>
          <w:color w:val="auto"/>
        </w:rPr>
      </w:pPr>
    </w:p>
    <w:p>
      <w:pPr>
        <w:ind w:left="640" w:firstLine="652"/>
        <w:spacing w:after="0" w:line="271" w:lineRule="auto"/>
        <w:tabs>
          <w:tab w:leader="none" w:pos="1927"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L/C Issuer and each Swing Line Lender shall be required for any assignment in respect of the Revolving Credit Facility (each such consent not to be unreasonably withheld or delayed).</w:t>
      </w:r>
    </w:p>
    <w:p>
      <w:pPr>
        <w:spacing w:after="0" w:line="157" w:lineRule="exact"/>
        <w:rPr>
          <w:rFonts w:ascii="Times New Roman" w:cs="Times New Roman" w:eastAsia="Times New Roman" w:hAnsi="Times New Roman"/>
          <w:sz w:val="22"/>
          <w:szCs w:val="22"/>
          <w:color w:val="auto"/>
        </w:rPr>
      </w:pPr>
    </w:p>
    <w:p>
      <w:pPr>
        <w:jc w:val="both"/>
        <w:ind w:firstLine="644"/>
        <w:spacing w:after="0" w:line="253" w:lineRule="auto"/>
        <w:tabs>
          <w:tab w:leader="none" w:pos="1284"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The parties to each assignment shall execute and deliver to the Applicable Facility Agent an Assignment and Assumption, together with a processing and recordation fee in the amount of $3,500;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Applicable Facility Agent may, in its sole discretion, elect to waive such processing and recordation fee in the case of any assignment. The assignee, if it is not a Lender, shall deliver to the Applicable Facility Agent an Administrative Questionnaire.</w:t>
      </w:r>
    </w:p>
    <w:p>
      <w:pPr>
        <w:spacing w:after="0" w:line="178" w:lineRule="exact"/>
        <w:rPr>
          <w:rFonts w:ascii="Times New Roman" w:cs="Times New Roman" w:eastAsia="Times New Roman" w:hAnsi="Times New Roman"/>
          <w:sz w:val="22"/>
          <w:szCs w:val="22"/>
          <w:color w:val="auto"/>
        </w:rPr>
      </w:pPr>
    </w:p>
    <w:p>
      <w:pPr>
        <w:jc w:val="both"/>
        <w:ind w:firstLine="644"/>
        <w:spacing w:after="0" w:line="253" w:lineRule="auto"/>
        <w:tabs>
          <w:tab w:leader="none" w:pos="1291"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to Certain Persons</w:t>
      </w:r>
      <w:r>
        <w:rPr>
          <w:rFonts w:ascii="Times New Roman" w:cs="Times New Roman" w:eastAsia="Times New Roman" w:hAnsi="Times New Roman"/>
          <w:sz w:val="22"/>
          <w:szCs w:val="22"/>
          <w:color w:val="auto"/>
        </w:rPr>
        <w:t xml:space="preserve">. No such assignment shall be made (A) to the Company or any of the Company’s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or (C) to a natural Person (or a holding company, investment vehicle or trust for, or owned and operated for the primary benefit of a natural Person).</w:t>
      </w:r>
    </w:p>
    <w:p>
      <w:pPr>
        <w:spacing w:after="0" w:line="178" w:lineRule="exact"/>
        <w:rPr>
          <w:rFonts w:ascii="Times New Roman" w:cs="Times New Roman" w:eastAsia="Times New Roman" w:hAnsi="Times New Roman"/>
          <w:sz w:val="22"/>
          <w:szCs w:val="22"/>
          <w:color w:val="auto"/>
        </w:rPr>
      </w:pPr>
    </w:p>
    <w:p>
      <w:pPr>
        <w:ind w:firstLine="644"/>
        <w:spacing w:after="0" w:line="271" w:lineRule="auto"/>
        <w:tabs>
          <w:tab w:leader="none" w:pos="1284"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Additional Payments</w:t>
      </w:r>
      <w:r>
        <w:rPr>
          <w:rFonts w:ascii="Times New Roman" w:cs="Times New Roman" w:eastAsia="Times New Roman" w:hAnsi="Times New Roman"/>
          <w:sz w:val="22"/>
          <w:szCs w:val="22"/>
          <w:color w:val="auto"/>
        </w:rPr>
        <w:t>. In connection with any assignment of rights and obligations of any Defaulting Lender hereunder, no such assignment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190</w:t>
      </w:r>
    </w:p>
    <w:p>
      <w:pPr>
        <w:sectPr>
          <w:pgSz w:w="11900" w:h="16838" w:orient="portrait"/>
          <w:cols w:equalWidth="0" w:num="1">
            <w:col w:w="10580"/>
          </w:cols>
          <w:pgMar w:left="980" w:top="1422" w:right="339" w:bottom="1440" w:gutter="0" w:footer="0" w:header="0"/>
        </w:sectPr>
      </w:pPr>
    </w:p>
    <w:bookmarkStart w:id="264" w:name="page265"/>
    <w:bookmarkEnd w:id="264"/>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effective unless and until, in addition to the other conditions thereto set forth herein, the parties to the assignment shall make such additional payments to the Applicable Facility Agent in an aggregate amount sufficient, upon distribution thereof as appropriate (which may be outright payment, purchases by the assignee of participations or subparticipations, or other compensating actions, including funding, with the consent of the Company and the Applicable Facility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Applicable Facility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4" w:lineRule="exact"/>
        <w:rPr>
          <w:sz w:val="20"/>
          <w:szCs w:val="20"/>
          <w:color w:val="auto"/>
        </w:rPr>
      </w:pPr>
    </w:p>
    <w:p>
      <w:pPr>
        <w:ind w:left="1940" w:hanging="636"/>
        <w:spacing w:after="0"/>
        <w:tabs>
          <w:tab w:leader="none" w:pos="194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by the</w:t>
      </w:r>
    </w:p>
    <w:p>
      <w:pPr>
        <w:spacing w:after="0" w:line="28"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color w:val="auto"/>
        </w:rPr>
        <w:t xml:space="preserve">Applicable Facility Agent pursuant to </w:t>
      </w:r>
      <w:r>
        <w:rPr>
          <w:rFonts w:ascii="Times New Roman" w:cs="Times New Roman" w:eastAsia="Times New Roman" w:hAnsi="Times New Roman"/>
          <w:sz w:val="22"/>
          <w:szCs w:val="22"/>
          <w:u w:val="single" w:color="auto"/>
          <w:color w:val="auto"/>
        </w:rPr>
        <w:t>subsection (c)</w:t>
      </w:r>
      <w:r>
        <w:rPr>
          <w:rFonts w:ascii="Times New Roman" w:cs="Times New Roman" w:eastAsia="Times New Roman" w:hAnsi="Times New Roman"/>
          <w:sz w:val="22"/>
          <w:szCs w:val="22"/>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xml:space="preserve"> with respect to facts and circumstances occurring prior to the effective date of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Borrowers (at the expense of the Company)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2"/>
          <w:szCs w:val="22"/>
          <w:u w:val="single" w:color="auto"/>
          <w:color w:val="auto"/>
        </w:rPr>
        <w:t>subsection (d)</w:t>
      </w:r>
      <w:r>
        <w:rPr>
          <w:rFonts w:ascii="Times New Roman" w:cs="Times New Roman" w:eastAsia="Times New Roman" w:hAnsi="Times New Roman"/>
          <w:sz w:val="22"/>
          <w:szCs w:val="22"/>
          <w:color w:val="auto"/>
        </w:rPr>
        <w:t xml:space="preserve"> of this Section.</w:t>
      </w:r>
    </w:p>
    <w:p>
      <w:pPr>
        <w:spacing w:after="0" w:line="193" w:lineRule="exact"/>
        <w:rPr>
          <w:sz w:val="20"/>
          <w:szCs w:val="20"/>
          <w:color w:val="auto"/>
        </w:rPr>
      </w:pPr>
    </w:p>
    <w:p>
      <w:pPr>
        <w:jc w:val="both"/>
        <w:ind w:firstLine="656"/>
        <w:spacing w:after="0" w:line="251" w:lineRule="auto"/>
        <w:tabs>
          <w:tab w:leader="none" w:pos="1291"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Each Administrative Agent, acting solely for this purpose as an agent of the Borrowers (and such agency being solely for tax purposes), shall maintain at the applicable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191</w:t>
      </w:r>
    </w:p>
    <w:p>
      <w:pPr>
        <w:sectPr>
          <w:pgSz w:w="11900" w:h="16838" w:orient="portrait"/>
          <w:cols w:equalWidth="0" w:num="1">
            <w:col w:w="11240"/>
          </w:cols>
          <w:pgMar w:left="320" w:top="1422" w:right="339" w:bottom="1440" w:gutter="0" w:footer="0" w:header="0"/>
        </w:sectPr>
      </w:pPr>
    </w:p>
    <w:bookmarkStart w:id="265" w:name="page266"/>
    <w:bookmarkEnd w:id="265"/>
    <w:p>
      <w:pPr>
        <w:jc w:val="both"/>
        <w:spacing w:after="0" w:line="257" w:lineRule="auto"/>
        <w:rPr>
          <w:sz w:val="20"/>
          <w:szCs w:val="20"/>
          <w:color w:val="auto"/>
        </w:rPr>
      </w:pPr>
      <w:r>
        <w:rPr>
          <w:rFonts w:ascii="Times New Roman" w:cs="Times New Roman" w:eastAsia="Times New Roman" w:hAnsi="Times New Roman"/>
          <w:sz w:val="22"/>
          <w:szCs w:val="22"/>
          <w:color w:val="auto"/>
        </w:rPr>
        <w:t>the Borrowers, each Administrative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w:t>
      </w:r>
    </w:p>
    <w:p>
      <w:pPr>
        <w:spacing w:after="0" w:line="186" w:lineRule="exact"/>
        <w:rPr>
          <w:sz w:val="20"/>
          <w:szCs w:val="20"/>
          <w:color w:val="auto"/>
        </w:rPr>
      </w:pPr>
    </w:p>
    <w:p>
      <w:pPr>
        <w:jc w:val="both"/>
        <w:ind w:firstLine="656"/>
        <w:spacing w:after="0" w:line="247" w:lineRule="auto"/>
        <w:tabs>
          <w:tab w:leader="none" w:pos="1293"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Any Lender may at any time, without the consent of, or notice to, the Company, the Applicable Facility Agent, L/C Issuer or Swing Line Lender, sell participations to any Person (other than a natural Person, or a holding company, investment vehicle or trust for, or owned and operated for the primary benefit of a natural Person, a Defaulting Lender or a Borrower or any Borrower’s Affiliates or Subsidiaries)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Lender’s obligations under this Agreement shall remain unchanged, (ii) such Lender shall remain solely responsible to the other parties hereto for the performance of such obligations and (iii) the Borrowers, the Applicable Facility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xml:space="preserve"> without regard to the existence of any participation.</w:t>
      </w:r>
    </w:p>
    <w:p>
      <w:pPr>
        <w:spacing w:after="0" w:line="20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xml:space="preserve"> that affects such Participant. The Borrowers agree that each Participant shall be entitled to the benefits of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to the same extent as if it were a Lender and had acquired its interest by assignment pursuant to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of this Section (it being understood that the documentation required under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shall be delivered to the Lender who sells the participation) to the same extent as if it were a Lender and had acquired its interest by assignment pursuant to paragraph (b) of this Section;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 agrees to be subject to the provisions of </w:t>
      </w:r>
      <w:r>
        <w:rPr>
          <w:rFonts w:ascii="Times New Roman" w:cs="Times New Roman" w:eastAsia="Times New Roman" w:hAnsi="Times New Roman"/>
          <w:sz w:val="21"/>
          <w:szCs w:val="21"/>
          <w:u w:val="single" w:color="auto"/>
          <w:color w:val="auto"/>
        </w:rPr>
        <w:t>Sections 3.06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10.13</w:t>
      </w:r>
      <w:r>
        <w:rPr>
          <w:rFonts w:ascii="Times New Roman" w:cs="Times New Roman" w:eastAsia="Times New Roman" w:hAnsi="Times New Roman"/>
          <w:sz w:val="21"/>
          <w:szCs w:val="21"/>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 xml:space="preserve"> as though it were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agrees to be subject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192</w:t>
      </w:r>
    </w:p>
    <w:p>
      <w:pPr>
        <w:sectPr>
          <w:pgSz w:w="11900" w:h="16838" w:orient="portrait"/>
          <w:cols w:equalWidth="0" w:num="1">
            <w:col w:w="11240"/>
          </w:cols>
          <w:pgMar w:left="320" w:top="1422" w:right="339" w:bottom="1440" w:gutter="0" w:footer="0" w:header="0"/>
        </w:sectPr>
      </w:pPr>
    </w:p>
    <w:bookmarkStart w:id="266" w:name="page267"/>
    <w:bookmarkEnd w:id="266"/>
    <w:p>
      <w:pPr>
        <w:jc w:val="both"/>
        <w:spacing w:after="0" w:line="249" w:lineRule="auto"/>
        <w:rPr>
          <w:sz w:val="20"/>
          <w:szCs w:val="20"/>
          <w:color w:val="auto"/>
        </w:rPr>
      </w:pPr>
      <w:r>
        <w:rPr>
          <w:rFonts w:ascii="Times New Roman" w:cs="Times New Roman" w:eastAsia="Times New Roman" w:hAnsi="Times New Roman"/>
          <w:sz w:val="22"/>
          <w:szCs w:val="22"/>
          <w:color w:val="auto"/>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Agents (in their capacity as Administrative Agents) shall have no responsibility for maintaining a Participant Register.</w:t>
      </w:r>
    </w:p>
    <w:p>
      <w:pPr>
        <w:spacing w:after="0" w:line="195" w:lineRule="exact"/>
        <w:rPr>
          <w:sz w:val="20"/>
          <w:szCs w:val="20"/>
          <w:color w:val="auto"/>
        </w:rPr>
      </w:pPr>
    </w:p>
    <w:p>
      <w:pPr>
        <w:jc w:val="both"/>
        <w:ind w:firstLine="656"/>
        <w:spacing w:after="0" w:line="268" w:lineRule="auto"/>
        <w:tabs>
          <w:tab w:leader="none" w:pos="1291"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Pledges</w:t>
      </w:r>
      <w:r>
        <w:rPr>
          <w:rFonts w:ascii="Times New Roman" w:cs="Times New Roman" w:eastAsia="Times New Roman" w:hAnsi="Times New Roman"/>
          <w:sz w:val="21"/>
          <w:szCs w:val="21"/>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pledge or assignment shall release such Lender from any of its obligations hereunder or substitute any such pledgee or assignee for such Lender as a party hereto.</w:t>
      </w:r>
    </w:p>
    <w:p>
      <w:pPr>
        <w:spacing w:after="0" w:line="163" w:lineRule="exact"/>
        <w:rPr>
          <w:rFonts w:ascii="Times New Roman" w:cs="Times New Roman" w:eastAsia="Times New Roman" w:hAnsi="Times New Roman"/>
          <w:sz w:val="21"/>
          <w:szCs w:val="21"/>
          <w:color w:val="auto"/>
        </w:rPr>
      </w:pPr>
    </w:p>
    <w:p>
      <w:pPr>
        <w:jc w:val="both"/>
        <w:ind w:firstLine="656"/>
        <w:spacing w:after="0" w:line="247" w:lineRule="auto"/>
        <w:tabs>
          <w:tab w:leader="none" w:pos="1293"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as L/C Issuer or Swing Line Lender after Assignment</w:t>
      </w:r>
      <w:r>
        <w:rPr>
          <w:rFonts w:ascii="Times New Roman" w:cs="Times New Roman" w:eastAsia="Times New Roman" w:hAnsi="Times New Roman"/>
          <w:sz w:val="22"/>
          <w:szCs w:val="22"/>
          <w:color w:val="auto"/>
        </w:rPr>
        <w:t xml:space="preserve">. Notwithstanding anything to the contrary contained herein, if at any time Bank of America assigns all of its Revolving Credit Commitment and Revolving Credit Loans pursuant to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 xml:space="preserve">, Bank of America or BofA Europe, as applicable, may, (i) upon 30 days’ notice to the Company and the Lenders, resign as L/C Issuer and/or (ii) upon 30 days’ notice to the Company, resign as one or more Swing Line Lenders. In the event of any such resignation as L/C Issuer or a Swing Line Lender, the Company shall be entitled to appoint from among the Lenders a successor L/C Issuer or applicable Swing Line Lender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failure by the Company to appoint any such successor shall affect the resignation of Bank of America or BofA Europe, as applicable,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If Bank of America or BofA Europe resigns as a Swing Line Lender, it shall retain all the rights of such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193</w:t>
      </w:r>
    </w:p>
    <w:p>
      <w:pPr>
        <w:sectPr>
          <w:pgSz w:w="11900" w:h="16838" w:orient="portrait"/>
          <w:cols w:equalWidth="0" w:num="1">
            <w:col w:w="11240"/>
          </w:cols>
          <w:pgMar w:left="320" w:top="1422" w:right="339" w:bottom="1440" w:gutter="0" w:footer="0" w:header="0"/>
        </w:sectPr>
      </w:pPr>
    </w:p>
    <w:bookmarkStart w:id="267" w:name="page268"/>
    <w:bookmarkEnd w:id="267"/>
    <w:p>
      <w:pPr>
        <w:jc w:val="both"/>
        <w:ind w:firstLine="656"/>
        <w:spacing w:after="0" w:line="249" w:lineRule="auto"/>
        <w:tabs>
          <w:tab w:leader="none" w:pos="1296"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Disqualified Institutions</w:t>
      </w:r>
      <w:r>
        <w:rPr>
          <w:rFonts w:ascii="Times New Roman" w:cs="Times New Roman" w:eastAsia="Times New Roman" w:hAnsi="Times New Roman"/>
          <w:sz w:val="22"/>
          <w:szCs w:val="22"/>
          <w:color w:val="auto"/>
        </w:rPr>
        <w:t>. (i) No assignment shall be made to any Person that was a Disqualified Institution as of the date (the “</w:t>
      </w:r>
      <w:r>
        <w:rPr>
          <w:rFonts w:ascii="Times New Roman" w:cs="Times New Roman" w:eastAsia="Times New Roman" w:hAnsi="Times New Roman"/>
          <w:sz w:val="22"/>
          <w:szCs w:val="22"/>
          <w:u w:val="single" w:color="auto"/>
          <w:color w:val="auto"/>
        </w:rPr>
        <w:t>Trade Date</w:t>
      </w:r>
      <w:r>
        <w:rPr>
          <w:rFonts w:ascii="Times New Roman" w:cs="Times New Roman" w:eastAsia="Times New Roman" w:hAnsi="Times New Roman"/>
          <w:sz w:val="22"/>
          <w:szCs w:val="22"/>
          <w:color w:val="auto"/>
        </w:rPr>
        <w:t xml:space="preserve">”) on which the applicable Lender entered into a binding agreement to sell and assign all or a portion of its rights and obligations under this Agreement to such Person (unless the Company has consented to such assignment as otherwise contemplated by this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in which case such Person will not be considered a Disqualified Institution for the purpose of such assignment). For the avoidance of doubt, with respect to any assignee that becomes a Disqualified Institution after the applicable Trade Date (including as a result of the delivery of a notice pursuant to, and/or the expiration of the notice period referred to in, the definition of “Disqualified Institution”), (x) such assignee shall not retroactively be disqualified from becoming a Lender and (y) the execution by the Company of an Assignment and Assumption with respect to such assignee will not by itself result in such assignee no longer being considered a Disqualified Institution. Any assignment in violation of this clause (g)(i) shall not be void, but the other provisions of this clause (g) shall apply.</w:t>
      </w:r>
    </w:p>
    <w:p>
      <w:pPr>
        <w:spacing w:after="0" w:line="174" w:lineRule="exact"/>
        <w:rPr>
          <w:sz w:val="20"/>
          <w:szCs w:val="20"/>
          <w:color w:val="auto"/>
        </w:rPr>
      </w:pPr>
    </w:p>
    <w:p>
      <w:pPr>
        <w:ind w:right="20" w:firstLine="656"/>
        <w:spacing w:after="0" w:line="250" w:lineRule="auto"/>
        <w:tabs>
          <w:tab w:leader="none" w:pos="1088"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assignment is made to any Disqualified Institution without the Company’s prior consent in violation of clause (i) above, the Company may, at its sole expense and effort, upon notice to the applicable Disqualified Institution and the Applicable Facility Agent, (A) terminate any Revolving Credit Commitment of such Disqualified Institution and repay all obligations of the Borrowers owing to such Disqualified Institution in connection with such Revolving Credit Commitment, (B) in the case of outstanding Term Loans held by Disqualified Institutions, prepay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all of its interest, rights and obligations under this Agreement and related Loan Documents to an Eligible Assignee that shall assume such obligations at the lesser of (x) the principal amount thereof and (y) the amount that such Disqualified Institution paid to acquire such interests, rights and obligations, in each case plus accrued interest, accrued fees and all other amounts (other than principal amounts) payable to it hereunder and other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Borrowers shall have paid to the Applicable Facility Agent the assignment fee (if any) specified in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(ii) such assignment does not conflict with applicable Laws and (iii) in the case of clause (B), the Borrowers shall not use the proceeds from any Loans to prepay Term Loans held by Disqualified Institutions.</w:t>
      </w:r>
    </w:p>
    <w:p>
      <w:pPr>
        <w:spacing w:after="0" w:line="183" w:lineRule="exact"/>
        <w:rPr>
          <w:rFonts w:ascii="Times New Roman" w:cs="Times New Roman" w:eastAsia="Times New Roman" w:hAnsi="Times New Roman"/>
          <w:sz w:val="20"/>
          <w:szCs w:val="20"/>
          <w:color w:val="auto"/>
        </w:rPr>
      </w:pPr>
    </w:p>
    <w:p>
      <w:pPr>
        <w:ind w:right="40" w:firstLine="656"/>
        <w:spacing w:after="0" w:line="250" w:lineRule="auto"/>
        <w:tabs>
          <w:tab w:leader="none" w:pos="1143"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Disqualified Institutions (A) will not (x) have the right to receive information, reports or other materials provided to Lenders by the Loan Parties, the Administrative Agents or any other Lender, (y) attend or participate in meetings attended by the Lenders and the Administrative Agents, or (z) access any electronic site established for the Lenders or confidential communications from counsel to or financial advisors of the Administrative Agents or the Lenders and (B) (x) for purposes of any consent to any amendment, waiver or modification of, or any action under, and for the purpose of any direction to the Administrative Agents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Debtor Relief Laws (“</w:t>
      </w:r>
      <w:r>
        <w:rPr>
          <w:rFonts w:ascii="Times New Roman" w:cs="Times New Roman" w:eastAsia="Times New Roman" w:hAnsi="Times New Roman"/>
          <w:sz w:val="20"/>
          <w:szCs w:val="20"/>
          <w:u w:val="single" w:color="auto"/>
          <w:color w:val="auto"/>
        </w:rPr>
        <w:t>Plan of Reorganization</w:t>
      </w:r>
      <w:r>
        <w:rPr>
          <w:rFonts w:ascii="Times New Roman" w:cs="Times New Roman" w:eastAsia="Times New Roman" w:hAnsi="Times New Roman"/>
          <w:sz w:val="20"/>
          <w:szCs w:val="20"/>
          <w:color w:val="auto"/>
        </w:rPr>
        <w:t>”), each Disqualified Institution party hereto hereby agrees (1) not to vote on such Plan of Reorganization, (2) if such Disqualified Institution does vote on such Plan of Reorganization notwithstanding the restriction in the foregoing clause (1), such vote will be deemed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194</w:t>
      </w:r>
    </w:p>
    <w:p>
      <w:pPr>
        <w:sectPr>
          <w:pgSz w:w="11900" w:h="16838" w:orient="portrait"/>
          <w:cols w:equalWidth="0" w:num="1">
            <w:col w:w="11240"/>
          </w:cols>
          <w:pgMar w:left="320" w:top="1422" w:right="339" w:bottom="1440" w:gutter="0" w:footer="0" w:header="0"/>
        </w:sectPr>
      </w:pPr>
    </w:p>
    <w:bookmarkStart w:id="268" w:name="page269"/>
    <w:bookmarkEnd w:id="268"/>
    <w:p>
      <w:pPr>
        <w:ind w:right="220"/>
        <w:spacing w:after="0" w:line="267" w:lineRule="auto"/>
        <w:rPr>
          <w:sz w:val="20"/>
          <w:szCs w:val="20"/>
          <w:color w:val="auto"/>
        </w:rPr>
      </w:pPr>
      <w:r>
        <w:rPr>
          <w:rFonts w:ascii="Times New Roman" w:cs="Times New Roman" w:eastAsia="Times New Roman" w:hAnsi="Times New Roman"/>
          <w:sz w:val="19"/>
          <w:szCs w:val="19"/>
          <w:color w:val="auto"/>
        </w:rPr>
        <w:t>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w:t>
      </w:r>
    </w:p>
    <w:p>
      <w:pPr>
        <w:spacing w:after="0" w:line="2" w:lineRule="exact"/>
        <w:rPr>
          <w:sz w:val="20"/>
          <w:szCs w:val="20"/>
          <w:color w:val="auto"/>
        </w:rPr>
      </w:pPr>
    </w:p>
    <w:p>
      <w:pPr>
        <w:ind w:right="160" w:firstLine="8"/>
        <w:spacing w:after="0" w:line="253" w:lineRule="auto"/>
        <w:tabs>
          <w:tab w:leader="none" w:pos="28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contest any request by any party for a determination by the Bankruptcy Court (or other applicable court of competent jurisdiction) effectuating the foregoing clause (2).</w:t>
      </w:r>
    </w:p>
    <w:p>
      <w:pPr>
        <w:spacing w:after="0" w:line="188"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Administrative Agent shall have the right, and the Company hereby expressly authorizes each Administrative Agent, to</w:t>
      </w:r>
    </w:p>
    <w:p>
      <w:pPr>
        <w:spacing w:after="0" w:line="28" w:lineRule="exact"/>
        <w:rPr>
          <w:rFonts w:ascii="Times New Roman" w:cs="Times New Roman" w:eastAsia="Times New Roman" w:hAnsi="Times New Roman"/>
          <w:sz w:val="20"/>
          <w:szCs w:val="20"/>
          <w:color w:val="auto"/>
        </w:rPr>
      </w:pPr>
    </w:p>
    <w:p>
      <w:pPr>
        <w:jc w:val="both"/>
        <w:ind w:right="4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post the list of Disqualified Institutions provided by the Company and any updates thereto from time to time (collectively, the “</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on the Platform, including that portion of the Platform that is designated for “public side” Lenders or (B) provide the DQ List to each Lender requesting the same.</w:t>
      </w:r>
    </w:p>
    <w:p>
      <w:pPr>
        <w:spacing w:after="0" w:line="184" w:lineRule="exact"/>
        <w:rPr>
          <w:sz w:val="20"/>
          <w:szCs w:val="20"/>
          <w:color w:val="auto"/>
        </w:rPr>
      </w:pPr>
    </w:p>
    <w:p>
      <w:pPr>
        <w:jc w:val="both"/>
        <w:ind w:firstLine="656"/>
        <w:spacing w:after="0" w:line="256" w:lineRule="auto"/>
        <w:tabs>
          <w:tab w:leader="none" w:pos="1291"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Buybacks</w:t>
      </w:r>
      <w:r>
        <w:rPr>
          <w:rFonts w:ascii="Times New Roman" w:cs="Times New Roman" w:eastAsia="Times New Roman" w:hAnsi="Times New Roman"/>
          <w:sz w:val="22"/>
          <w:szCs w:val="22"/>
          <w:color w:val="auto"/>
        </w:rPr>
        <w:t xml:space="preserve">. Notwithstanding anything in this Agreement to the contrary, any Term Lender may, at any time, assign all or a portion of its Term Loans to a Borrower, the Company or a Subsidiary of the Company in accordance with the procedures set forth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pursuant to an offer made available to all Term Lenders on a pro rata basis (a “</w:t>
      </w:r>
      <w:r>
        <w:rPr>
          <w:rFonts w:ascii="Times New Roman" w:cs="Times New Roman" w:eastAsia="Times New Roman" w:hAnsi="Times New Roman"/>
          <w:sz w:val="22"/>
          <w:szCs w:val="22"/>
          <w:u w:val="single" w:color="auto"/>
          <w:color w:val="auto"/>
        </w:rPr>
        <w:t>Dutch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Auction</w:t>
      </w:r>
      <w:r>
        <w:rPr>
          <w:rFonts w:ascii="Times New Roman" w:cs="Times New Roman" w:eastAsia="Times New Roman" w:hAnsi="Times New Roman"/>
          <w:sz w:val="22"/>
          <w:szCs w:val="22"/>
          <w:color w:val="auto"/>
        </w:rPr>
        <w:t>”) or on a non-pro rata basis through open-market purchases, in each case, subject to the following limitations:</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44"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Borrower or any of their respective Subsidiaries is the assignee, immediately and automatically, without any further action on the part of the Borrowers, any Lender, the Applicable Facility Agent or any other Person, upon the effectiveness of such assignment of Term Loans from a Term Lender to such Person, such Term Loans and all rights and obligations as a Term Lender related thereto shall, for all purposes under this Agreement, the other Credit Documents and otherwise, be deemed to be irrevocably prepaid, terminated, extinguished, cancelled and of no further force and effect and such Person shall neither obtain nor have any rights as a Term Lender hereunder or under the other Loan Documents by virtue of such assignment;</w:t>
      </w:r>
    </w:p>
    <w:p>
      <w:pPr>
        <w:spacing w:after="0" w:line="18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proceeds of any Revolving Credit Loan or Swing Line Loan shall be used for any such assignment;</w:t>
      </w:r>
    </w:p>
    <w:p>
      <w:pPr>
        <w:spacing w:after="0" w:line="233" w:lineRule="exact"/>
        <w:rPr>
          <w:rFonts w:ascii="Times New Roman" w:cs="Times New Roman" w:eastAsia="Times New Roman" w:hAnsi="Times New Roman"/>
          <w:sz w:val="22"/>
          <w:szCs w:val="22"/>
          <w:color w:val="auto"/>
        </w:rPr>
      </w:pPr>
    </w:p>
    <w:p>
      <w:pPr>
        <w:ind w:left="660" w:firstLine="644"/>
        <w:spacing w:after="0" w:line="271" w:lineRule="auto"/>
        <w:tabs>
          <w:tab w:leader="none" w:pos="1956"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before or immediately after giving effect to such assignment; and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944"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Borrower shall, as of the date of the launch of the Dutch Auction, if applicable, and on the date of any such assignment, either (A) represent (the “</w:t>
      </w:r>
      <w:r>
        <w:rPr>
          <w:rFonts w:ascii="Times New Roman" w:cs="Times New Roman" w:eastAsia="Times New Roman" w:hAnsi="Times New Roman"/>
          <w:sz w:val="22"/>
          <w:szCs w:val="22"/>
          <w:u w:val="single" w:color="auto"/>
          <w:color w:val="auto"/>
        </w:rPr>
        <w:t>MNPI Representation</w:t>
      </w:r>
      <w:r>
        <w:rPr>
          <w:rFonts w:ascii="Times New Roman" w:cs="Times New Roman" w:eastAsia="Times New Roman" w:hAnsi="Times New Roman"/>
          <w:sz w:val="22"/>
          <w:szCs w:val="22"/>
          <w:color w:val="auto"/>
        </w:rPr>
        <w:t>”) to the Applicable Facility Agent and the Term Lenders that it does not have any material non-public information (“</w:t>
      </w:r>
      <w:r>
        <w:rPr>
          <w:rFonts w:ascii="Times New Roman" w:cs="Times New Roman" w:eastAsia="Times New Roman" w:hAnsi="Times New Roman"/>
          <w:sz w:val="22"/>
          <w:szCs w:val="22"/>
          <w:u w:val="single" w:color="auto"/>
          <w:color w:val="auto"/>
        </w:rPr>
        <w:t>MNPI</w:t>
      </w:r>
      <w:r>
        <w:rPr>
          <w:rFonts w:ascii="Times New Roman" w:cs="Times New Roman" w:eastAsia="Times New Roman" w:hAnsi="Times New Roman"/>
          <w:sz w:val="22"/>
          <w:szCs w:val="22"/>
          <w:color w:val="auto"/>
        </w:rPr>
        <w:t>”) with respect to any Loan Party or any of their respective Subsidiaries that (1) has not been disclosed to the Lenders (other than Lenders that do not wish to receive MNPI with respect to the Borrowers, the Company or any of its Subsidiaries) prior to such time and (2) in such Person’s good faith determination could reasonably be expected to have a material effect upon (x) a Term Lender’s decision to assign all or a portion of its Term Loans to the Borrowers or the Company or (y) the market price of the Term Loans or (B) disclose to the relevant Lenders that it is not making such MNPI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195</w:t>
      </w:r>
    </w:p>
    <w:p>
      <w:pPr>
        <w:sectPr>
          <w:pgSz w:w="11900" w:h="16838" w:orient="portrait"/>
          <w:cols w:equalWidth="0" w:num="1">
            <w:col w:w="11240"/>
          </w:cols>
          <w:pgMar w:left="320" w:top="1413" w:right="339" w:bottom="1440" w:gutter="0" w:footer="0" w:header="0"/>
        </w:sectPr>
      </w:pPr>
    </w:p>
    <w:bookmarkStart w:id="269" w:name="page270"/>
    <w:bookmarkEnd w:id="269"/>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 xml:space="preserve">10.07 </w:t>
      </w:r>
      <w:r>
        <w:rPr>
          <w:rFonts w:ascii="Times New Roman" w:cs="Times New Roman" w:eastAsia="Times New Roman" w:hAnsi="Times New Roman"/>
          <w:sz w:val="22"/>
          <w:szCs w:val="22"/>
          <w:u w:val="single" w:color="auto"/>
          <w:color w:val="auto"/>
        </w:rPr>
        <w:t>Treatment of Certain Information; Confidentiality</w:t>
      </w:r>
      <w:r>
        <w:rPr>
          <w:rFonts w:ascii="Times New Roman" w:cs="Times New Roman" w:eastAsia="Times New Roman" w:hAnsi="Times New Roman"/>
          <w:sz w:val="19"/>
          <w:szCs w:val="19"/>
          <w:color w:val="auto"/>
        </w:rPr>
        <w:t>. Each of the Administrative Agents, the Lenders and the L/C Issuer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agrees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(ii) any actual or prospective party (or its Related Parties) to any swap, derivative or other transaction under which payments are to be made by reference to any Borrower and its obligations, this Agreement or payments hereunder (it being understood that the DQ List may be disclosed to any assignee, or prospective assignee, in reliance on this clause (f)) or (iii) any actual or prospective insurers, reinsurers or brokers (and in each case their Related Parties) in connection with providing insurance, reinsurance or credit risk mitigation in connection with the Company and its obligations, this Agreement or payments hereunder, (g) on a confidential basis to (i) any rating agency in connection with rating the Company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Company or (i) to the extent such Information (i) becomes publicly available other than as a result of a breach of this Section or (ii) becomes available to any Administrative Agent, any Lender, the L/C Issuer or any of their respective Affiliates on a nonconfidential basis from a source other than the Borrowers. In addition, the Administrative Agents and the Lenders may disclose the existence of this Agreement and information about this Agreement, in a manner consistent with United States federal securities Laws, to market data collectors, similar service providers to the lending industry and service providers to the Administrative Agents and the Lenders in connection with the administration of this Agreement, the other Loan Documents, and the Commitments.</w:t>
      </w:r>
    </w:p>
    <w:p>
      <w:pPr>
        <w:spacing w:after="0" w:line="22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For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means all information received from any Loan Party or any Subsidiary relating to any Loan Party or any Subsidiary or any of their respective businesses, other than any such information that is available to an Administrative Agent, any Lender or the L/C Issuer on a nonconfidential basis prior to disclosure by any Loan Party or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information received from any Loan Party or any Subsidiary after the Amendment No. 4 Effective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196</w:t>
      </w:r>
    </w:p>
    <w:p>
      <w:pPr>
        <w:sectPr>
          <w:pgSz w:w="11900" w:h="16838" w:orient="portrait"/>
          <w:cols w:equalWidth="0" w:num="1">
            <w:col w:w="11240"/>
          </w:cols>
          <w:pgMar w:left="320" w:top="1422" w:right="339" w:bottom="1440" w:gutter="0" w:footer="0" w:header="0"/>
        </w:sectPr>
      </w:pPr>
    </w:p>
    <w:bookmarkStart w:id="270" w:name="page271"/>
    <w:bookmarkEnd w:id="270"/>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Each of the Administrative Agents,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10.08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19"/>
          <w:szCs w:val="19"/>
          <w:color w:val="auto"/>
        </w:rPr>
        <w:t>. If an Event of Default shall have occurred and be continuing, each Lender, the L/C Issuer and each of their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or the L/C Issuer, irrespective of whether or not such Lender or the L/C Issuer shall have made any demand under this Agreement or any other Loan Document and although such obligations of such Loan Party may be contingent or unmatured or are owed to a branch or office or Affiliate of such Lender or the L/C Issuer different from the branch,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 (x) all amounts so set off shall be paid over immediately to the Applicable Facility Agent for further application in accordance with the provisions of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2.18</w:t>
      </w:r>
      <w:r>
        <w:rPr>
          <w:rFonts w:ascii="Times New Roman" w:cs="Times New Roman" w:eastAsia="Times New Roman" w:hAnsi="Times New Roman"/>
          <w:sz w:val="19"/>
          <w:szCs w:val="19"/>
          <w:color w:val="auto"/>
        </w:rPr>
        <w:t xml:space="preserve"> and, pending such payment, shall be segregated by such Defaulting Lender from its other funds and deemed held in trust for the benefit of the Applicable Facility Agent and the Lenders, and (y) the Defaulting Lender shall provide promptly to the Applicable Facility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Applicable Facility Agent promptly after any such setoff and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w:t>
      </w:r>
    </w:p>
    <w:p>
      <w:pPr>
        <w:spacing w:after="0" w:line="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 xml:space="preserve">10.09 </w:t>
      </w: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19"/>
          <w:szCs w:val="19"/>
          <w:color w:val="auto"/>
        </w:rPr>
        <w:t>. Notwithstanding anything to the contrary contained in any Loan Document, the interest paid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agreed to be paid under the Loan Documents shall not exceed the maximum rate of non-usurious interest permitted by applicable Law (the “</w:t>
      </w:r>
      <w:r>
        <w:rPr>
          <w:rFonts w:ascii="Times New Roman" w:cs="Times New Roman" w:eastAsia="Times New Roman" w:hAnsi="Times New Roman"/>
          <w:sz w:val="19"/>
          <w:szCs w:val="19"/>
          <w:u w:val="single" w:color="auto"/>
          <w:color w:val="auto"/>
        </w:rPr>
        <w:t>Maximum Rate</w:t>
      </w:r>
      <w:r>
        <w:rPr>
          <w:rFonts w:ascii="Times New Roman" w:cs="Times New Roman" w:eastAsia="Times New Roman" w:hAnsi="Times New Roman"/>
          <w:sz w:val="19"/>
          <w:szCs w:val="19"/>
          <w:color w:val="auto"/>
        </w:rPr>
        <w:t>”). If any of the Administrative Agents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Applicable Facility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197</w:t>
      </w:r>
    </w:p>
    <w:p>
      <w:pPr>
        <w:sectPr>
          <w:pgSz w:w="11900" w:h="16838" w:orient="portrait"/>
          <w:cols w:equalWidth="0" w:num="1">
            <w:col w:w="11240"/>
          </w:cols>
          <w:pgMar w:left="320" w:top="1422" w:right="339" w:bottom="1440" w:gutter="0" w:footer="0" w:header="0"/>
        </w:sectPr>
      </w:pPr>
    </w:p>
    <w:bookmarkStart w:id="271" w:name="page272"/>
    <w:bookmarkEnd w:id="271"/>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u w:val="single" w:color="auto"/>
          <w:color w:val="auto"/>
        </w:rPr>
        <w:t>Integration; Effectiveness</w:t>
      </w:r>
      <w:r>
        <w:rPr>
          <w:rFonts w:ascii="Times New Roman" w:cs="Times New Roman" w:eastAsia="Times New Roman" w:hAnsi="Times New Roman"/>
          <w:sz w:val="19"/>
          <w:szCs w:val="19"/>
          <w:color w:val="auto"/>
        </w:rPr>
        <w:t>. This Agreement, and the other Loan Documents and any separate letter agreements with respect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to fees payable to the Administrative Agents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this Agreement shall become effective when it shall have been executed by the Administrative Agents and when the Administrative Agents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10.11 </w:t>
      </w:r>
      <w:r>
        <w:rPr>
          <w:rFonts w:ascii="Times New Roman" w:cs="Times New Roman" w:eastAsia="Times New Roman" w:hAnsi="Times New Roman"/>
          <w:sz w:val="22"/>
          <w:szCs w:val="22"/>
          <w:u w:val="single" w:color="auto"/>
          <w:color w:val="auto"/>
        </w:rPr>
        <w:t>Survival of Representations and Warranties</w:t>
      </w:r>
      <w:r>
        <w:rPr>
          <w:rFonts w:ascii="Times New Roman" w:cs="Times New Roman" w:eastAsia="Times New Roman" w:hAnsi="Times New Roman"/>
          <w:sz w:val="19"/>
          <w:szCs w:val="19"/>
          <w:color w:val="auto"/>
        </w:rPr>
        <w:t>. All representations and warranties made hereunder and in any other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Document or other document delivered pursuant hereto or thereto or in connection herewith or therewith shall survive the execution and delivery hereof and thereof. Such representations and warranties have been or will be relied upon by the Administrative Agents and each Lender, regardless of any investigation made by the Administrative Agents or any Lender or on their behalf and notwithstanding that the Administrative Agents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10.12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19"/>
          <w:szCs w:val="19"/>
          <w:color w:val="auto"/>
        </w:rPr>
        <w:t>. If any provision of this Agreement or the other Loan Documents is held to be illegal, invalid or unenforceable,</w:t>
      </w:r>
    </w:p>
    <w:p>
      <w:pPr>
        <w:spacing w:after="0" w:line="10" w:lineRule="exact"/>
        <w:rPr>
          <w:sz w:val="20"/>
          <w:szCs w:val="20"/>
          <w:color w:val="auto"/>
        </w:rPr>
      </w:pPr>
    </w:p>
    <w:p>
      <w:pPr>
        <w:jc w:val="both"/>
        <w:ind w:firstLine="8"/>
        <w:spacing w:after="0" w:line="247" w:lineRule="auto"/>
        <w:tabs>
          <w:tab w:leader="none" w:pos="272"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Agents, the L/C Issuer or either Swing Line Lender, as applicable, then such provisions shall be deemed to be in effect only to the extent not so limited.</w:t>
      </w:r>
    </w:p>
    <w:p>
      <w:pPr>
        <w:spacing w:after="0" w:line="3" w:lineRule="exact"/>
        <w:rPr>
          <w:rFonts w:ascii="Times New Roman" w:cs="Times New Roman" w:eastAsia="Times New Roman" w:hAnsi="Times New Roman"/>
          <w:sz w:val="20"/>
          <w:szCs w:val="20"/>
          <w:color w:val="auto"/>
        </w:rPr>
      </w:pPr>
    </w:p>
    <w:p>
      <w:pPr>
        <w:jc w:val="both"/>
        <w:ind w:firstLine="648"/>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10.13 </w:t>
      </w: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19"/>
          <w:szCs w:val="19"/>
          <w:color w:val="auto"/>
        </w:rPr>
        <w:t>. If the Company is entitled to replace a Lender pursuant to the provisions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Section 3.06</w:t>
      </w:r>
      <w:r>
        <w:rPr>
          <w:rFonts w:ascii="Times New Roman" w:cs="Times New Roman" w:eastAsia="Times New Roman" w:hAnsi="Times New Roman"/>
          <w:sz w:val="19"/>
          <w:szCs w:val="19"/>
          <w:color w:val="auto"/>
        </w:rPr>
        <w:t>, or if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any Lender is a Defaulting Lender or a Non-Consenting Lender or if any other circumstance exists hereunder that gives the Company the right to replace a Lender as a party hereto, then the Company may, at its sole expense and effort, upon notice to such Lender and the Applicable Facility Agent, require such Lender to assign and delegate, without recourse (in accordance with and subject to the restrictions contained in, and consents required by, </w:t>
      </w:r>
      <w:r>
        <w:rPr>
          <w:rFonts w:ascii="Times New Roman" w:cs="Times New Roman" w:eastAsia="Times New Roman" w:hAnsi="Times New Roman"/>
          <w:sz w:val="19"/>
          <w:szCs w:val="19"/>
          <w:u w:val="single" w:color="auto"/>
          <w:color w:val="auto"/>
        </w:rPr>
        <w:t>Section 10.06</w:t>
      </w:r>
      <w:r>
        <w:rPr>
          <w:rFonts w:ascii="Times New Roman" w:cs="Times New Roman" w:eastAsia="Times New Roman" w:hAnsi="Times New Roman"/>
          <w:sz w:val="19"/>
          <w:szCs w:val="19"/>
          <w:color w:val="auto"/>
        </w:rPr>
        <w:t xml:space="preserve">), all of its interests, rights (other than its existing rights to payments pursuant to </w:t>
      </w:r>
      <w:r>
        <w:rPr>
          <w:rFonts w:ascii="Times New Roman" w:cs="Times New Roman" w:eastAsia="Times New Roman" w:hAnsi="Times New Roman"/>
          <w:sz w:val="19"/>
          <w:szCs w:val="19"/>
          <w:u w:val="single" w:color="auto"/>
          <w:color w:val="auto"/>
        </w:rPr>
        <w:t>Sections 3.01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ind w:firstLine="656"/>
        <w:spacing w:after="0" w:line="252" w:lineRule="auto"/>
        <w:tabs>
          <w:tab w:leader="none" w:pos="1293"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paid (or caused a Designated Borrower to pay) to the Applicable Facility Agent the assignment fee (if any) specified in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w:t>
      </w:r>
    </w:p>
    <w:p>
      <w:pPr>
        <w:spacing w:after="0" w:line="19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from the assignee (to the extent of such outstanding principal and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198</w:t>
      </w:r>
    </w:p>
    <w:p>
      <w:pPr>
        <w:sectPr>
          <w:pgSz w:w="11900" w:h="16838" w:orient="portrait"/>
          <w:cols w:equalWidth="0" w:num="1">
            <w:col w:w="11240"/>
          </w:cols>
          <w:pgMar w:left="320" w:top="1422"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22"/>
          <w:szCs w:val="22"/>
          <w:color w:val="auto"/>
        </w:rPr>
        <w:t>interest and fees) or the Company or applicable Designated Borrower (in the case of all other amounts);</w:t>
      </w:r>
    </w:p>
    <w:p>
      <w:pPr>
        <w:spacing w:after="0" w:line="220" w:lineRule="exact"/>
        <w:rPr>
          <w:sz w:val="20"/>
          <w:szCs w:val="20"/>
          <w:color w:val="auto"/>
        </w:rPr>
      </w:pPr>
    </w:p>
    <w:p>
      <w:pPr>
        <w:jc w:val="both"/>
        <w:ind w:firstLine="656"/>
        <w:spacing w:after="0" w:line="263" w:lineRule="auto"/>
        <w:tabs>
          <w:tab w:leader="none" w:pos="1293"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such assignment resulting from a claim for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such assignment will result in a reduction in such compensation or payments thereafter;</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Laws; and</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assignment resulting from a Lender becoming a Non-Consenting Lender, the applicable assignee shall have consented to the applicable amendment, waiver or consent.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10.14 </w:t>
      </w:r>
      <w:r>
        <w:rPr>
          <w:rFonts w:ascii="Times New Roman" w:cs="Times New Roman" w:eastAsia="Times New Roman" w:hAnsi="Times New Roman"/>
          <w:sz w:val="22"/>
          <w:szCs w:val="22"/>
          <w:u w:val="single" w:color="auto"/>
          <w:color w:val="auto"/>
        </w:rPr>
        <w:t>Governing Law; Jurisdiction; Etc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THIS AGREEMENT AND THE OTHER LOAN DOCUMENTS AND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IF THE DUTCH BORROWER, IS REPRESENTED BY AN ATTORNEY IN CONNECTION WITH THE SIGNING AND/OR EXECUTION OF THIS AGREEMENT (INCLUDING BY WAY OF ACCESSION TO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p>
    <w:p>
      <w:pPr>
        <w:spacing w:after="0" w:line="1" w:lineRule="exact"/>
        <w:rPr>
          <w:sz w:val="20"/>
          <w:szCs w:val="20"/>
          <w:color w:val="auto"/>
        </w:rPr>
      </w:pPr>
    </w:p>
    <w:p>
      <w:pPr>
        <w:jc w:val="both"/>
        <w:ind w:firstLine="656"/>
        <w:spacing w:after="0" w:line="246" w:lineRule="auto"/>
        <w:tabs>
          <w:tab w:leader="none" w:pos="1293"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EACH BORROWER IRREVOCABLY AND UNCONDITIONALLY AGREES THAT IT WILL NOT COMMENCE ANY ACTION, LITIGATION OR PROCEEDING OF ANY KIND OR DESCRIPTION, WHETHER IN LAW OR EQUITY, WHETHER IN CONTRACT OR IN TORT OR OTHERWISE, AGAINST THE ADMINISTRATIVE AGENTS,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199</w:t>
      </w:r>
    </w:p>
    <w:p>
      <w:pPr>
        <w:sectPr>
          <w:pgSz w:w="11900" w:h="16838" w:orient="portrait"/>
          <w:cols w:equalWidth="0" w:num="1">
            <w:col w:w="11240"/>
          </w:cols>
          <w:pgMar w:left="320" w:top="1422" w:right="339" w:bottom="1440" w:gutter="0" w:footer="0" w:header="0"/>
        </w:sectPr>
      </w:pPr>
    </w:p>
    <w:bookmarkStart w:id="273" w:name="page274"/>
    <w:bookmarkEnd w:id="273"/>
    <w:p>
      <w:pPr>
        <w:jc w:val="both"/>
        <w:spacing w:after="0" w:line="262" w:lineRule="auto"/>
        <w:rPr>
          <w:sz w:val="20"/>
          <w:szCs w:val="20"/>
          <w:color w:val="auto"/>
        </w:rPr>
      </w:pPr>
      <w:r>
        <w:rPr>
          <w:rFonts w:ascii="Times New Roman" w:cs="Times New Roman" w:eastAsia="Times New Roman" w:hAnsi="Times New Roman"/>
          <w:sz w:val="21"/>
          <w:szCs w:val="21"/>
          <w:color w:val="auto"/>
        </w:rPr>
        <w:t>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AGENTS, ANY LENDER OR THE L/C ISSUER MAY OTHERWISE HAVE TO BRING ANY ACTION OR PROCEEDING RELATING TO THIS AGREEMENT OR ANY OTHER LOAN DOCUMENT AGAINST THE COMPANY OR ANY BORROWER OR THEIR RESPECTIVE PROPERTIES IN THE COURTS OF ANY JURISDICTION.</w:t>
      </w:r>
    </w:p>
    <w:p>
      <w:pPr>
        <w:spacing w:after="0" w:line="186" w:lineRule="exact"/>
        <w:rPr>
          <w:sz w:val="20"/>
          <w:szCs w:val="20"/>
          <w:color w:val="auto"/>
        </w:rPr>
      </w:pPr>
    </w:p>
    <w:p>
      <w:pPr>
        <w:jc w:val="both"/>
        <w:ind w:firstLine="656"/>
        <w:spacing w:after="0" w:line="250" w:lineRule="auto"/>
        <w:tabs>
          <w:tab w:leader="none" w:pos="1291"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VENUE</w:t>
      </w:r>
      <w:r>
        <w:rPr>
          <w:rFonts w:ascii="Times New Roman" w:cs="Times New Roman" w:eastAsia="Times New Roman" w:hAnsi="Times New Roman"/>
          <w:sz w:val="22"/>
          <w:szCs w:val="22"/>
          <w:color w:val="auto"/>
        </w:rPr>
        <w:t>. EACH OF THE COMPANY AND EACH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0"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3"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xml:space="preserve">. EACH PARTY HERETO IRREVOCABLY CONSENTS TO SERVICE OF PROCESS IN THE MANNER PROVIDED FOR NOTICES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NOTHING IN THIS AGREEMENT WILL AFFECT THE RIGHT OF ANY PARTY HERETO TO SERVE PROCESS IN ANY OTHER MANNER PERMITTED BY APPLICABLE LAW</w:t>
      </w:r>
    </w:p>
    <w:p>
      <w:pPr>
        <w:spacing w:after="0" w:line="19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10.15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19"/>
          <w:szCs w:val="19"/>
          <w:color w:val="auto"/>
        </w:rPr>
        <w:t>. EACH PARTY HERETO HEREBY IRREVOCABLY WAIVES, TO THE FULLEST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22"/>
          <w:szCs w:val="22"/>
          <w:color w:val="auto"/>
        </w:rPr>
        <w:t xml:space="preserve">10.16 </w:t>
      </w:r>
      <w:r>
        <w:rPr>
          <w:rFonts w:ascii="Times New Roman" w:cs="Times New Roman" w:eastAsia="Times New Roman" w:hAnsi="Times New Roman"/>
          <w:sz w:val="22"/>
          <w:szCs w:val="22"/>
          <w:u w:val="single" w:color="auto"/>
          <w:color w:val="auto"/>
        </w:rPr>
        <w:t>No Advisory or Fiduciary Responsibility</w:t>
      </w:r>
      <w:r>
        <w:rPr>
          <w:rFonts w:ascii="Times New Roman" w:cs="Times New Roman" w:eastAsia="Times New Roman" w:hAnsi="Times New Roman"/>
          <w:sz w:val="19"/>
          <w:szCs w:val="19"/>
          <w:color w:val="auto"/>
        </w:rPr>
        <w:t>. In connection with all aspects of each transaction contemplated hereby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(including in connection with any amendment, waiver or other modification hereof or of any other Loan Document), each Borrower acknowledges and agrees, and acknowledges its Affiliates’ understanding, that: (i) (A) the arranging and other services regarding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200</w:t>
      </w:r>
    </w:p>
    <w:p>
      <w:pPr>
        <w:sectPr>
          <w:pgSz w:w="11900" w:h="16838" w:orient="portrait"/>
          <w:cols w:equalWidth="0" w:num="1">
            <w:col w:w="11240"/>
          </w:cols>
          <w:pgMar w:left="320" w:top="1422" w:right="339" w:bottom="1440" w:gutter="0" w:footer="0" w:header="0"/>
        </w:sectPr>
      </w:pPr>
    </w:p>
    <w:bookmarkStart w:id="274" w:name="page275"/>
    <w:bookmarkEnd w:id="274"/>
    <w:p>
      <w:pPr>
        <w:jc w:val="both"/>
        <w:spacing w:after="0" w:line="271" w:lineRule="auto"/>
        <w:rPr>
          <w:sz w:val="20"/>
          <w:szCs w:val="20"/>
          <w:color w:val="auto"/>
        </w:rPr>
      </w:pPr>
      <w:r>
        <w:rPr>
          <w:rFonts w:ascii="Times New Roman" w:cs="Times New Roman" w:eastAsia="Times New Roman" w:hAnsi="Times New Roman"/>
          <w:sz w:val="19"/>
          <w:szCs w:val="19"/>
          <w:color w:val="auto"/>
        </w:rPr>
        <w:t>Agreement provided by the Administrative Agents, the Arrangers, and the Lenders are arm’s-length commercial transactions between the Borrowers and their respective Affiliates, on the one hand, and the Administrative Agents, the Arrangers, and the Lenders, on the other hand,</w:t>
      </w:r>
    </w:p>
    <w:p>
      <w:pPr>
        <w:spacing w:after="0" w:line="1" w:lineRule="exact"/>
        <w:rPr>
          <w:sz w:val="20"/>
          <w:szCs w:val="20"/>
          <w:color w:val="auto"/>
        </w:rPr>
      </w:pPr>
    </w:p>
    <w:p>
      <w:pPr>
        <w:jc w:val="both"/>
        <w:ind w:firstLine="8"/>
        <w:spacing w:after="0" w:line="261" w:lineRule="auto"/>
        <w:tabs>
          <w:tab w:leader="none" w:pos="319"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Borrower has consulted its own legal, accounting, regulatory and tax advisors to the extent it has deemed appropriate, and (C) each Borrower is capable of evaluating, and understands and accepts, the terms, risks and conditions of the transactions contemplated hereby and by the other Loan Documents; (ii) (A) the Administrative Agents, the Arrangers and the Lenders each is and has been acting solely as a principal and, except as expressly agreed in writing by the relevant parties, has not been, is not, and will not be acting as an advisor, agent or fiduciary for the Borrowers or any of their respective Affiliates, or any other Person and (B) neither the Administrative Agents, any Arranger nor any Lender has any obligation to the Borrowers or any of their respective Affiliates with respect to the transactions contemplated hereby except those obligations expressly set forth herein and in the other Loan Documents; and (iii) the Administrative Agents, the Arrangers, the Lenders, and their respective Affiliates may be engaged in a broad range of transactions that involve interests that differ from those of the Borrowers or any of their respective Affiliates, and neither the Administrative Agents, any Arranger nor any Lender has any obligation to disclose any of such interests to the Borrowers or any of their respective Affiliates. To the fullest extent permitted by law, each of the Borrowers hereby waives and releases any claims that it may have against the Administrative Agents, the Arrangers and the Lenders with respect to any breach or alleged breach of agency or fiduciary duty in connection with any aspect of any transaction contemplated hereby.</w:t>
      </w:r>
    </w:p>
    <w:p>
      <w:pPr>
        <w:spacing w:after="0" w:line="4" w:lineRule="exact"/>
        <w:rPr>
          <w:rFonts w:ascii="Times New Roman" w:cs="Times New Roman" w:eastAsia="Times New Roman" w:hAnsi="Times New Roman"/>
          <w:sz w:val="19"/>
          <w:szCs w:val="19"/>
          <w:color w:val="auto"/>
        </w:rPr>
      </w:pPr>
    </w:p>
    <w:p>
      <w:pPr>
        <w:jc w:val="both"/>
        <w:ind w:firstLine="648"/>
        <w:spacing w:after="0" w:line="25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 xml:space="preserve">10.17 </w:t>
      </w:r>
      <w:r>
        <w:rPr>
          <w:rFonts w:ascii="Times New Roman" w:cs="Times New Roman" w:eastAsia="Times New Roman" w:hAnsi="Times New Roman"/>
          <w:sz w:val="22"/>
          <w:szCs w:val="22"/>
          <w:u w:val="single" w:color="auto"/>
          <w:color w:val="auto"/>
        </w:rPr>
        <w:t>Electronic Execution; Electronic Records; Counterparts</w:t>
      </w:r>
      <w:r>
        <w:rPr>
          <w:rFonts w:ascii="Times New Roman" w:cs="Times New Roman" w:eastAsia="Times New Roman" w:hAnsi="Times New Roman"/>
          <w:sz w:val="19"/>
          <w:szCs w:val="19"/>
          <w:color w:val="auto"/>
        </w:rPr>
        <w:t>. This Agreement, any Loan Document and any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Communication, including Communications required to be in writing, may be in the form of an Electronic Record and may be executed using Electronic Signatures. Each of the Loan Parties and each of the Administrative Agents and each Lender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Agents and each of the Lenders may, at its option, create one or more copies of any Communication in the form of an imaged Electronic Record (“</w:t>
      </w:r>
      <w:r>
        <w:rPr>
          <w:rFonts w:ascii="Times New Roman" w:cs="Times New Roman" w:eastAsia="Times New Roman" w:hAnsi="Times New Roman"/>
          <w:sz w:val="19"/>
          <w:szCs w:val="19"/>
          <w:u w:val="single" w:color="auto"/>
          <w:color w:val="auto"/>
        </w:rPr>
        <w:t>Electronic Copy</w:t>
      </w:r>
      <w:r>
        <w:rPr>
          <w:rFonts w:ascii="Times New Roman" w:cs="Times New Roman" w:eastAsia="Times New Roman" w:hAnsi="Times New Roman"/>
          <w:sz w:val="19"/>
          <w:szCs w:val="19"/>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Agents,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Agents, L/C Issuer and/or Swing Line Lender has agreed to accept such Electronic Signature, the Administrative Agents and each of the Lender Parties shall be entitled to rely on any such Electronic Signature purportedly given by or on behalf of any Loan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201</w:t>
      </w:r>
    </w:p>
    <w:p>
      <w:pPr>
        <w:sectPr>
          <w:pgSz w:w="11900" w:h="16838" w:orient="portrait"/>
          <w:cols w:equalWidth="0" w:num="1">
            <w:col w:w="11240"/>
          </w:cols>
          <w:pgMar w:left="320" w:top="1413" w:right="339" w:bottom="1440" w:gutter="0" w:footer="0" w:header="0"/>
        </w:sectPr>
      </w:pPr>
    </w:p>
    <w:bookmarkStart w:id="275" w:name="page276"/>
    <w:bookmarkEnd w:id="275"/>
    <w:p>
      <w:pPr>
        <w:jc w:val="both"/>
        <w:spacing w:after="0" w:line="261" w:lineRule="auto"/>
        <w:rPr>
          <w:sz w:val="20"/>
          <w:szCs w:val="20"/>
          <w:color w:val="auto"/>
        </w:rPr>
      </w:pPr>
      <w:r>
        <w:rPr>
          <w:rFonts w:ascii="Times New Roman" w:cs="Times New Roman" w:eastAsia="Times New Roman" w:hAnsi="Times New Roman"/>
          <w:sz w:val="20"/>
          <w:szCs w:val="20"/>
          <w:color w:val="auto"/>
        </w:rPr>
        <w:t>or any Lender without further verification and (b) upon the request of the Administrative Agents or any Lender any Electronic Signature shall be promptly followed by such manually executed counterpart.</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10.18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19"/>
          <w:szCs w:val="19"/>
          <w:color w:val="auto"/>
        </w:rPr>
        <w:t>. Each Lender that is subject to the Act (as hereinafter defined) and each Administrative Agent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itself and not on behalf of any Lender) hereby notifies the Company that pursuant to the requirements of the USA PATRIOT Act (Title III of Pub. L. 107-56 (signed into law October 26, 2001)) (the “</w:t>
      </w:r>
      <w:r>
        <w:rPr>
          <w:rFonts w:ascii="Times New Roman" w:cs="Times New Roman" w:eastAsia="Times New Roman" w:hAnsi="Times New Roman"/>
          <w:sz w:val="19"/>
          <w:szCs w:val="19"/>
          <w:u w:val="single" w:color="auto"/>
          <w:color w:val="auto"/>
        </w:rPr>
        <w:t>Act</w:t>
      </w:r>
      <w:r>
        <w:rPr>
          <w:rFonts w:ascii="Times New Roman" w:cs="Times New Roman" w:eastAsia="Times New Roman" w:hAnsi="Times New Roman"/>
          <w:sz w:val="19"/>
          <w:szCs w:val="19"/>
          <w:color w:val="auto"/>
        </w:rPr>
        <w:t>”), it is required to obtain, verify and record information that identifies each Loan Party, which information includes the name and address of each Loan Party and other information that will allow such Lender or such Administrative Agent, as applicable, to identify each Loan Party in accordance with the Act. The Company shall, promptly following a request by any Administrative Agent or any Lender, provide all documentation and other information that such Administrative Agent or such Lender requests in order to comply with its ongoing obligations under applicable “know your customer” and anti-money laundering rules and regulations, including the Act and beneficial ownership regulations.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 xml:space="preserve">10.19 </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19"/>
          <w:szCs w:val="19"/>
          <w:color w:val="auto"/>
        </w:rPr>
        <w:t>. If, for the purposes of obtaining judgment in any court, it is necessary to convert a sum due hereunder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or any other Loan Document in one currency into another currency, the rate of exchange used shall be that at which in accordance with normal banking procedures the applicable Administrative Agent could purchase the first currency with such other currency on the Business Day preceding that on which final judgment is given. The obligation of each Borrower in respect of any such sum due from it to the Applicable Facility Agent or any Lender hereunder or under the other Loan Documents shall, notwithstanding any judgment in a currency (the “</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other than that in which such sum is denominated in accordance with the applicable provisions of this Agreement (the “</w:t>
      </w:r>
      <w:r>
        <w:rPr>
          <w:rFonts w:ascii="Times New Roman" w:cs="Times New Roman" w:eastAsia="Times New Roman" w:hAnsi="Times New Roman"/>
          <w:sz w:val="19"/>
          <w:szCs w:val="19"/>
          <w:u w:val="single" w:color="auto"/>
          <w:color w:val="auto"/>
        </w:rPr>
        <w:t>Agreement Currency</w:t>
      </w:r>
      <w:r>
        <w:rPr>
          <w:rFonts w:ascii="Times New Roman" w:cs="Times New Roman" w:eastAsia="Times New Roman" w:hAnsi="Times New Roman"/>
          <w:sz w:val="19"/>
          <w:szCs w:val="19"/>
          <w:color w:val="auto"/>
        </w:rPr>
        <w:t>”), be discharged only to the extent that on the Business Day following receipt by the Applicable Facility Agent or such Lender, as the case may be, of any sum adjudged to be so due in the Judgment Currency, the Applicable Facility Agent or such Lender, as the case may be, may in accordance with normal banking procedures purchase the Agreement Currency with the Judgment Currency. If the amount of the Agreement Currency so purchased is less than the sum originally due to the Applicable Facility Agent or any Lender from any Borrower in the Agreement Currency, such Borrower agrees, as a separate obligation and notwithstanding any such judgment, to indemnify the Applicable Facility Agent or such Lender, as the case may be, against such loss. If the amount of the Agreement Currency so purchased is greater than the sum originally due to the Applicable Facility Agent or any Lender in such currency, the Applicable Facility Agent or such Lender, as the case may be, agrees to return the amount of any excess to such Borrower (or to any other Person who may be entitled thereto under applicable law).</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10.20 </w:t>
      </w:r>
      <w:r>
        <w:rPr>
          <w:rFonts w:ascii="Times New Roman" w:cs="Times New Roman" w:eastAsia="Times New Roman" w:hAnsi="Times New Roman"/>
          <w:sz w:val="22"/>
          <w:szCs w:val="22"/>
          <w:u w:val="single" w:color="auto"/>
          <w:color w:val="auto"/>
        </w:rPr>
        <w:t>Acknowledgment and Consent to Bail-In of Affected Financial Institutions</w:t>
      </w:r>
      <w:r>
        <w:rPr>
          <w:rFonts w:ascii="Times New Roman" w:cs="Times New Roman" w:eastAsia="Times New Roman" w:hAnsi="Times New Roman"/>
          <w:sz w:val="19"/>
          <w:szCs w:val="19"/>
          <w:color w:val="auto"/>
        </w:rPr>
        <w:t>. Solely to the extent any Lender or L/C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3" w:lineRule="exact"/>
        <w:rPr>
          <w:sz w:val="20"/>
          <w:szCs w:val="20"/>
          <w:color w:val="auto"/>
        </w:rPr>
      </w:pPr>
    </w:p>
    <w:p>
      <w:pPr>
        <w:ind w:firstLine="656"/>
        <w:spacing w:after="0" w:line="289" w:lineRule="auto"/>
        <w:tabs>
          <w:tab w:leader="none" w:pos="1293"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40"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202</w:t>
      </w:r>
    </w:p>
    <w:p>
      <w:pPr>
        <w:sectPr>
          <w:pgSz w:w="11900" w:h="16838" w:orient="portrait"/>
          <w:cols w:equalWidth="0" w:num="1">
            <w:col w:w="11240"/>
          </w:cols>
          <w:pgMar w:left="320" w:top="1413" w:right="339" w:bottom="1440" w:gutter="0" w:footer="0" w:header="0"/>
        </w:sectPr>
      </w:pPr>
    </w:p>
    <w:bookmarkStart w:id="276" w:name="page277"/>
    <w:bookmarkEnd w:id="276"/>
    <w:p>
      <w:pPr>
        <w:ind w:left="1940" w:hanging="636"/>
        <w:spacing w:after="0"/>
        <w:tabs>
          <w:tab w:leader="none" w:pos="1940"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50"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6"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10.21  </w:t>
      </w:r>
      <w:r>
        <w:rPr>
          <w:rFonts w:ascii="Times New Roman" w:cs="Times New Roman" w:eastAsia="Times New Roman" w:hAnsi="Times New Roman"/>
          <w:sz w:val="22"/>
          <w:szCs w:val="22"/>
          <w:u w:val="single" w:color="auto"/>
          <w:color w:val="auto"/>
        </w:rPr>
        <w:t>Amendment and Extension Transactions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56"/>
        <w:spacing w:after="0" w:line="260" w:lineRule="auto"/>
        <w:tabs>
          <w:tab w:leader="none" w:pos="1293" w:val="left"/>
        </w:tabs>
        <w:numPr>
          <w:ilvl w:val="1"/>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may, by written notice to the Applicable Facility Agent from time to time, request an extension (each, an “</w:t>
      </w:r>
      <w:r>
        <w:rPr>
          <w:rFonts w:ascii="Times New Roman" w:cs="Times New Roman" w:eastAsia="Times New Roman" w:hAnsi="Times New Roman"/>
          <w:sz w:val="21"/>
          <w:szCs w:val="21"/>
          <w:u w:val="single" w:color="auto"/>
          <w:color w:val="auto"/>
        </w:rPr>
        <w:t>Extension</w:t>
      </w:r>
      <w:r>
        <w:rPr>
          <w:rFonts w:ascii="Times New Roman" w:cs="Times New Roman" w:eastAsia="Times New Roman" w:hAnsi="Times New Roman"/>
          <w:sz w:val="21"/>
          <w:szCs w:val="21"/>
          <w:color w:val="auto"/>
        </w:rPr>
        <w:t>”) of the maturity date of any Class of Loans and Commitments to the extended maturity date specified in such notice. Such notice shall (i) set forth the amount of the applicable Class of Revolving Credit Commitments and/or Term Loans that will be subject to the Extension (which, unless otherwise agreed to by the Applicable Facility Agent, shall be in minimum increments of $1,000,000 and a minimum amount of $50,000,000), (ii) set forth the date on which such Extension is requested to become effective (which shall be not less than ten (10) Business Days nor more than sixty (60) days after the date of such Extension notice (or such longer or shorter periods as the Applicable Facility Agent shall agree in its sole discretion)) and</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407"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identify the relevant Class of Revolving Credit Commitments and/or Term Loans to which such Extension relates. Each Lender of the applicable Class shall be offered (an “</w:t>
      </w:r>
      <w:r>
        <w:rPr>
          <w:rFonts w:ascii="Times New Roman" w:cs="Times New Roman" w:eastAsia="Times New Roman" w:hAnsi="Times New Roman"/>
          <w:sz w:val="22"/>
          <w:szCs w:val="22"/>
          <w:u w:val="single" w:color="auto"/>
          <w:color w:val="auto"/>
        </w:rPr>
        <w:t>Extension Offer</w:t>
      </w:r>
      <w:r>
        <w:rPr>
          <w:rFonts w:ascii="Times New Roman" w:cs="Times New Roman" w:eastAsia="Times New Roman" w:hAnsi="Times New Roman"/>
          <w:sz w:val="22"/>
          <w:szCs w:val="22"/>
          <w:color w:val="auto"/>
        </w:rPr>
        <w:t xml:space="preserve">”) an opportunity to participate in such Extension on a pro rata basis and on the same terms and conditions as each other Lender of such Class pursuant to procedures established by, or reasonably acceptable to, the Applicable Facility Agent and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existing Lender approached with an Extension Offer may elect or decline, in its sole discretion, to accept such Extension Offer. If the aggregate principal amount of Revolving Credit Commitments or Term Loans in respect of which Lenders shall have accepted the relevant Extension Offer shall exceed the maximum aggregate principal amount of Revolving Credit Commitments or Term Loans, as applicable, subject to the Extension Offer as set forth in the Extension notice, then the Revolving Credit Commitments or Term Loans, as applicable, of Lenders of the applicable Class shall be extended ratably up to such maximum amount based on the respective principal amounts with respect to which such Lenders have accepted such Extension Offer.</w:t>
      </w:r>
    </w:p>
    <w:p>
      <w:pPr>
        <w:spacing w:after="0" w:line="19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shall be conditions precedent to the effectiveness of any Extension: (i) no Default or Event of Default shall have occurred and be continuing immediately prior to and immediately after giving effect to such Extension, (ii) the representations and warranties set forth in Article V and in each other Loan Document shall be deemed to be made and shall be true and correct in all material respects (or, with respect to representations and warranties modified by a materiality or Material Adverse Effect standard, in all respects) on and as of the effective date of such Extension, (iii) the L/C Issuer and the Swing Line Lenders shall have consented to any Extension of the Revolving Credit Commitments, to the extent that such Extension provides for the issuance or extension of Letters of Credit or making of Swing Line Loans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203</w:t>
      </w:r>
    </w:p>
    <w:p>
      <w:pPr>
        <w:sectPr>
          <w:pgSz w:w="11900" w:h="16838" w:orient="portrait"/>
          <w:cols w:equalWidth="0" w:num="1">
            <w:col w:w="11240"/>
          </w:cols>
          <w:pgMar w:left="320" w:top="1422" w:right="339" w:bottom="1440" w:gutter="0" w:footer="0" w:header="0"/>
        </w:sectPr>
      </w:pPr>
    </w:p>
    <w:bookmarkStart w:id="277" w:name="page278"/>
    <w:bookmarkEnd w:id="277"/>
    <w:p>
      <w:pPr>
        <w:ind w:right="20"/>
        <w:spacing w:after="0" w:line="271" w:lineRule="auto"/>
        <w:rPr>
          <w:sz w:val="20"/>
          <w:szCs w:val="20"/>
          <w:color w:val="auto"/>
        </w:rPr>
      </w:pPr>
      <w:r>
        <w:rPr>
          <w:rFonts w:ascii="Times New Roman" w:cs="Times New Roman" w:eastAsia="Times New Roman" w:hAnsi="Times New Roman"/>
          <w:sz w:val="22"/>
          <w:szCs w:val="22"/>
          <w:color w:val="auto"/>
        </w:rPr>
        <w:t>during the extended period and (iv) the terms of such Extended Revolving Credit Commitments and Extended Term Loans shall comply with paragraph (c) of this Section.</w:t>
      </w:r>
    </w:p>
    <w:p>
      <w:pPr>
        <w:spacing w:after="0" w:line="158" w:lineRule="exact"/>
        <w:rPr>
          <w:sz w:val="20"/>
          <w:szCs w:val="20"/>
          <w:color w:val="auto"/>
        </w:rPr>
      </w:pPr>
    </w:p>
    <w:p>
      <w:pPr>
        <w:jc w:val="both"/>
        <w:ind w:firstLine="656"/>
        <w:spacing w:after="0" w:line="247" w:lineRule="auto"/>
        <w:tabs>
          <w:tab w:leader="none" w:pos="1293"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each Extension shall be determined by the Borrowers and the applicable extending Lenders and set forth in an Extension Amendment;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final maturity date of any Extended Revolving Credit Commitment or Extended Term Loan shall be no earlier than the applicable Maturity Date for the extended Facility, (ii)(A) there shall be no scheduled amortization of the loans or reductions of commitments under any Extended Revolving Credit Commitments and (B) the average life to maturity of the Extended Term Loans shall be no shorter than the remaining average life to maturity of the existing Term Loans of such Facility, (iii) the Extended Revolving Loans and the Extended Term Loans will rank pari passu in right of payment and with respect to security with the existing Revolving Loans and the existing Term Loans and the borrower and guarantors of the Extended Revolving Credit Commitments or Extended Term Loans, as applicable, shall be the same as the Borrowers and Guarantors with respect to the existing Revolving Loans or Term Loans, as applicable, (iv) the interest rate margin, rate floors, fees, original issue discount and premium applicable to any Extended Revolving Credit Commitment (and the Extended Revolving Loans thereunder) and Extended Term Loans shall be determined by the Borrowers and the applicable extending Lenders, (v)(A) the Extended Term Loans may participate on a pro rata or less than pro rata (but not greater than pro rata) basis in voluntary or mandatory prepayments with the other Term Loans and (B) borrowing and prepayment of Extended Revolving Loans, or reductions of Extended Revolving Credit Commitments, and participation in Letters of Credit and Swing Line Loans, shall be on a pro rata basis with the other Revolving Loans or Revolving Credit Commitments (other than upon the maturity of the non-extended Revolving Loans and Revolving Credit Commitments) and (vi) the terms of the Extended Revolving Credit Commitments or Extended Term Loans, as applicable, shall be substantially identical to the terms set forth herein (except as set forth in clauses (i) through (v) above).</w:t>
      </w:r>
    </w:p>
    <w:p>
      <w:pPr>
        <w:spacing w:after="0" w:line="200"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Extension, the Borrowers, the Applicable Facility Agent and each applicable extending Lender shall execute and deliver to the Applicable Facility Agent an Extension Amendment and such other documentation as the Applicable Facility Agent shall reasonably specify to evidence the Extension. The Applicable Facility Agent shall promptly notify each Lender as to the effectiveness of each Extension. Any Extension Amendment may, without the consent of any other Lender, effect such amendments to this Agreement and the other Loan Documents as may be necessary or appropriate, in the reasonable opinion of the Applicable Facility Agent and the Company, to implement the terms of any such Extension, including any amendments necessary to establish Extended Revolving Credit Commitments or Extended Term Loans as a new Class or tranche of Revolving Credit Commitments or Term Loans, as applicable, and such other technical amendments as may be necessary or appropriate in the reasonable opinion of the Applicable Facility Agent and the Company in connection with the establishment of such new Class or tranche (including to preserve the pro rata treatment of the extended and non-extended Classes or tranches and to provide for the reallocation of Revolving Credit Exposure upon the expiration or termination of the commitments under any Class or tranche), in each case on terms consistent with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204</w:t>
      </w:r>
    </w:p>
    <w:p>
      <w:pPr>
        <w:sectPr>
          <w:pgSz w:w="11900" w:h="16838" w:orient="portrait"/>
          <w:cols w:equalWidth="0" w:num="1">
            <w:col w:w="11240"/>
          </w:cols>
          <w:pgMar w:left="320" w:top="1422" w:right="339" w:bottom="1440" w:gutter="0" w:footer="0" w:header="0"/>
        </w:sectPr>
      </w:pPr>
    </w:p>
    <w:bookmarkStart w:id="278" w:name="page279"/>
    <w:bookmarkEnd w:id="278"/>
    <w:p>
      <w:pPr>
        <w:ind w:left="4" w:right="620" w:hanging="4"/>
        <w:spacing w:after="0" w:line="448" w:lineRule="auto"/>
        <w:tabs>
          <w:tab w:leader="none" w:pos="649"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Conflicting Provisions</w:t>
      </w:r>
      <w:r>
        <w:rPr>
          <w:rFonts w:ascii="Times New Roman" w:cs="Times New Roman" w:eastAsia="Times New Roman" w:hAnsi="Times New Roman"/>
          <w:sz w:val="22"/>
          <w:szCs w:val="22"/>
          <w:color w:val="auto"/>
        </w:rPr>
        <w:t xml:space="preserve">. This Section shall supersede any provisions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10.01</w:t>
      </w:r>
      <w:r>
        <w:rPr>
          <w:rFonts w:ascii="Times New Roman" w:cs="Times New Roman" w:eastAsia="Times New Roman" w:hAnsi="Times New Roman"/>
          <w:sz w:val="22"/>
          <w:szCs w:val="22"/>
          <w:color w:val="auto"/>
        </w:rPr>
        <w:t xml:space="preserve"> to the contrary. 10.22 </w:t>
      </w:r>
      <w:r>
        <w:rPr>
          <w:rFonts w:ascii="Times New Roman" w:cs="Times New Roman" w:eastAsia="Times New Roman" w:hAnsi="Times New Roman"/>
          <w:sz w:val="22"/>
          <w:szCs w:val="22"/>
          <w:u w:val="single" w:color="auto"/>
          <w:color w:val="auto"/>
        </w:rPr>
        <w:t>Release and Reinstatement of Collateral</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644" w:hanging="644"/>
        <w:spacing w:after="0"/>
        <w:tabs>
          <w:tab w:leader="none" w:pos="644"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288"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any Loan Document or any other document executed in connection herewith, if at any time (including after a Collateral Reinstatement Event shall have previously occurred) a Collateral Release Event shall have occurred and be continuing, then all Collateral (other than Cash Collateral) and the Collateral Documents (other than Collateral Documents entered into in connection with Cash Collateral) shall be released automatically and terminated without any further action (a “</w:t>
      </w:r>
      <w:r>
        <w:rPr>
          <w:rFonts w:ascii="Times New Roman" w:cs="Times New Roman" w:eastAsia="Times New Roman" w:hAnsi="Times New Roman"/>
          <w:sz w:val="22"/>
          <w:szCs w:val="22"/>
          <w:u w:val="single" w:color="auto"/>
          <w:color w:val="auto"/>
        </w:rPr>
        <w:t>Collateral 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Collateral Release shall be permitted unless all Term B Loans have been, or will be substantially concurrently with such Collateral Release, repaid in full. In connection with the foregoing, the General Administrative Agent shall (and the Lenders hereby authorize the General Administrative Agent to), at the Company’s request and at the Company’s sole cost and expense, promptly execute and file in the appropriate location and deliver to the Loan Parties such termination and full or partial release statements or confirmation thereof, as applicable, and do such other things as are reasonably necessary and reasonably requested by the Company to release the liens to be released pursuant hereto promptly upon request during any such Collateral Release Period.</w:t>
      </w:r>
    </w:p>
    <w:p>
      <w:pPr>
        <w:spacing w:after="0" w:line="184" w:lineRule="exact"/>
        <w:rPr>
          <w:rFonts w:ascii="Times New Roman" w:cs="Times New Roman" w:eastAsia="Times New Roman" w:hAnsi="Times New Roman"/>
          <w:sz w:val="22"/>
          <w:szCs w:val="22"/>
          <w:color w:val="auto"/>
        </w:rPr>
      </w:pPr>
    </w:p>
    <w:p>
      <w:pPr>
        <w:jc w:val="both"/>
        <w:ind w:left="4" w:firstLine="644"/>
        <w:spacing w:after="0" w:line="249" w:lineRule="auto"/>
        <w:tabs>
          <w:tab w:leader="none" w:pos="1294"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reinstatement provisions of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the Security and Pledge Agreement, the Security and Pledge Agreement and each joinder agreement to the Security and Pledge Agreement, all obligations of the Loan Parties thereunder and all Liens arising under any other Loan Documents (excluding those Liens, obligations and liabilities that expressly survive the occurrence of a Collateral Release Event, including, without limitation, Liens on Cash Collateral) shall terminate and all such Collateral shall be released pursuant to any Collateral Release Event after the Amendment No. 4 Effective Date pursuant to </w:t>
      </w:r>
      <w:r>
        <w:rPr>
          <w:rFonts w:ascii="Times New Roman" w:cs="Times New Roman" w:eastAsia="Times New Roman" w:hAnsi="Times New Roman"/>
          <w:sz w:val="22"/>
          <w:szCs w:val="22"/>
          <w:u w:val="single" w:color="auto"/>
          <w:color w:val="auto"/>
        </w:rPr>
        <w:t>Section 10.22(a)(i)</w:t>
      </w:r>
      <w:r>
        <w:rPr>
          <w:rFonts w:ascii="Times New Roman" w:cs="Times New Roman" w:eastAsia="Times New Roman" w:hAnsi="Times New Roman"/>
          <w:sz w:val="22"/>
          <w:szCs w:val="22"/>
          <w:color w:val="auto"/>
        </w:rPr>
        <w:t>. Upon such termination of the Security and Pledge Agreement and release of other Liens under the Loan Documents, the General Administrative Agent shall, at the request and sole expense of the Loan Parties, promptly deliver to the Loan Parties such termination statements and take such further actions as the Loan Parties may reasonably request to terminate of record, or otherwise to give appropriate notice of the termination of, any Lien conferred thereunder.</w:t>
      </w:r>
    </w:p>
    <w:p>
      <w:pPr>
        <w:spacing w:after="0" w:line="183" w:lineRule="exact"/>
        <w:rPr>
          <w:rFonts w:ascii="Times New Roman" w:cs="Times New Roman" w:eastAsia="Times New Roman" w:hAnsi="Times New Roman"/>
          <w:sz w:val="22"/>
          <w:szCs w:val="22"/>
          <w:color w:val="auto"/>
        </w:rPr>
      </w:pPr>
    </w:p>
    <w:p>
      <w:pPr>
        <w:jc w:val="both"/>
        <w:ind w:left="4" w:firstLine="644"/>
        <w:spacing w:after="0" w:line="251" w:lineRule="auto"/>
        <w:tabs>
          <w:tab w:leader="none" w:pos="1300"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reinstatement provisions of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the Security and Pledge Agreement and any reinstatement provisions of any other Loan Document, the Security and Pledge Agreement and each joinder agreement to the Security and Pledge Agreement and each other Loan Document, and all obligations of the Loan Parties thereunder (excluding those obligations and liabilities that expressly survive such termination) shall terminate without delivery of any instrument or performance of any act by any party on the Facility Termination Date. Upon such termination of the Security and Pledge Agreement and other Loan Documents, the General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0"/>
          <w:szCs w:val="20"/>
          <w:color w:val="auto"/>
        </w:rPr>
        <w:t>205</w:t>
      </w:r>
    </w:p>
    <w:p>
      <w:pPr>
        <w:sectPr>
          <w:pgSz w:w="11900" w:h="16838" w:orient="portrait"/>
          <w:cols w:equalWidth="0" w:num="1">
            <w:col w:w="10584"/>
          </w:cols>
          <w:pgMar w:left="976" w:top="1422" w:right="339" w:bottom="1440" w:gutter="0" w:footer="0" w:header="0"/>
        </w:sectPr>
      </w:pPr>
    </w:p>
    <w:bookmarkStart w:id="279" w:name="page280"/>
    <w:bookmarkEnd w:id="279"/>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shall, at the request and sole expense of the Loan Parties, promptly deliver to the Loan Parties such termination statements and take such further actions as the Loan Parties may reasonably request to terminate of record, or otherwise to give appropriate notice of the termination of, any Lien conferred thereunder.</w:t>
      </w:r>
    </w:p>
    <w:p>
      <w:pPr>
        <w:spacing w:after="0" w:line="186" w:lineRule="exact"/>
        <w:rPr>
          <w:sz w:val="20"/>
          <w:szCs w:val="20"/>
          <w:color w:val="auto"/>
        </w:rPr>
      </w:pPr>
    </w:p>
    <w:p>
      <w:pPr>
        <w:jc w:val="both"/>
        <w:ind w:left="660" w:firstLine="644"/>
        <w:spacing w:after="0" w:line="248" w:lineRule="auto"/>
        <w:tabs>
          <w:tab w:leader="none" w:pos="1944"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any Loan Document or any other document executed in connection herewith, if at any time assets that constitute Collateral or a Subsidiary that is a Loan Party is Disposed of in accordance with the provisions hereof to a Person who is not a Loan Party or required to be a Loan Party hereunder, then such assets shall be released from the Lien under the Loan Documents or, as applicable, such Subsidiary shall be released from its obligations under the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all other assets constituting Collateral shall remain subject to the Lien under the Loan Documents and all other Loan Parties shall remain bound by all of their obligations under the Loan Documents. In connection with the foregoing, the General Administrative Agent shall (and the Lenders hereby authorize the General Administrative Agent to), at the Company’s request and at the Company’s sole cost and expense, promptly execute and file in the appropriate location and deliver to the Loan Parties such termination and full or partial release statements or confirmation thereof, as applicable, and do such other things as are reasonably necessary and reasonably requested by the Company to release the liens to be released pursuant hereto promptly upon request of the Company.</w:t>
      </w:r>
    </w:p>
    <w:p>
      <w:pPr>
        <w:spacing w:after="0" w:line="184"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if at any time (including after the prior occurrence of a Collateral Release Event) a Collateral Reinstatement Event shall occur, promptly thereafter all Collateral and Collateral Documents shall, at the Company’s sole cost and expense, be reinstated and all actions reasonably necessary, or reasonably requested by the General Administrative Agent, to provide to the General Administrative Agent for the benefit of the Secured Parties valid, perfected, first priority security interests (subject to Permitted Liens) in the Collateral to the extent required by the Loan Documents and otherwise to satisfy the Collateral and Guarantee Requirement (including without limitation the delivery of documentation and taking of actions of the type described in the Collateral and Guarantee Requirement and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shall be taken within thirty (30) days of such event, which period may be extended by the General Administrative Agent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the provisions of this clause (b) shall not apply during the continuation of any Collateral Release Period. The General Administrative Agent is hereby authorized to enter into any new Collateral Documents with any Collateral Reinstatement Event.</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10.23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19"/>
          <w:szCs w:val="19"/>
          <w:color w:val="auto"/>
        </w:rPr>
        <w:t>. To the extent that the Loan Documents provide support, through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guarantee or otherwise, for any Swap Contract or any other agreement or instrument that is a QFC (such support, “</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xml:space="preserve">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206</w:t>
      </w:r>
    </w:p>
    <w:p>
      <w:pPr>
        <w:sectPr>
          <w:pgSz w:w="11900" w:h="16838" w:orient="portrait"/>
          <w:cols w:equalWidth="0" w:num="1">
            <w:col w:w="11240"/>
          </w:cols>
          <w:pgMar w:left="320" w:top="1422"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9"/>
          <w:szCs w:val="19"/>
          <w:color w:val="auto"/>
        </w:rPr>
        <w:t>Supported QFC may in fact be stated to be governed by the laws of the State of New York and/or of the United States or any other state of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w:t>
      </w:r>
    </w:p>
    <w:p>
      <w:pPr>
        <w:spacing w:after="0" w:line="13" w:lineRule="exact"/>
        <w:rPr>
          <w:sz w:val="20"/>
          <w:szCs w:val="20"/>
          <w:color w:val="auto"/>
        </w:rPr>
      </w:pPr>
    </w:p>
    <w:p>
      <w:pPr>
        <w:jc w:val="both"/>
        <w:ind w:firstLine="656"/>
        <w:spacing w:after="0" w:line="246" w:lineRule="auto"/>
        <w:tabs>
          <w:tab w:leader="none" w:pos="1293"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10.23</w:t>
      </w:r>
      <w:r>
        <w:rPr>
          <w:rFonts w:ascii="Times New Roman" w:cs="Times New Roman" w:eastAsia="Times New Roman" w:hAnsi="Times New Roman"/>
          <w:sz w:val="22"/>
          <w:szCs w:val="22"/>
          <w:color w:val="auto"/>
        </w:rPr>
        <w:t>, the following terms have the following meanings:</w:t>
      </w:r>
    </w:p>
    <w:p>
      <w:pPr>
        <w:spacing w:after="0" w:line="211" w:lineRule="exact"/>
        <w:rPr>
          <w:sz w:val="20"/>
          <w:szCs w:val="20"/>
          <w:color w:val="auto"/>
        </w:rPr>
      </w:pPr>
    </w:p>
    <w:p>
      <w:pPr>
        <w:ind w:left="660" w:right="3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73" w:lineRule="exact"/>
        <w:rPr>
          <w:sz w:val="20"/>
          <w:szCs w:val="20"/>
          <w:color w:val="auto"/>
        </w:rPr>
      </w:pPr>
    </w:p>
    <w:p>
      <w:pPr>
        <w:jc w:val="both"/>
        <w:ind w:left="660" w:right="1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1" w:lineRule="exact"/>
        <w:rPr>
          <w:sz w:val="20"/>
          <w:szCs w:val="20"/>
          <w:color w:val="auto"/>
        </w:rPr>
      </w:pPr>
    </w:p>
    <w:p>
      <w:pPr>
        <w:ind w:left="660" w:right="2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73" w:lineRule="exact"/>
        <w:rPr>
          <w:sz w:val="20"/>
          <w:szCs w:val="20"/>
          <w:color w:val="auto"/>
        </w:rPr>
      </w:pPr>
    </w:p>
    <w:p>
      <w:pPr>
        <w:ind w:left="660" w:right="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207</w:t>
      </w:r>
    </w:p>
    <w:p>
      <w:pPr>
        <w:sectPr>
          <w:pgSz w:w="11900" w:h="16838" w:orient="portrait"/>
          <w:cols w:equalWidth="0" w:num="1">
            <w:col w:w="11240"/>
          </w:cols>
          <w:pgMar w:left="320" w:top="1413" w:right="339" w:bottom="1440" w:gutter="0" w:footer="0" w:header="0"/>
        </w:sectPr>
      </w:pPr>
    </w:p>
    <w:bookmarkStart w:id="281" w:name="page282"/>
    <w:bookmarkEnd w:id="281"/>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left="340" w:right="3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OF THE COMPANY PURSUANT TO RULE 13a 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Berquist, certify that:</w:t>
      </w:r>
    </w:p>
    <w:p>
      <w:pPr>
        <w:spacing w:after="0" w:line="225" w:lineRule="exact"/>
        <w:rPr>
          <w:sz w:val="20"/>
          <w:szCs w:val="20"/>
          <w:color w:val="auto"/>
        </w:rPr>
      </w:pPr>
    </w:p>
    <w:p>
      <w:pPr>
        <w:ind w:left="340" w:hanging="332"/>
        <w:spacing w:after="0"/>
        <w:tabs>
          <w:tab w:leader="none" w:pos="3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Quaker Chemical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2"/>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3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Joseph A. Berquist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Joseph A. Berquist</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282" w:name="page283"/>
    <w:bookmarkEnd w:id="282"/>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left="340" w:right="3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OF THE COMPANY PURSUANT TO RULE 13a-14(a)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Coler, certify that:</w:t>
      </w:r>
    </w:p>
    <w:p>
      <w:pPr>
        <w:spacing w:after="0" w:line="225" w:lineRule="exact"/>
        <w:rPr>
          <w:sz w:val="20"/>
          <w:szCs w:val="20"/>
          <w:color w:val="auto"/>
        </w:rPr>
      </w:pPr>
    </w:p>
    <w:p>
      <w:pPr>
        <w:ind w:left="340" w:hanging="332"/>
        <w:spacing w:after="0"/>
        <w:tabs>
          <w:tab w:leader="none" w:pos="3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Quaker Chemical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00" w:lineRule="exact"/>
        <w:rPr>
          <w:sz w:val="20"/>
          <w:szCs w:val="20"/>
          <w:color w:val="auto"/>
        </w:rPr>
      </w:pPr>
    </w:p>
    <w:p>
      <w:pPr>
        <w:spacing w:after="0" w:line="3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Coler</w:t>
      </w:r>
    </w:p>
    <w:p>
      <w:pPr>
        <w:spacing w:after="0" w:line="2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43" w:right="339" w:bottom="1440" w:gutter="0" w:footer="0" w:header="0"/>
          <w:type w:val="continuous"/>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Form 10-Q Quarterly Report of Quaker Chemical Corporation (the “Company”) for the quarterly period ended September 30, 2026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00" w:lineRule="exact"/>
        <w:rPr>
          <w:sz w:val="20"/>
          <w:szCs w:val="20"/>
          <w:color w:val="auto"/>
        </w:rPr>
      </w:pPr>
    </w:p>
    <w:p>
      <w:pPr>
        <w:spacing w:after="0" w:line="3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Joseph A. Berquist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Joseph A. Berquist</w:t>
      </w:r>
    </w:p>
    <w:p>
      <w:pPr>
        <w:spacing w:after="0" w:line="2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Form 10-Q Quarterly Report of Quaker Chemical Corporation (the “Company”) for the quarterly period ended September 30, 2026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00" w:lineRule="exact"/>
        <w:rPr>
          <w:sz w:val="20"/>
          <w:szCs w:val="20"/>
          <w:color w:val="auto"/>
        </w:rPr>
      </w:pPr>
    </w:p>
    <w:p>
      <w:pPr>
        <w:spacing w:after="0" w:line="3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Thomas Coler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Coler</w:t>
      </w:r>
    </w:p>
    <w:p>
      <w:pPr>
        <w:spacing w:after="0" w:line="2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AA2304"/>
    <w:multiLevelType w:val="hybridMultilevel"/>
    <w:lvl w:ilvl="0">
      <w:lvlJc w:val="left"/>
      <w:lvlText w:val="x"/>
      <w:numFmt w:val="bullet"/>
      <w:start w:val="1"/>
    </w:lvl>
  </w:abstractNum>
  <w:abstractNum w:abstractNumId="1">
    <w:nsid w:val="3F7C2FF4"/>
    <w:multiLevelType w:val="hybridMultilevel"/>
    <w:lvl w:ilvl="0">
      <w:lvlJc w:val="left"/>
      <w:lvlText w:val="o"/>
      <w:numFmt w:val="bullet"/>
      <w:start w:val="1"/>
    </w:lvl>
  </w:abstractNum>
  <w:abstractNum w:abstractNumId="2">
    <w:nsid w:val="25413BEC"/>
    <w:multiLevelType w:val="hybridMultilevel"/>
    <w:lvl w:ilvl="0">
      <w:lvlJc w:val="left"/>
      <w:lvlText w:val="(%1)"/>
      <w:numFmt w:val="decimal"/>
      <w:start w:val="1"/>
    </w:lvl>
  </w:abstractNum>
  <w:abstractNum w:abstractNumId="3">
    <w:nsid w:val="17180B0B"/>
    <w:multiLevelType w:val="hybridMultilevel"/>
    <w:lvl w:ilvl="0">
      <w:lvlJc w:val="left"/>
      <w:lvlText w:val="(%1)"/>
      <w:numFmt w:val="decimal"/>
      <w:start w:val="1"/>
    </w:lvl>
  </w:abstractNum>
  <w:abstractNum w:abstractNumId="4">
    <w:nsid w:val="579328B9"/>
    <w:multiLevelType w:val="hybridMultilevel"/>
    <w:lvl w:ilvl="0">
      <w:lvlJc w:val="left"/>
      <w:lvlText w:val="(%1)"/>
      <w:numFmt w:val="decimal"/>
      <w:start w:val="1"/>
    </w:lvl>
  </w:abstractNum>
  <w:abstractNum w:abstractNumId="5">
    <w:nsid w:val="5D205E20"/>
    <w:multiLevelType w:val="hybridMultilevel"/>
    <w:lvl w:ilvl="0">
      <w:lvlJc w:val="left"/>
      <w:lvlText w:val="(%1)"/>
      <w:numFmt w:val="decimal"/>
      <w:start w:val="1"/>
    </w:lvl>
  </w:abstractNum>
  <w:abstractNum w:abstractNumId="6">
    <w:nsid w:val="11CCA8BA"/>
    <w:multiLevelType w:val="hybridMultilevel"/>
    <w:lvl w:ilvl="0">
      <w:lvlJc w:val="left"/>
      <w:lvlText w:val="(%1)"/>
      <w:numFmt w:val="decimal"/>
      <w:start w:val="1"/>
    </w:lvl>
  </w:abstractNum>
  <w:abstractNum w:abstractNumId="7">
    <w:nsid w:val="4D32AB86"/>
    <w:multiLevelType w:val="hybridMultilevel"/>
    <w:lvl w:ilvl="0">
      <w:lvlJc w:val="left"/>
      <w:lvlText w:val="(%1)"/>
      <w:numFmt w:val="decimal"/>
      <w:start w:val="1"/>
    </w:lvl>
  </w:abstractNum>
  <w:abstractNum w:abstractNumId="8">
    <w:nsid w:val="3F07ACC3"/>
    <w:multiLevelType w:val="hybridMultilevel"/>
    <w:lvl w:ilvl="0">
      <w:lvlJc w:val="left"/>
      <w:lvlText w:val="(%1)"/>
      <w:numFmt w:val="lowerLetter"/>
      <w:start w:val="1"/>
    </w:lvl>
  </w:abstractNum>
  <w:abstractNum w:abstractNumId="9">
    <w:nsid w:val="6B47F63E"/>
    <w:multiLevelType w:val="hybridMultilevel"/>
    <w:lvl w:ilvl="0">
      <w:lvlJc w:val="left"/>
      <w:lvlText w:val="(%1)"/>
      <w:numFmt w:val="lowerLetter"/>
      <w:start w:val="7"/>
    </w:lvl>
  </w:abstractNum>
  <w:abstractNum w:abstractNumId="10">
    <w:nsid w:val="5CB44A05"/>
    <w:multiLevelType w:val="hybridMultilevel"/>
    <w:lvl w:ilvl="0">
      <w:lvlJc w:val="left"/>
      <w:lvlText w:val="(%1)"/>
      <w:numFmt w:val="lowerLetter"/>
      <w:start w:val="20"/>
    </w:lvl>
  </w:abstractNum>
  <w:abstractNum w:abstractNumId="11">
    <w:nsid w:val="16CF80F1"/>
    <w:multiLevelType w:val="hybridMultilevel"/>
    <w:lvl w:ilvl="0">
      <w:lvlJc w:val="left"/>
      <w:lvlText w:val="•"/>
      <w:numFmt w:val="bullet"/>
      <w:start w:val="1"/>
    </w:lvl>
  </w:abstractNum>
  <w:abstractNum w:abstractNumId="12">
    <w:nsid w:val="1C695DEC"/>
    <w:multiLevelType w:val="hybridMultilevel"/>
    <w:lvl w:ilvl="0">
      <w:lvlJc w:val="left"/>
      <w:lvlText w:val="•"/>
      <w:numFmt w:val="bullet"/>
      <w:start w:val="1"/>
    </w:lvl>
  </w:abstractNum>
  <w:abstractNum w:abstractNumId="13">
    <w:nsid w:val="3FCFAED9"/>
    <w:multiLevelType w:val="hybridMultilevel"/>
    <w:lvl w:ilvl="0">
      <w:lvlJc w:val="left"/>
      <w:lvlText w:val="(%1)"/>
      <w:numFmt w:val="decimal"/>
      <w:start w:val="1"/>
    </w:lvl>
  </w:abstractNum>
  <w:abstractNum w:abstractNumId="14">
    <w:nsid w:val="F856867"/>
    <w:multiLevelType w:val="hybridMultilevel"/>
    <w:lvl w:ilvl="0">
      <w:lvlJc w:val="left"/>
      <w:lvlText w:val="(%1)"/>
      <w:numFmt w:val="lowerLetter"/>
      <w:start w:val="1"/>
    </w:lvl>
  </w:abstractNum>
  <w:abstractNum w:abstractNumId="15">
    <w:nsid w:val="11B1CC33"/>
    <w:multiLevelType w:val="hybridMultilevel"/>
    <w:lvl w:ilvl="0">
      <w:lvlJc w:val="left"/>
      <w:lvlText w:val="\endash "/>
      <w:numFmt w:val="bullet"/>
      <w:start w:val="1"/>
    </w:lvl>
  </w:abstractNum>
  <w:abstractNum w:abstractNumId="16">
    <w:nsid w:val="2E22FBB7"/>
    <w:multiLevelType w:val="hybridMultilevel"/>
    <w:lvl w:ilvl="0">
      <w:lvlJc w:val="left"/>
      <w:lvlText w:val="^"/>
      <w:numFmt w:val="bullet"/>
      <w:start w:val="1"/>
    </w:lvl>
  </w:abstractNum>
  <w:abstractNum w:abstractNumId="17">
    <w:nsid w:val="29934699"/>
    <w:multiLevelType w:val="hybridMultilevel"/>
    <w:lvl w:ilvl="0">
      <w:lvlJc w:val="left"/>
      <w:lvlText w:val="%1."/>
      <w:numFmt w:val="decimal"/>
      <w:start w:val="1"/>
    </w:lvl>
  </w:abstractNum>
  <w:abstractNum w:abstractNumId="18">
    <w:nsid w:val="77485850"/>
    <w:multiLevelType w:val="hybridMultilevel"/>
    <w:lvl w:ilvl="0">
      <w:lvlJc w:val="left"/>
      <w:lvlText w:val="%1."/>
      <w:numFmt w:val="decimal"/>
      <w:start w:val="2"/>
    </w:lvl>
    <w:lvl w:ilvl="1">
      <w:lvlJc w:val="left"/>
      <w:lvlText w:val="%2"/>
      <w:numFmt w:val="lowerLetter"/>
      <w:start w:val="1"/>
    </w:lvl>
  </w:abstractNum>
  <w:abstractNum w:abstractNumId="19">
    <w:nsid w:val="744939A3"/>
    <w:multiLevelType w:val="hybridMultilevel"/>
    <w:lvl w:ilvl="0">
      <w:lvlJc w:val="left"/>
      <w:lvlText w:val="%1."/>
      <w:numFmt w:val="lowerLetter"/>
      <w:start w:val="2"/>
    </w:lvl>
  </w:abstractNum>
  <w:abstractNum w:abstractNumId="20">
    <w:nsid w:val="4FA0D2E3"/>
    <w:multiLevelType w:val="hybridMultilevel"/>
    <w:lvl w:ilvl="0">
      <w:lvlJc w:val="left"/>
      <w:lvlText w:val="%1"/>
      <w:numFmt w:val="decimal"/>
      <w:start w:val="1"/>
    </w:lvl>
    <w:lvl w:ilvl="1">
      <w:lvlJc w:val="left"/>
      <w:lvlText w:val="%2."/>
      <w:numFmt w:val="lowerLetter"/>
      <w:start w:val="6"/>
    </w:lvl>
  </w:abstractNum>
  <w:abstractNum w:abstractNumId="21">
    <w:nsid w:val="6B1D2C14"/>
    <w:multiLevelType w:val="hybridMultilevel"/>
    <w:lvl w:ilvl="0">
      <w:lvlJc w:val="left"/>
      <w:lvlText w:val="%1."/>
      <w:numFmt w:val="decimal"/>
      <w:start w:val="3"/>
    </w:lvl>
    <w:lvl w:ilvl="1">
      <w:lvlJc w:val="left"/>
      <w:lvlText w:val="%2"/>
      <w:numFmt w:val="lowerLetter"/>
      <w:start w:val="1"/>
    </w:lvl>
  </w:abstractNum>
  <w:abstractNum w:abstractNumId="22">
    <w:nsid w:val="68B867D3"/>
    <w:multiLevelType w:val="hybridMultilevel"/>
    <w:lvl w:ilvl="0">
      <w:lvlJc w:val="left"/>
      <w:lvlText w:val="%1."/>
      <w:numFmt w:val="decimal"/>
      <w:start w:val="8"/>
    </w:lvl>
  </w:abstractNum>
  <w:abstractNum w:abstractNumId="23">
    <w:nsid w:val="3F7F5DD9"/>
    <w:multiLevelType w:val="hybridMultilevel"/>
    <w:lvl w:ilvl="0">
      <w:lvlJc w:val="left"/>
      <w:lvlText w:val="%1."/>
      <w:numFmt w:val="decimal"/>
      <w:start w:val="9"/>
    </w:lvl>
  </w:abstractNum>
  <w:abstractNum w:abstractNumId="24">
    <w:nsid w:val="2AE05A34"/>
    <w:multiLevelType w:val="hybridMultilevel"/>
    <w:lvl w:ilvl="0">
      <w:lvlJc w:val="left"/>
      <w:lvlText w:val="%1."/>
      <w:numFmt w:val="decimal"/>
      <w:start w:val="11"/>
    </w:lvl>
  </w:abstractNum>
  <w:abstractNum w:abstractNumId="25">
    <w:nsid w:val="32794FF7"/>
    <w:multiLevelType w:val="hybridMultilevel"/>
    <w:lvl w:ilvl="0">
      <w:lvlJc w:val="left"/>
      <w:lvlText w:val="%1."/>
      <w:numFmt w:val="decimal"/>
      <w:start w:val="14"/>
    </w:lvl>
    <w:lvl w:ilvl="1">
      <w:lvlJc w:val="left"/>
      <w:lvlText w:val="%2."/>
      <w:numFmt w:val="lowerLetter"/>
      <w:start w:val="1"/>
    </w:lvl>
  </w:abstractNum>
  <w:abstractNum w:abstractNumId="26">
    <w:nsid w:val="545494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27">
    <w:nsid w:val="4DEFDFA0"/>
    <w:multiLevelType w:val="hybridMultilevel"/>
    <w:lvl w:ilvl="0">
      <w:lvlJc w:val="left"/>
      <w:lvlText w:val="%1"/>
      <w:numFmt w:val="decimal"/>
      <w:start w:val="1"/>
    </w:lvl>
    <w:lvl w:ilvl="1">
      <w:lvlJc w:val="left"/>
      <w:lvlText w:val="%2."/>
      <w:numFmt w:val="decimal"/>
      <w:start w:val="16"/>
    </w:lvl>
    <w:lvl w:ilvl="2">
      <w:lvlJc w:val="left"/>
      <w:lvlText w:val="%3"/>
      <w:numFmt w:val="lowerLetter"/>
      <w:start w:val="1"/>
    </w:lvl>
  </w:abstractNum>
  <w:abstractNum w:abstractNumId="28">
    <w:nsid w:val="2123D5F2"/>
    <w:multiLevelType w:val="hybridMultilevel"/>
    <w:lvl w:ilvl="0">
      <w:lvlJc w:val="left"/>
      <w:lvlText w:val="%1"/>
      <w:numFmt w:val="decimal"/>
      <w:start w:val="1"/>
    </w:lvl>
    <w:lvl w:ilvl="1">
      <w:lvlJc w:val="left"/>
      <w:lvlText w:val="%2."/>
      <w:numFmt w:val="decimal"/>
      <w:start w:val="18"/>
    </w:lvl>
    <w:lvl w:ilvl="2">
      <w:lvlJc w:val="left"/>
      <w:lvlText w:val="%3."/>
      <w:numFmt w:val="lowerLetter"/>
      <w:start w:val="1"/>
    </w:lvl>
  </w:abstractNum>
  <w:abstractNum w:abstractNumId="29">
    <w:nsid w:val="135B8110"/>
    <w:multiLevelType w:val="hybridMultilevel"/>
    <w:lvl w:ilvl="0">
      <w:lvlJc w:val="left"/>
      <w:lvlText w:val="%1."/>
      <w:numFmt w:val="decimal"/>
      <w:start w:val="1"/>
    </w:lvl>
    <w:lvl w:ilvl="1">
      <w:lvlJc w:val="left"/>
      <w:lvlText w:val="(%2)"/>
      <w:numFmt w:val="lowerLetter"/>
      <w:start w:val="1"/>
    </w:lvl>
  </w:abstractNum>
  <w:abstractNum w:abstractNumId="30">
    <w:nsid w:val="94927A8"/>
    <w:multiLevelType w:val="hybridMultilevel"/>
    <w:lvl w:ilvl="0">
      <w:lvlJc w:val="left"/>
      <w:lvlText w:val="(%1)"/>
      <w:numFmt w:val="lowerLetter"/>
      <w:start w:val="1"/>
    </w:lvl>
    <w:lvl w:ilvl="1">
      <w:lvlJc w:val="left"/>
      <w:lvlText w:val="(%2)"/>
      <w:numFmt w:val="lowerRoman"/>
      <w:start w:val="1"/>
    </w:lvl>
  </w:abstractNum>
  <w:abstractNum w:abstractNumId="31">
    <w:nsid w:val="DCDF8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2">
    <w:nsid w:val="52D7B10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
    <w:nsid w:val="2E8A6394"/>
    <w:multiLevelType w:val="hybridMultilevel"/>
    <w:lvl w:ilvl="0">
      <w:lvlJc w:val="left"/>
      <w:lvlText w:val="(%1)"/>
      <w:numFmt w:val="decimal"/>
      <w:start w:val="5"/>
    </w:lvl>
    <w:lvl w:ilvl="1">
      <w:lvlJc w:val="left"/>
      <w:lvlText w:val="(%2)"/>
      <w:numFmt w:val="lowerLetter"/>
      <w:start w:val="4"/>
    </w:lvl>
    <w:lvl w:ilvl="2">
      <w:lvlJc w:val="left"/>
      <w:lvlText w:val="%3"/>
      <w:numFmt w:val="lowerRoman"/>
      <w:start w:val="1"/>
    </w:lvl>
  </w:abstractNum>
  <w:abstractNum w:abstractNumId="34">
    <w:nsid w:val="24E60401"/>
    <w:multiLevelType w:val="hybridMultilevel"/>
    <w:lvl w:ilvl="0">
      <w:lvlJc w:val="left"/>
      <w:lvlText w:val="%1."/>
      <w:numFmt w:val="decimal"/>
      <w:start w:val="3"/>
    </w:lvl>
  </w:abstractNum>
  <w:abstractNum w:abstractNumId="35">
    <w:nsid w:val="2A6AD9BE"/>
    <w:multiLevelType w:val="hybridMultilevel"/>
    <w:lvl w:ilvl="0">
      <w:lvlJc w:val="left"/>
      <w:lvlText w:val="%1"/>
      <w:numFmt w:val="decimal"/>
      <w:start w:val="1"/>
    </w:lvl>
    <w:lvl w:ilvl="1">
      <w:lvlJc w:val="left"/>
      <w:lvlText w:val="(%2)"/>
      <w:numFmt w:val="lowerLetter"/>
      <w:start w:val="1"/>
    </w:lvl>
  </w:abstractNum>
  <w:abstractNum w:abstractNumId="36">
    <w:nsid w:val="BAAC1B4"/>
    <w:multiLevelType w:val="hybridMultilevel"/>
    <w:lvl w:ilvl="0">
      <w:lvlJc w:val="left"/>
      <w:lvlText w:val="%1."/>
      <w:numFmt w:val="decimal"/>
      <w:start w:val="4"/>
    </w:lvl>
    <w:lvl w:ilvl="1">
      <w:lvlJc w:val="left"/>
      <w:lvlText w:val="%2"/>
      <w:numFmt w:val="lowerLetter"/>
      <w:start w:val="1"/>
    </w:lvl>
  </w:abstractNum>
  <w:abstractNum w:abstractNumId="37">
    <w:nsid w:val="36B2ACBC"/>
    <w:multiLevelType w:val="hybridMultilevel"/>
    <w:lvl w:ilvl="0">
      <w:lvlJc w:val="left"/>
      <w:lvlText w:val="%1."/>
      <w:numFmt w:val="decimal"/>
      <w:start w:val="7"/>
    </w:lvl>
  </w:abstractNum>
  <w:abstractNum w:abstractNumId="38">
    <w:nsid w:val="779D8544"/>
    <w:multiLevelType w:val="hybridMultilevel"/>
    <w:lvl w:ilvl="0">
      <w:lvlJc w:val="left"/>
      <w:lvlText w:val="A"/>
      <w:numFmt w:val="bullet"/>
      <w:start w:val="1"/>
    </w:lvl>
  </w:abstractNum>
  <w:abstractNum w:abstractNumId="39">
    <w:nsid w:val="4AB26E78"/>
    <w:multiLevelType w:val="hybridMultilevel"/>
    <w:lvl w:ilvl="0">
      <w:lvlJc w:val="left"/>
      <w:lvlText w:val="A"/>
      <w:numFmt w:val="bullet"/>
      <w:start w:val="1"/>
    </w:lvl>
  </w:abstractNum>
  <w:abstractNum w:abstractNumId="40">
    <w:nsid w:val="21FAA2FA"/>
    <w:multiLevelType w:val="hybridMultilevel"/>
    <w:lvl w:ilvl="0">
      <w:lvlJc w:val="left"/>
      <w:lvlText w:val="(%1)"/>
      <w:numFmt w:val="lowerLetter"/>
      <w:start w:val="3"/>
    </w:lvl>
  </w:abstractNum>
  <w:abstractNum w:abstractNumId="41">
    <w:nsid w:val="5451CF49"/>
    <w:multiLevelType w:val="hybridMultilevel"/>
    <w:lvl w:ilvl="0">
      <w:lvlJc w:val="left"/>
      <w:lvlText w:val="(%1)"/>
      <w:numFmt w:val="lowerLetter"/>
      <w:start w:val="1"/>
    </w:lvl>
  </w:abstractNum>
  <w:abstractNum w:abstractNumId="42">
    <w:nsid w:val="6181EF69"/>
    <w:multiLevelType w:val="hybridMultilevel"/>
    <w:lvl w:ilvl="0">
      <w:lvlJc w:val="left"/>
      <w:lvlText w:val="(%1)"/>
      <w:numFmt w:val="lowerLetter"/>
      <w:start w:val="2"/>
    </w:lvl>
  </w:abstractNum>
  <w:abstractNum w:abstractNumId="43">
    <w:nsid w:val="3E6400E6"/>
    <w:multiLevelType w:val="hybridMultilevel"/>
    <w:lvl w:ilvl="0">
      <w:lvlJc w:val="left"/>
      <w:lvlText w:val="(%1)"/>
      <w:numFmt w:val="lowerLetter"/>
      <w:start w:val="1"/>
    </w:lvl>
  </w:abstractNum>
  <w:abstractNum w:abstractNumId="44">
    <w:nsid w:val="14217E2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5">
    <w:nsid w:val="710757D0"/>
    <w:multiLevelType w:val="hybridMultilevel"/>
    <w:lvl w:ilvl="0">
      <w:lvlJc w:val="left"/>
      <w:lvlText w:val="(%1)"/>
      <w:numFmt w:val="lowerLetter"/>
      <w:start w:val="7"/>
    </w:lvl>
    <w:lvl w:ilvl="1">
      <w:lvlJc w:val="left"/>
      <w:lvlText w:val="(%2)"/>
      <w:numFmt w:val="lowerLetter"/>
      <w:start w:val="8"/>
    </w:lvl>
    <w:lvl w:ilvl="2">
      <w:lvlJc w:val="left"/>
      <w:lvlText w:val="%3"/>
      <w:numFmt w:val="lowerLetter"/>
      <w:start w:val="1"/>
    </w:lvl>
  </w:abstractNum>
  <w:abstractNum w:abstractNumId="46">
    <w:nsid w:val="5015CD1A"/>
    <w:multiLevelType w:val="hybridMultilevel"/>
    <w:lvl w:ilvl="0">
      <w:lvlJc w:val="left"/>
      <w:lvlText w:val="(%1)"/>
      <w:numFmt w:val="lowerLetter"/>
      <w:start w:val="11"/>
    </w:lvl>
  </w:abstractNum>
  <w:abstractNum w:abstractNumId="47">
    <w:nsid w:val="424479DA"/>
    <w:multiLevelType w:val="hybridMultilevel"/>
    <w:lvl w:ilvl="0">
      <w:lvlJc w:val="left"/>
      <w:lvlText w:val="(%1)"/>
      <w:numFmt w:val="lowerLetter"/>
      <w:start w:val="17"/>
    </w:lvl>
  </w:abstractNum>
  <w:abstractNum w:abstractNumId="48">
    <w:nsid w:val="1A9A9E69"/>
    <w:multiLevelType w:val="hybridMultilevel"/>
    <w:lvl w:ilvl="0">
      <w:lvlJc w:val="left"/>
      <w:lvlText w:val="(%1)"/>
      <w:numFmt w:val="lowerLetter"/>
      <w:start w:val="2"/>
    </w:lvl>
  </w:abstractNum>
  <w:abstractNum w:abstractNumId="49">
    <w:nsid w:val="475E256A"/>
    <w:multiLevelType w:val="hybridMultilevel"/>
    <w:lvl w:ilvl="0">
      <w:lvlJc w:val="left"/>
      <w:lvlText w:val="(%1)"/>
      <w:numFmt w:val="lowerLetter"/>
      <w:start w:val="9"/>
    </w:lvl>
  </w:abstractNum>
  <w:abstractNum w:abstractNumId="50">
    <w:nsid w:val="368DB37E"/>
    <w:multiLevelType w:val="hybridMultilevel"/>
    <w:lvl w:ilvl="0">
      <w:lvlJc w:val="left"/>
      <w:lvlText w:val="(%1)"/>
      <w:numFmt w:val="lowerLetter"/>
      <w:start w:val="3"/>
    </w:lvl>
  </w:abstractNum>
  <w:abstractNum w:abstractNumId="51">
    <w:nsid w:val="6A3B714C"/>
    <w:multiLevelType w:val="hybridMultilevel"/>
    <w:lvl w:ilvl="0">
      <w:lvlJc w:val="left"/>
      <w:lvlText w:val="(%1)"/>
      <w:numFmt w:val="lowerLetter"/>
      <w:start w:val="18"/>
    </w:lvl>
  </w:abstractNum>
  <w:abstractNum w:abstractNumId="52">
    <w:nsid w:val="327B517E"/>
    <w:multiLevelType w:val="hybridMultilevel"/>
    <w:lvl w:ilvl="0">
      <w:lvlJc w:val="left"/>
      <w:lvlText w:val="(%1)"/>
      <w:numFmt w:val="lowerLetter"/>
      <w:start w:val="20"/>
    </w:lvl>
  </w:abstractNum>
  <w:abstractNum w:abstractNumId="53">
    <w:nsid w:val="1F461B51"/>
    <w:multiLevelType w:val="hybridMultilevel"/>
    <w:lvl w:ilvl="0">
      <w:lvlJc w:val="left"/>
      <w:lvlText w:val="%1"/>
      <w:numFmt w:val="upperLetter"/>
      <w:start w:val="1"/>
    </w:lvl>
    <w:lvl w:ilvl="1">
      <w:lvlJc w:val="left"/>
      <w:lvlText w:val="(%2)"/>
      <w:numFmt w:val="lowerLetter"/>
      <w:start w:val="1"/>
    </w:lvl>
  </w:abstractNum>
  <w:abstractNum w:abstractNumId="54">
    <w:nsid w:val="29BACF25"/>
    <w:multiLevelType w:val="hybridMultilevel"/>
    <w:lvl w:ilvl="0">
      <w:lvlJc w:val="left"/>
      <w:lvlText w:val="(%1)"/>
      <w:numFmt w:val="upperLetter"/>
      <w:start w:val="1"/>
    </w:lvl>
    <w:lvl w:ilvl="1">
      <w:lvlJc w:val="left"/>
      <w:lvlText w:val="%2"/>
      <w:numFmt w:val="lowerLetter"/>
      <w:start w:val="1"/>
    </w:lvl>
  </w:abstractNum>
  <w:abstractNum w:abstractNumId="55">
    <w:nsid w:val="5D5BABB3"/>
    <w:multiLevelType w:val="hybridMultilevel"/>
    <w:lvl w:ilvl="0">
      <w:lvlJc w:val="left"/>
      <w:lvlText w:val="(%1)"/>
      <w:numFmt w:val="lowerLetter"/>
      <w:start w:val="3"/>
    </w:lvl>
  </w:abstractNum>
  <w:abstractNum w:abstractNumId="56">
    <w:nsid w:val="51BF6B48"/>
    <w:multiLevelType w:val="hybridMultilevel"/>
    <w:lvl w:ilvl="0">
      <w:lvlJc w:val="left"/>
      <w:lvlText w:val="(%1)"/>
      <w:numFmt w:val="lowerLetter"/>
      <w:start w:val="1"/>
    </w:lvl>
  </w:abstractNum>
  <w:abstractNum w:abstractNumId="57">
    <w:nsid w:val="7E0F6384"/>
    <w:multiLevelType w:val="hybridMultilevel"/>
    <w:lvl w:ilvl="0">
      <w:lvlJc w:val="left"/>
      <w:lvlText w:val="(%1)"/>
      <w:numFmt w:val="lowerLetter"/>
      <w:start w:val="1"/>
    </w:lvl>
  </w:abstractNum>
  <w:abstractNum w:abstractNumId="58">
    <w:nsid w:val="2B4B8B53"/>
    <w:multiLevelType w:val="hybridMultilevel"/>
    <w:lvl w:ilvl="0">
      <w:lvlJc w:val="left"/>
      <w:lvlText w:val="(%1)"/>
      <w:numFmt w:val="lowerLetter"/>
      <w:start w:val="6"/>
    </w:lvl>
  </w:abstractNum>
  <w:abstractNum w:abstractNumId="59">
    <w:nsid w:val="72E3413A"/>
    <w:multiLevelType w:val="hybridMultilevel"/>
    <w:lvl w:ilvl="0">
      <w:lvlJc w:val="left"/>
      <w:lvlText w:val="(%1)"/>
      <w:numFmt w:val="lowerRoman"/>
      <w:start w:val="8"/>
    </w:lvl>
  </w:abstractNum>
  <w:abstractNum w:abstractNumId="60">
    <w:nsid w:val="116AE494"/>
    <w:multiLevelType w:val="hybridMultilevel"/>
    <w:lvl w:ilvl="0">
      <w:lvlJc w:val="left"/>
      <w:lvlText w:val="(%1)"/>
      <w:numFmt w:val="lowerLetter"/>
      <w:start w:val="1"/>
    </w:lvl>
  </w:abstractNum>
  <w:abstractNum w:abstractNumId="61">
    <w:nsid w:val="3494B2FB"/>
    <w:multiLevelType w:val="hybridMultilevel"/>
    <w:lvl w:ilvl="0">
      <w:lvlJc w:val="left"/>
      <w:lvlText w:val="%1"/>
      <w:numFmt w:val="lowerRoman"/>
      <w:start w:val="1"/>
    </w:lvl>
    <w:lvl w:ilvl="1">
      <w:lvlJc w:val="left"/>
      <w:lvlText w:val="(%2)"/>
      <w:numFmt w:val="lowerLetter"/>
      <w:start w:val="2"/>
    </w:lvl>
  </w:abstractNum>
  <w:abstractNum w:abstractNumId="62">
    <w:nsid w:val="B13A31"/>
    <w:multiLevelType w:val="hybridMultilevel"/>
    <w:lvl w:ilvl="0">
      <w:lvlJc w:val="left"/>
      <w:lvlText w:val="(%1)"/>
      <w:numFmt w:val="lowerRoman"/>
      <w:start w:val="1"/>
    </w:lvl>
    <w:lvl w:ilvl="1">
      <w:lvlJc w:val="left"/>
      <w:lvlText w:val="(%2)"/>
      <w:numFmt w:val="lowerLetter"/>
      <w:start w:val="35"/>
    </w:lvl>
  </w:abstractNum>
  <w:abstractNum w:abstractNumId="63">
    <w:nsid w:val="64429599"/>
    <w:multiLevelType w:val="hybridMultilevel"/>
    <w:lvl w:ilvl="0">
      <w:lvlJc w:val="left"/>
      <w:lvlText w:val="(%1)"/>
      <w:numFmt w:val="lowerRoman"/>
      <w:start w:val="3"/>
    </w:lvl>
    <w:lvl w:ilvl="1">
      <w:lvlJc w:val="left"/>
      <w:lvlText w:val="(%2)"/>
      <w:numFmt w:val="lowerRoman"/>
      <w:start w:val="4"/>
    </w:lvl>
  </w:abstractNum>
  <w:abstractNum w:abstractNumId="64">
    <w:nsid w:val="631F1690"/>
    <w:multiLevelType w:val="hybridMultilevel"/>
    <w:lvl w:ilvl="0">
      <w:lvlJc w:val="left"/>
      <w:lvlText w:val="(%1)"/>
      <w:numFmt w:val="lowerRoman"/>
      <w:start w:val="6"/>
    </w:lvl>
  </w:abstractNum>
  <w:abstractNum w:abstractNumId="65">
    <w:nsid w:val="25973E32"/>
    <w:multiLevelType w:val="hybridMultilevel"/>
    <w:lvl w:ilvl="0">
      <w:lvlJc w:val="left"/>
      <w:lvlText w:val="(%1)"/>
      <w:numFmt w:val="lowerLetter"/>
      <w:start w:val="3"/>
    </w:lvl>
    <w:lvl w:ilvl="1">
      <w:lvlJc w:val="left"/>
      <w:lvlText w:val="(%2)"/>
      <w:numFmt w:val="lowerRoman"/>
      <w:start w:val="1"/>
    </w:lvl>
  </w:abstractNum>
  <w:abstractNum w:abstractNumId="66">
    <w:nsid w:val="EAD6F57"/>
    <w:multiLevelType w:val="hybridMultilevel"/>
    <w:lvl w:ilvl="0">
      <w:lvlJc w:val="left"/>
      <w:lvlText w:val="(%1)"/>
      <w:numFmt w:val="lowerLetter"/>
      <w:start w:val="2"/>
    </w:lvl>
  </w:abstractNum>
  <w:abstractNum w:abstractNumId="67">
    <w:nsid w:val="6EC9D844"/>
    <w:multiLevelType w:val="hybridMultilevel"/>
    <w:lvl w:ilvl="0">
      <w:lvlJc w:val="left"/>
      <w:lvlText w:val="(%1)"/>
      <w:numFmt w:val="lowerLetter"/>
      <w:start w:val="1"/>
    </w:lvl>
  </w:abstractNum>
  <w:abstractNum w:abstractNumId="68">
    <w:nsid w:val="5C49EAEE"/>
    <w:multiLevelType w:val="hybridMultilevel"/>
    <w:lvl w:ilvl="0">
      <w:lvlJc w:val="left"/>
      <w:lvlText w:val="%1"/>
      <w:numFmt w:val="decimal"/>
      <w:start w:val="1"/>
    </w:lvl>
    <w:lvl w:ilvl="1">
      <w:lvlJc w:val="left"/>
      <w:lvlText w:val="(%2)"/>
      <w:numFmt w:val="lowerLetter"/>
      <w:start w:val="2"/>
    </w:lvl>
  </w:abstractNum>
  <w:abstractNum w:abstractNumId="69">
    <w:nsid w:val="64AF49B"/>
    <w:multiLevelType w:val="hybridMultilevel"/>
    <w:lvl w:ilvl="0">
      <w:lvlJc w:val="left"/>
      <w:lvlText w:val="(%1)"/>
      <w:numFmt w:val="decimal"/>
      <w:start w:val="1"/>
    </w:lvl>
    <w:lvl w:ilvl="1">
      <w:lvlJc w:val="left"/>
      <w:lvlText w:val="(%2)"/>
      <w:numFmt w:val="lowerLetter"/>
      <w:start w:val="5"/>
    </w:lvl>
  </w:abstractNum>
  <w:abstractNum w:abstractNumId="70">
    <w:nsid w:val="397C46BC"/>
    <w:multiLevelType w:val="hybridMultilevel"/>
    <w:lvl w:ilvl="0">
      <w:lvlJc w:val="left"/>
      <w:lvlText w:val="(%1)"/>
      <w:numFmt w:val="lowerLetter"/>
      <w:start w:val="11"/>
    </w:lvl>
    <w:lvl w:ilvl="1">
      <w:lvlJc w:val="left"/>
      <w:lvlText w:val="(%2)"/>
      <w:numFmt w:val="lowerLetter"/>
      <w:start w:val="9"/>
    </w:lvl>
  </w:abstractNum>
  <w:abstractNum w:abstractNumId="71">
    <w:nsid w:val="7E448DE9"/>
    <w:multiLevelType w:val="hybridMultilevel"/>
    <w:lvl w:ilvl="0">
      <w:lvlJc w:val="left"/>
      <w:lvlText w:val="(%1)"/>
      <w:numFmt w:val="lowerLetter"/>
      <w:start w:val="1"/>
    </w:lvl>
    <w:lvl w:ilvl="1">
      <w:lvlJc w:val="left"/>
      <w:lvlText w:val="(%2)"/>
      <w:numFmt w:val="lowerLetter"/>
      <w:start w:val="24"/>
    </w:lvl>
  </w:abstractNum>
  <w:abstractNum w:abstractNumId="72">
    <w:nsid w:val="5A9CC3E5"/>
    <w:multiLevelType w:val="hybridMultilevel"/>
    <w:lvl w:ilvl="0">
      <w:lvlJc w:val="left"/>
      <w:lvlText w:val="(%1)"/>
      <w:numFmt w:val="lowerLetter"/>
      <w:start w:val="8"/>
    </w:lvl>
  </w:abstractNum>
  <w:abstractNum w:abstractNumId="73">
    <w:nsid w:val="1AFE3625"/>
    <w:multiLevelType w:val="hybridMultilevel"/>
    <w:lvl w:ilvl="0">
      <w:lvlJc w:val="left"/>
      <w:lvlText w:val="(%1)"/>
      <w:numFmt w:val="lowerRoman"/>
      <w:start w:val="1"/>
    </w:lvl>
  </w:abstractNum>
  <w:abstractNum w:abstractNumId="74">
    <w:nsid w:val="3CA88ECF"/>
    <w:multiLevelType w:val="hybridMultilevel"/>
    <w:lvl w:ilvl="0">
      <w:lvlJc w:val="left"/>
      <w:lvlText w:val="(%1)"/>
      <w:numFmt w:val="lowerLetter"/>
      <w:start w:val="1"/>
    </w:lvl>
  </w:abstractNum>
  <w:abstractNum w:abstractNumId="75">
    <w:nsid w:val="6EBE420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76">
    <w:nsid w:val="C058DF5"/>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4"/>
    </w:lvl>
  </w:abstractNum>
  <w:abstractNum w:abstractNumId="77">
    <w:nsid w:val="CBE5BE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78">
    <w:nsid w:val="3102BBE2"/>
    <w:multiLevelType w:val="hybridMultilevel"/>
    <w:lvl w:ilvl="0">
      <w:lvlJc w:val="left"/>
      <w:lvlText w:val="(%1)"/>
      <w:numFmt w:val="lowerRoman"/>
      <w:start w:val="2"/>
    </w:lvl>
    <w:lvl w:ilvl="1">
      <w:lvlJc w:val="left"/>
      <w:lvlText w:val="(%2)"/>
      <w:numFmt w:val="lowerRoman"/>
      <w:start w:val="4"/>
    </w:lvl>
    <w:lvl w:ilvl="2">
      <w:lvlJc w:val="left"/>
      <w:lvlText w:val="(%3)"/>
      <w:numFmt w:val="lowerRoman"/>
      <w:start w:val="3"/>
    </w:lvl>
    <w:lvl w:ilvl="3">
      <w:lvlJc w:val="left"/>
      <w:lvlText w:val="(%4)"/>
      <w:numFmt w:val="lowerRoman"/>
      <w:start w:val="6"/>
    </w:lvl>
    <w:lvl w:ilvl="4">
      <w:lvlJc w:val="left"/>
      <w:lvlText w:val="(%5)"/>
      <w:numFmt w:val="lowerRoman"/>
      <w:start w:val="3"/>
    </w:lvl>
    <w:lvl w:ilvl="5">
      <w:lvlJc w:val="left"/>
      <w:lvlText w:val="(%6)"/>
      <w:numFmt w:val="lowerRoman"/>
      <w:start w:val="8"/>
    </w:lvl>
  </w:abstractNum>
  <w:abstractNum w:abstractNumId="79">
    <w:nsid w:val="26A02C5E"/>
    <w:multiLevelType w:val="hybridMultilevel"/>
    <w:lvl w:ilvl="0">
      <w:lvlJc w:val="left"/>
      <w:lvlText w:val="(%1)"/>
      <w:numFmt w:val="lowerRoman"/>
      <w:start w:val="9"/>
    </w:lvl>
    <w:lvl w:ilvl="1">
      <w:lvlJc w:val="left"/>
      <w:lvlText w:val="(%2)"/>
      <w:numFmt w:val="lowerRoman"/>
      <w:start w:val="11"/>
    </w:lvl>
  </w:abstractNum>
  <w:abstractNum w:abstractNumId="80">
    <w:nsid w:val="541C8153"/>
    <w:multiLevelType w:val="hybridMultilevel"/>
    <w:lvl w:ilvl="0">
      <w:lvlJc w:val="left"/>
      <w:lvlText w:val="(%1)"/>
      <w:numFmt w:val="lowerRoman"/>
      <w:start w:val="1"/>
    </w:lvl>
  </w:abstractNum>
  <w:abstractNum w:abstractNumId="81">
    <w:nsid w:val="67906F60"/>
    <w:multiLevelType w:val="hybridMultilevel"/>
    <w:lvl w:ilvl="0">
      <w:lvlJc w:val="left"/>
      <w:lvlText w:val="(%1)"/>
      <w:numFmt w:val="lowerLetter"/>
      <w:start w:val="2"/>
    </w:lvl>
  </w:abstractNum>
  <w:abstractNum w:abstractNumId="82">
    <w:nsid w:val="10DB9DAA"/>
    <w:multiLevelType w:val="hybridMultilevel"/>
    <w:lvl w:ilvl="0">
      <w:lvlJc w:val="left"/>
      <w:lvlText w:val="(%1)"/>
      <w:numFmt w:val="lowerLetter"/>
      <w:start w:val="1"/>
    </w:lvl>
  </w:abstractNum>
  <w:abstractNum w:abstractNumId="83">
    <w:nsid w:val="697D2D2"/>
    <w:multiLevelType w:val="hybridMultilevel"/>
    <w:lvl w:ilvl="0">
      <w:lvlJc w:val="left"/>
      <w:lvlText w:val="(%1)"/>
      <w:numFmt w:val="lowerLetter"/>
      <w:start w:val="1"/>
    </w:lvl>
  </w:abstractNum>
  <w:abstractNum w:abstractNumId="84">
    <w:nsid w:val="6D68AB2"/>
    <w:multiLevelType w:val="hybridMultilevel"/>
    <w:lvl w:ilvl="0">
      <w:lvlJc w:val="left"/>
      <w:lvlText w:val="(%1)"/>
      <w:numFmt w:val="lowerLetter"/>
      <w:start w:val="2"/>
    </w:lvl>
  </w:abstractNum>
  <w:abstractNum w:abstractNumId="85">
    <w:nsid w:val="3A966CD0"/>
    <w:multiLevelType w:val="hybridMultilevel"/>
    <w:lvl w:ilvl="0">
      <w:lvlJc w:val="left"/>
      <w:lvlText w:val="(%1)"/>
      <w:numFmt w:val="lowerRoman"/>
      <w:start w:val="1"/>
    </w:lvl>
  </w:abstractNum>
  <w:abstractNum w:abstractNumId="86">
    <w:nsid w:val="63F37E85"/>
    <w:multiLevelType w:val="hybridMultilevel"/>
    <w:lvl w:ilvl="0">
      <w:lvlJc w:val="left"/>
      <w:lvlText w:val="(%1)"/>
      <w:numFmt w:val="lowerRoman"/>
      <w:start w:val="2"/>
    </w:lvl>
  </w:abstractNum>
  <w:abstractNum w:abstractNumId="87">
    <w:nsid w:val="5895F5FA"/>
    <w:multiLevelType w:val="hybridMultilevel"/>
    <w:lvl w:ilvl="0">
      <w:lvlJc w:val="left"/>
      <w:lvlText w:val="(%1)"/>
      <w:numFmt w:val="lowerLetter"/>
      <w:start w:val="2"/>
    </w:lvl>
  </w:abstractNum>
  <w:abstractNum w:abstractNumId="88">
    <w:nsid w:val="38A5D054"/>
    <w:multiLevelType w:val="hybridMultilevel"/>
    <w:lvl w:ilvl="0">
      <w:lvlJc w:val="left"/>
      <w:lvlText w:val="(%1)"/>
      <w:numFmt w:val="lowerLetter"/>
      <w:start w:val="1"/>
    </w:lvl>
  </w:abstractNum>
  <w:abstractNum w:abstractNumId="89">
    <w:nsid w:val="F3F09D8"/>
    <w:multiLevelType w:val="hybridMultilevel"/>
    <w:lvl w:ilvl="0">
      <w:lvlJc w:val="left"/>
      <w:lvlText w:val="%1"/>
      <w:numFmt w:val="lowerLetter"/>
      <w:start w:val="1"/>
    </w:lvl>
    <w:lvl w:ilvl="1">
      <w:lvlJc w:val="left"/>
      <w:lvlText w:val="(%2)"/>
      <w:numFmt w:val="lowerLetter"/>
      <w:start w:val="2"/>
    </w:lvl>
  </w:abstractNum>
  <w:abstractNum w:abstractNumId="90">
    <w:nsid w:val="4B793735"/>
    <w:multiLevelType w:val="hybridMultilevel"/>
    <w:lvl w:ilvl="0">
      <w:lvlJc w:val="left"/>
      <w:lvlText w:val="(%1)"/>
      <w:numFmt w:val="lowerLetter"/>
      <w:start w:val="35"/>
    </w:lvl>
    <w:lvl w:ilvl="1">
      <w:lvlJc w:val="left"/>
      <w:lvlText w:val="%2"/>
      <w:numFmt w:val="lowerLetter"/>
      <w:start w:val="1"/>
    </w:lvl>
  </w:abstractNum>
  <w:abstractNum w:abstractNumId="91">
    <w:nsid w:val="4A10B4E8"/>
    <w:multiLevelType w:val="hybridMultilevel"/>
    <w:lvl w:ilvl="0">
      <w:lvlJc w:val="left"/>
      <w:lvlText w:val="(%1)"/>
      <w:numFmt w:val="lowerLetter"/>
      <w:start w:val="2"/>
    </w:lvl>
  </w:abstractNum>
  <w:abstractNum w:abstractNumId="92">
    <w:nsid w:val="43D3BCD4"/>
    <w:multiLevelType w:val="hybridMultilevel"/>
    <w:lvl w:ilvl="0">
      <w:lvlJc w:val="left"/>
      <w:lvlText w:val="(%1)"/>
      <w:numFmt w:val="lowerLetter"/>
      <w:start w:val="1"/>
    </w:lvl>
  </w:abstractNum>
  <w:abstractNum w:abstractNumId="93">
    <w:nsid w:val="4C2A7166"/>
    <w:multiLevelType w:val="hybridMultilevel"/>
    <w:lvl w:ilvl="0">
      <w:lvlJc w:val="left"/>
      <w:lvlText w:val="(%1)"/>
      <w:numFmt w:val="lowerLetter"/>
      <w:start w:val="4"/>
    </w:lvl>
  </w:abstractNum>
  <w:abstractNum w:abstractNumId="94">
    <w:nsid w:val="2E534A82"/>
    <w:multiLevelType w:val="hybridMultilevel"/>
    <w:lvl w:ilvl="0">
      <w:lvlJc w:val="left"/>
      <w:lvlText w:val="(%1)"/>
      <w:numFmt w:val="lowerRoman"/>
      <w:start w:val="4"/>
    </w:lvl>
  </w:abstractNum>
  <w:abstractNum w:abstractNumId="95">
    <w:nsid w:val="26F2D364"/>
    <w:multiLevelType w:val="hybridMultilevel"/>
    <w:lvl w:ilvl="0">
      <w:lvlJc w:val="left"/>
      <w:lvlText w:val="(%1)"/>
      <w:numFmt w:val="lowerRoman"/>
      <w:start w:val="3"/>
    </w:lvl>
  </w:abstractNum>
  <w:abstractNum w:abstractNumId="96">
    <w:nsid w:val="71C1AF98"/>
    <w:multiLevelType w:val="hybridMultilevel"/>
    <w:lvl w:ilvl="0">
      <w:lvlJc w:val="left"/>
      <w:lvlText w:val="(%1)"/>
      <w:numFmt w:val="lowerLetter"/>
      <w:start w:val="2"/>
    </w:lvl>
  </w:abstractNum>
  <w:abstractNum w:abstractNumId="97">
    <w:nsid w:val="3D00B9D9"/>
    <w:multiLevelType w:val="hybridMultilevel"/>
    <w:lvl w:ilvl="0">
      <w:lvlJc w:val="left"/>
      <w:lvlText w:val="(%1)"/>
      <w:numFmt w:val="lowerLetter"/>
      <w:start w:val="1"/>
    </w:lvl>
  </w:abstractNum>
  <w:abstractNum w:abstractNumId="98">
    <w:nsid w:val="15BCABA8"/>
    <w:multiLevelType w:val="hybridMultilevel"/>
    <w:lvl w:ilvl="0">
      <w:lvlJc w:val="left"/>
      <w:lvlText w:val="%1"/>
      <w:numFmt w:val="lowerLetter"/>
      <w:start w:val="1"/>
    </w:lvl>
    <w:lvl w:ilvl="1">
      <w:lvlJc w:val="left"/>
      <w:lvlText w:val="(%2)"/>
      <w:numFmt w:val="lowerLetter"/>
      <w:start w:val="1"/>
    </w:lvl>
  </w:abstractNum>
  <w:abstractNum w:abstractNumId="99">
    <w:nsid w:val="4E0B9A87"/>
    <w:multiLevelType w:val="hybridMultilevel"/>
    <w:lvl w:ilvl="0">
      <w:lvlJc w:val="left"/>
      <w:lvlText w:val="(%1)"/>
      <w:numFmt w:val="lowerLetter"/>
      <w:start w:val="35"/>
    </w:lvl>
    <w:lvl w:ilvl="1">
      <w:lvlJc w:val="left"/>
      <w:lvlText w:val="%2"/>
      <w:numFmt w:val="lowerLetter"/>
      <w:start w:val="1"/>
    </w:lvl>
  </w:abstractNum>
  <w:abstractNum w:abstractNumId="100">
    <w:nsid w:val="434BAE75"/>
    <w:multiLevelType w:val="hybridMultilevel"/>
    <w:lvl w:ilvl="0">
      <w:lvlJc w:val="left"/>
      <w:lvlText w:val="(%1)"/>
      <w:numFmt w:val="lowerLetter"/>
      <w:start w:val="3"/>
    </w:lvl>
  </w:abstractNum>
  <w:abstractNum w:abstractNumId="101">
    <w:nsid w:val="4F38F265"/>
    <w:multiLevelType w:val="hybridMultilevel"/>
    <w:lvl w:ilvl="0">
      <w:lvlJc w:val="left"/>
      <w:lvlText w:val="(%1)"/>
      <w:numFmt w:val="lowerLetter"/>
      <w:start w:val="1"/>
    </w:lvl>
  </w:abstractNum>
  <w:abstractNum w:abstractNumId="102">
    <w:nsid w:val="4C502870"/>
    <w:multiLevelType w:val="hybridMultilevel"/>
    <w:lvl w:ilvl="0">
      <w:lvlJc w:val="left"/>
      <w:lvlText w:val="(%1)"/>
      <w:numFmt w:val="lowerLetter"/>
      <w:start w:val="3"/>
    </w:lvl>
    <w:lvl w:ilvl="1">
      <w:lvlJc w:val="left"/>
      <w:lvlText w:val="(%2)"/>
      <w:numFmt w:val="lowerLetter"/>
      <w:start w:val="9"/>
    </w:lvl>
  </w:abstractNum>
  <w:abstractNum w:abstractNumId="103">
    <w:nsid w:val="1DE8725A"/>
    <w:multiLevelType w:val="hybridMultilevel"/>
    <w:lvl w:ilvl="0">
      <w:lvlJc w:val="left"/>
      <w:lvlText w:val="(%1)"/>
      <w:numFmt w:val="lowerRoman"/>
      <w:start w:val="2"/>
    </w:lvl>
    <w:lvl w:ilvl="1">
      <w:lvlJc w:val="left"/>
      <w:lvlText w:val="(%2)"/>
      <w:numFmt w:val="upperLetter"/>
      <w:start w:val="1"/>
    </w:lvl>
  </w:abstractNum>
  <w:abstractNum w:abstractNumId="104">
    <w:nsid w:val="6A37288A"/>
    <w:multiLevelType w:val="hybridMultilevel"/>
    <w:lvl w:ilvl="0">
      <w:lvlJc w:val="left"/>
      <w:lvlText w:val="(%1)"/>
      <w:numFmt w:val="upperLetter"/>
      <w:start w:val="3"/>
    </w:lvl>
  </w:abstractNum>
  <w:abstractNum w:abstractNumId="105">
    <w:nsid w:val="8F8B73F"/>
    <w:multiLevelType w:val="hybridMultilevel"/>
    <w:lvl w:ilvl="0">
      <w:lvlJc w:val="left"/>
      <w:lvlText w:val="(%1)"/>
      <w:numFmt w:val="lowerLetter"/>
      <w:start w:val="1"/>
    </w:lvl>
  </w:abstractNum>
  <w:abstractNum w:abstractNumId="106">
    <w:nsid w:val="CA6B462"/>
    <w:multiLevelType w:val="hybridMultilevel"/>
    <w:lvl w:ilvl="0">
      <w:lvlJc w:val="left"/>
      <w:lvlText w:val="%1"/>
      <w:numFmt w:val="decimal"/>
      <w:start w:val="1"/>
    </w:lvl>
    <w:lvl w:ilvl="1">
      <w:lvlJc w:val="left"/>
      <w:lvlText w:val="(%2)"/>
      <w:numFmt w:val="lowerLetter"/>
      <w:start w:val="1"/>
    </w:lvl>
  </w:abstractNum>
  <w:abstractNum w:abstractNumId="107">
    <w:nsid w:val="763CB680"/>
    <w:multiLevelType w:val="hybridMultilevel"/>
    <w:lvl w:ilvl="0">
      <w:lvlJc w:val="left"/>
      <w:lvlText w:val="(%1)"/>
      <w:numFmt w:val="decimal"/>
      <w:start w:val="20"/>
    </w:lvl>
    <w:lvl w:ilvl="1">
      <w:lvlJc w:val="left"/>
      <w:lvlText w:val="(%2)"/>
      <w:numFmt w:val="lowerLetter"/>
      <w:start w:val="2"/>
    </w:lvl>
  </w:abstractNum>
  <w:abstractNum w:abstractNumId="108">
    <w:nsid w:val="15B71329"/>
    <w:multiLevelType w:val="hybridMultilevel"/>
    <w:lvl w:ilvl="0">
      <w:lvlJc w:val="left"/>
      <w:lvlText w:val="(%1)"/>
      <w:numFmt w:val="lowerLetter"/>
      <w:start w:val="1"/>
    </w:lvl>
  </w:abstractNum>
  <w:abstractNum w:abstractNumId="109">
    <w:nsid w:val="3DA97044"/>
    <w:multiLevelType w:val="hybridMultilevel"/>
    <w:lvl w:ilvl="0">
      <w:lvlJc w:val="left"/>
      <w:lvlText w:val="%1"/>
      <w:numFmt w:val="lowerLetter"/>
      <w:start w:val="1"/>
    </w:lvl>
    <w:lvl w:ilvl="1">
      <w:lvlJc w:val="left"/>
      <w:lvlText w:val="(%2)"/>
      <w:numFmt w:val="lowerLetter"/>
      <w:start w:val="1"/>
    </w:lvl>
  </w:abstractNum>
  <w:abstractNum w:abstractNumId="110">
    <w:nsid w:val="1CDCE2DE"/>
    <w:multiLevelType w:val="hybridMultilevel"/>
    <w:lvl w:ilvl="0">
      <w:lvlJc w:val="left"/>
      <w:lvlText w:val="(%1)"/>
      <w:numFmt w:val="lowerLetter"/>
      <w:start w:val="35"/>
    </w:lvl>
    <w:lvl w:ilvl="1">
      <w:lvlJc w:val="left"/>
      <w:lvlText w:val="(%2)"/>
      <w:numFmt w:val="lowerLetter"/>
      <w:start w:val="3"/>
    </w:lvl>
  </w:abstractNum>
  <w:abstractNum w:abstractNumId="111">
    <w:nsid w:val="69D3947C"/>
    <w:multiLevelType w:val="hybridMultilevel"/>
    <w:lvl w:ilvl="0">
      <w:lvlJc w:val="left"/>
      <w:lvlText w:val="(%1)"/>
      <w:numFmt w:val="lowerLetter"/>
      <w:start w:val="1"/>
    </w:lvl>
  </w:abstractNum>
  <w:abstractNum w:abstractNumId="112">
    <w:nsid w:val="2539DFA5"/>
    <w:multiLevelType w:val="hybridMultilevel"/>
    <w:lvl w:ilvl="0">
      <w:lvlJc w:val="left"/>
      <w:lvlText w:val="(%1)"/>
      <w:numFmt w:val="lowerLetter"/>
      <w:start w:val="3"/>
    </w:lvl>
  </w:abstractNum>
  <w:abstractNum w:abstractNumId="113">
    <w:nsid w:val="2DB88089"/>
    <w:multiLevelType w:val="hybridMultilevel"/>
    <w:lvl w:ilvl="0">
      <w:lvlJc w:val="left"/>
      <w:lvlText w:val="(%1)"/>
      <w:numFmt w:val="lowerLetter"/>
      <w:start w:val="1"/>
    </w:lvl>
    <w:lvl w:ilvl="1">
      <w:lvlJc w:val="left"/>
      <w:lvlText w:val="(%2)"/>
      <w:numFmt w:val="lowerLetter"/>
      <w:start w:val="9"/>
    </w:lvl>
  </w:abstractNum>
  <w:abstractNum w:abstractNumId="114">
    <w:nsid w:val="706B674E"/>
    <w:multiLevelType w:val="hybridMultilevel"/>
    <w:lvl w:ilvl="0">
      <w:lvlJc w:val="left"/>
      <w:lvlText w:val="(%1)"/>
      <w:numFmt w:val="lowerRoman"/>
      <w:start w:val="2"/>
    </w:lvl>
    <w:lvl w:ilvl="1">
      <w:lvlJc w:val="left"/>
      <w:lvlText w:val="(%2)"/>
      <w:numFmt w:val="upperLetter"/>
      <w:start w:val="1"/>
    </w:lvl>
  </w:abstractNum>
  <w:abstractNum w:abstractNumId="115">
    <w:nsid w:val="2C106A57"/>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6"/>
    </w:lvl>
  </w:abstractNum>
  <w:abstractNum w:abstractNumId="116">
    <w:nsid w:val="684EED59"/>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117">
    <w:nsid w:val="545EE5D3"/>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118">
    <w:nsid w:val="4A66051"/>
    <w:multiLevelType w:val="hybridMultilevel"/>
    <w:lvl w:ilvl="0">
      <w:lvlJc w:val="left"/>
      <w:lvlText w:val="(%1)"/>
      <w:numFmt w:val="lowerLetter"/>
      <w:start w:val="2"/>
    </w:lvl>
    <w:lvl w:ilvl="1">
      <w:lvlJc w:val="left"/>
      <w:lvlText w:val="(%2)"/>
      <w:numFmt w:val="lowerLetter"/>
      <w:start w:val="9"/>
    </w:lvl>
  </w:abstractNum>
  <w:abstractNum w:abstractNumId="119">
    <w:nsid w:val="20F4BDAD"/>
    <w:multiLevelType w:val="hybridMultilevel"/>
    <w:lvl w:ilvl="0">
      <w:lvlJc w:val="left"/>
      <w:lvlText w:val="(%1)"/>
      <w:numFmt w:val="upperLetter"/>
      <w:start w:val="5"/>
    </w:lvl>
    <w:lvl w:ilvl="1">
      <w:lvlJc w:val="left"/>
      <w:lvlText w:val="(%2)"/>
      <w:numFmt w:val="lowerRoman"/>
      <w:start w:val="2"/>
    </w:lvl>
  </w:abstractNum>
  <w:abstractNum w:abstractNumId="120">
    <w:nsid w:val="639DEFAC"/>
    <w:multiLevelType w:val="hybridMultilevel"/>
    <w:lvl w:ilvl="0">
      <w:lvlJc w:val="left"/>
      <w:lvlText w:val="%1"/>
      <w:numFmt w:val="lowerLetter"/>
      <w:start w:val="1"/>
    </w:lvl>
    <w:lvl w:ilvl="1">
      <w:lvlJc w:val="left"/>
      <w:lvlText w:val="(%2)"/>
      <w:numFmt w:val="lowerRoman"/>
      <w:start w:val="4"/>
    </w:lvl>
  </w:abstractNum>
  <w:abstractNum w:abstractNumId="121">
    <w:nsid w:val="501F9786"/>
    <w:multiLevelType w:val="hybridMultilevel"/>
    <w:lvl w:ilvl="0">
      <w:lvlJc w:val="left"/>
      <w:lvlText w:val="(%1)"/>
      <w:numFmt w:val="lowerLetter"/>
      <w:start w:val="3"/>
    </w:lvl>
    <w:lvl w:ilvl="1">
      <w:lvlJc w:val="left"/>
      <w:lvlText w:val="(%2)"/>
      <w:numFmt w:val="lowerRoman"/>
      <w:start w:val="1"/>
    </w:lvl>
  </w:abstractNum>
  <w:abstractNum w:abstractNumId="122">
    <w:nsid w:val="6B057295"/>
    <w:multiLevelType w:val="hybridMultilevel"/>
    <w:lvl w:ilvl="0">
      <w:lvlJc w:val="left"/>
      <w:lvlText w:val="(%1)"/>
      <w:numFmt w:val="lowerRoman"/>
      <w:start w:val="2"/>
    </w:lvl>
  </w:abstractNum>
  <w:abstractNum w:abstractNumId="123">
    <w:nsid w:val="2771AC80"/>
    <w:multiLevelType w:val="hybridMultilevel"/>
    <w:lvl w:ilvl="0">
      <w:lvlJc w:val="left"/>
      <w:lvlText w:val="%1"/>
      <w:numFmt w:val="lowerLetter"/>
      <w:start w:val="1"/>
    </w:lvl>
    <w:lvl w:ilvl="1">
      <w:lvlJc w:val="left"/>
      <w:lvlText w:val="(%2)"/>
      <w:numFmt w:val="lowerRoman"/>
      <w:start w:val="5"/>
    </w:lvl>
  </w:abstractNum>
  <w:abstractNum w:abstractNumId="124">
    <w:nsid w:val="1C4A08EC"/>
    <w:multiLevelType w:val="hybridMultilevel"/>
    <w:lvl w:ilvl="0">
      <w:lvlJc w:val="left"/>
      <w:lvlText w:val="(%1)"/>
      <w:numFmt w:val="lowerLetter"/>
      <w:start w:val="4"/>
    </w:lvl>
    <w:lvl w:ilvl="1">
      <w:lvlJc w:val="left"/>
      <w:lvlText w:val="(%2)"/>
      <w:numFmt w:val="lowerRoman"/>
      <w:start w:val="1"/>
    </w:lvl>
  </w:abstractNum>
  <w:abstractNum w:abstractNumId="125">
    <w:nsid w:val="1958BD17"/>
    <w:multiLevelType w:val="hybridMultilevel"/>
    <w:lvl w:ilvl="0">
      <w:lvlJc w:val="left"/>
      <w:lvlText w:val="%1"/>
      <w:numFmt w:val="lowerLetter"/>
      <w:start w:val="1"/>
    </w:lvl>
    <w:lvl w:ilvl="1">
      <w:lvlJc w:val="left"/>
      <w:lvlText w:val="(%2)"/>
      <w:numFmt w:val="lowerLetter"/>
      <w:start w:val="35"/>
    </w:lvl>
  </w:abstractNum>
  <w:abstractNum w:abstractNumId="126">
    <w:nsid w:val="4E647FE4"/>
    <w:multiLevelType w:val="hybridMultilevel"/>
    <w:lvl w:ilvl="0">
      <w:lvlJc w:val="left"/>
      <w:lvlText w:val="(%1)"/>
      <w:numFmt w:val="lowerLetter"/>
      <w:start w:val="5"/>
    </w:lvl>
    <w:lvl w:ilvl="1">
      <w:lvlJc w:val="left"/>
      <w:lvlText w:val="(%2)"/>
      <w:numFmt w:val="lowerLetter"/>
      <w:start w:val="9"/>
    </w:lvl>
  </w:abstractNum>
  <w:abstractNum w:abstractNumId="127">
    <w:nsid w:val="E0BB885"/>
    <w:multiLevelType w:val="hybridMultilevel"/>
    <w:lvl w:ilvl="0">
      <w:lvlJc w:val="left"/>
      <w:lvlText w:val="(%1)"/>
      <w:numFmt w:val="lowerRoman"/>
      <w:start w:val="2"/>
    </w:lvl>
  </w:abstractNum>
  <w:abstractNum w:abstractNumId="128">
    <w:nsid w:val="565976F1"/>
    <w:multiLevelType w:val="hybridMultilevel"/>
    <w:lvl w:ilvl="0">
      <w:lvlJc w:val="left"/>
      <w:lvlText w:val="(%1)"/>
      <w:numFmt w:val="lowerRoman"/>
      <w:start w:val="8"/>
    </w:lvl>
  </w:abstractNum>
  <w:abstractNum w:abstractNumId="129">
    <w:nsid w:val="64212B8C"/>
    <w:multiLevelType w:val="hybridMultilevel"/>
    <w:lvl w:ilvl="0">
      <w:lvlJc w:val="left"/>
      <w:lvlText w:val="(%1)"/>
      <w:numFmt w:val="lowerLetter"/>
      <w:start w:val="6"/>
    </w:lvl>
  </w:abstractNum>
  <w:abstractNum w:abstractNumId="130">
    <w:nsid w:val="5C17530C"/>
    <w:multiLevelType w:val="hybridMultilevel"/>
    <w:lvl w:ilvl="0">
      <w:lvlJc w:val="left"/>
      <w:lvlText w:val="(%1)"/>
      <w:numFmt w:val="lowerLetter"/>
      <w:start w:val="7"/>
    </w:lvl>
  </w:abstractNum>
  <w:abstractNum w:abstractNumId="131">
    <w:nsid w:val="19A52566"/>
    <w:multiLevelType w:val="hybridMultilevel"/>
    <w:lvl w:ilvl="0">
      <w:lvlJc w:val="left"/>
      <w:lvlText w:val="(%1)"/>
      <w:numFmt w:val="lowerLetter"/>
      <w:start w:val="10"/>
    </w:lvl>
  </w:abstractNum>
  <w:abstractNum w:abstractNumId="132">
    <w:nsid w:val="335A1DF1"/>
    <w:multiLevelType w:val="hybridMultilevel"/>
    <w:lvl w:ilvl="0">
      <w:lvlJc w:val="left"/>
      <w:lvlText w:val="(%1)"/>
      <w:numFmt w:val="lowerLetter"/>
      <w:start w:val="1"/>
    </w:lvl>
  </w:abstractNum>
  <w:abstractNum w:abstractNumId="133">
    <w:nsid w:val="28677B7C"/>
    <w:multiLevelType w:val="hybridMultilevel"/>
    <w:lvl w:ilvl="0">
      <w:lvlJc w:val="left"/>
      <w:lvlText w:val="(%1)"/>
      <w:numFmt w:val="lowerLetter"/>
      <w:start w:val="2"/>
    </w:lvl>
  </w:abstractNum>
  <w:abstractNum w:abstractNumId="134">
    <w:nsid w:val="378D97C0"/>
    <w:multiLevelType w:val="hybridMultilevel"/>
    <w:lvl w:ilvl="0">
      <w:lvlJc w:val="left"/>
      <w:lvlText w:val="(%1)"/>
      <w:numFmt w:val="lowerLetter"/>
      <w:start w:val="3"/>
    </w:lvl>
    <w:lvl w:ilvl="1">
      <w:lvlJc w:val="left"/>
      <w:lvlText w:val="(%2)"/>
      <w:numFmt w:val="lowerRoman"/>
      <w:start w:val="1"/>
    </w:lvl>
  </w:abstractNum>
  <w:abstractNum w:abstractNumId="135">
    <w:nsid w:val="1D91467C"/>
    <w:multiLevelType w:val="hybridMultilevel"/>
    <w:lvl w:ilvl="0">
      <w:lvlJc w:val="left"/>
      <w:lvlText w:val="%1"/>
      <w:numFmt w:val="lowerLetter"/>
      <w:start w:val="1"/>
    </w:lvl>
    <w:lvl w:ilvl="1">
      <w:lvlJc w:val="left"/>
      <w:lvlText w:val="(%2)"/>
      <w:numFmt w:val="lowerRoman"/>
      <w:start w:val="4"/>
    </w:lvl>
  </w:abstractNum>
  <w:abstractNum w:abstractNumId="136">
    <w:nsid w:val="316032BB"/>
    <w:multiLevelType w:val="hybridMultilevel"/>
    <w:lvl w:ilvl="0">
      <w:lvlJc w:val="left"/>
      <w:lvlText w:val="(%1)"/>
      <w:numFmt w:val="lowerLetter"/>
      <w:start w:val="4"/>
    </w:lvl>
    <w:lvl w:ilvl="1">
      <w:lvlJc w:val="left"/>
      <w:lvlText w:val="(%2)"/>
      <w:numFmt w:val="lowerRoman"/>
      <w:start w:val="1"/>
    </w:lvl>
  </w:abstractNum>
  <w:abstractNum w:abstractNumId="137">
    <w:nsid w:val="44344C22"/>
    <w:multiLevelType w:val="hybridMultilevel"/>
    <w:lvl w:ilvl="0">
      <w:lvlJc w:val="left"/>
      <w:lvlText w:val="(%1)"/>
      <w:numFmt w:val="lowerLetter"/>
      <w:start w:val="5"/>
    </w:lvl>
  </w:abstractNum>
  <w:abstractNum w:abstractNumId="138">
    <w:nsid w:val="13CDFCFC"/>
    <w:multiLevelType w:val="hybridMultilevel"/>
    <w:lvl w:ilvl="0">
      <w:lvlJc w:val="left"/>
      <w:lvlText w:val="(%1)"/>
      <w:numFmt w:val="lowerLetter"/>
      <w:start w:val="1"/>
    </w:lvl>
    <w:lvl w:ilvl="1">
      <w:lvlJc w:val="left"/>
      <w:lvlText w:val="(%2)"/>
      <w:numFmt w:val="lowerLetter"/>
      <w:start w:val="9"/>
    </w:lvl>
  </w:abstractNum>
  <w:abstractNum w:abstractNumId="139">
    <w:nsid w:val="471745E4"/>
    <w:multiLevelType w:val="hybridMultilevel"/>
    <w:lvl w:ilvl="0">
      <w:lvlJc w:val="left"/>
      <w:lvlText w:val="%1"/>
      <w:numFmt w:val="lowerLetter"/>
      <w:start w:val="1"/>
    </w:lvl>
    <w:lvl w:ilvl="1">
      <w:lvlJc w:val="left"/>
      <w:lvlText w:val="(%2)"/>
      <w:numFmt w:val="lowerRoman"/>
      <w:start w:val="2"/>
    </w:lvl>
  </w:abstractNum>
  <w:abstractNum w:abstractNumId="140">
    <w:nsid w:val="1DDBC66"/>
    <w:multiLevelType w:val="hybridMultilevel"/>
    <w:lvl w:ilvl="0">
      <w:lvlJc w:val="left"/>
      <w:lvlText w:val="(%1)"/>
      <w:numFmt w:val="lowerLetter"/>
      <w:start w:val="2"/>
    </w:lvl>
    <w:lvl w:ilvl="1">
      <w:lvlJc w:val="left"/>
      <w:lvlText w:val="(%2)"/>
      <w:numFmt w:val="lowerRoman"/>
      <w:start w:val="1"/>
    </w:lvl>
  </w:abstractNum>
  <w:abstractNum w:abstractNumId="141">
    <w:nsid w:val="30AADFDA"/>
    <w:multiLevelType w:val="hybridMultilevel"/>
    <w:lvl w:ilvl="0">
      <w:lvlJc w:val="left"/>
      <w:lvlText w:val="%1"/>
      <w:numFmt w:val="lowerRoman"/>
      <w:start w:val="1"/>
    </w:lvl>
    <w:lvl w:ilvl="1">
      <w:lvlJc w:val="left"/>
      <w:lvlText w:val="(%2)"/>
      <w:numFmt w:val="lowerRoman"/>
      <w:start w:val="2"/>
    </w:lvl>
  </w:abstractNum>
  <w:abstractNum w:abstractNumId="142">
    <w:nsid w:val="30EADA61"/>
    <w:multiLevelType w:val="hybridMultilevel"/>
    <w:lvl w:ilvl="0">
      <w:lvlJc w:val="left"/>
      <w:lvlText w:val="(%1)"/>
      <w:numFmt w:val="lowerRoman"/>
      <w:start w:val="5"/>
    </w:lvl>
    <w:lvl w:ilvl="1">
      <w:lvlJc w:val="left"/>
      <w:lvlText w:val="(%2)"/>
      <w:numFmt w:val="lowerRoman"/>
      <w:start w:val="3"/>
    </w:lvl>
  </w:abstractNum>
  <w:abstractNum w:abstractNumId="143">
    <w:nsid w:val="27179C0B"/>
    <w:multiLevelType w:val="hybridMultilevel"/>
    <w:lvl w:ilvl="0">
      <w:lvlJc w:val="left"/>
      <w:lvlText w:val="(%1)"/>
      <w:numFmt w:val="lowerRoman"/>
      <w:start w:val="4"/>
    </w:lvl>
    <w:lvl w:ilvl="1">
      <w:lvlJc w:val="left"/>
      <w:lvlText w:val="(%2)"/>
      <w:numFmt w:val="upperLetter"/>
      <w:start w:val="1"/>
    </w:lvl>
  </w:abstractNum>
  <w:abstractNum w:abstractNumId="144">
    <w:nsid w:val="5E636063"/>
    <w:multiLevelType w:val="hybridMultilevel"/>
    <w:lvl w:ilvl="0">
      <w:lvlJc w:val="left"/>
      <w:lvlText w:val="(%1)"/>
      <w:numFmt w:val="lowerRoman"/>
      <w:start w:val="5"/>
    </w:lvl>
  </w:abstractNum>
  <w:abstractNum w:abstractNumId="145">
    <w:nsid w:val="215641AF"/>
    <w:multiLevelType w:val="hybridMultilevel"/>
    <w:lvl w:ilvl="0">
      <w:lvlJc w:val="left"/>
      <w:lvlText w:val="(%1)"/>
      <w:numFmt w:val="lowerRoman"/>
      <w:start w:val="6"/>
    </w:lvl>
  </w:abstractNum>
  <w:abstractNum w:abstractNumId="146">
    <w:nsid w:val="53280662"/>
    <w:multiLevelType w:val="hybridMultilevel"/>
    <w:lvl w:ilvl="0">
      <w:lvlJc w:val="left"/>
      <w:lvlText w:val="(%1)"/>
      <w:numFmt w:val="lowerRoman"/>
      <w:start w:val="9"/>
    </w:lvl>
  </w:abstractNum>
  <w:abstractNum w:abstractNumId="147">
    <w:nsid w:val="46B24DBC"/>
    <w:multiLevelType w:val="hybridMultilevel"/>
    <w:lvl w:ilvl="0">
      <w:lvlJc w:val="left"/>
      <w:lvlText w:val="(%1)"/>
      <w:numFmt w:val="lowerLetter"/>
      <w:start w:val="1"/>
    </w:lvl>
    <w:lvl w:ilvl="1">
      <w:lvlJc w:val="left"/>
      <w:lvlText w:val="(%2)"/>
      <w:numFmt w:val="lowerRoman"/>
      <w:start w:val="1"/>
    </w:lvl>
  </w:abstractNum>
  <w:abstractNum w:abstractNumId="148">
    <w:nsid w:val="75B52783"/>
    <w:multiLevelType w:val="hybridMultilevel"/>
    <w:lvl w:ilvl="0">
      <w:lvlJc w:val="left"/>
      <w:lvlText w:val="%1"/>
      <w:numFmt w:val="lowerLetter"/>
      <w:start w:val="1"/>
    </w:lvl>
    <w:lvl w:ilvl="1">
      <w:lvlJc w:val="left"/>
      <w:lvlText w:val="(%2)"/>
      <w:numFmt w:val="lowerRoman"/>
      <w:start w:val="4"/>
    </w:lvl>
  </w:abstractNum>
  <w:abstractNum w:abstractNumId="149">
    <w:nsid w:val="57CE66B4"/>
    <w:multiLevelType w:val="hybridMultilevel"/>
    <w:lvl w:ilvl="0">
      <w:lvlJc w:val="left"/>
      <w:lvlText w:val="(%1)"/>
      <w:numFmt w:val="lowerLetter"/>
      <w:start w:val="2"/>
    </w:lvl>
    <w:lvl w:ilvl="1">
      <w:lvlJc w:val="left"/>
      <w:lvlText w:val="(%2)"/>
      <w:numFmt w:val="lowerRoman"/>
      <w:start w:val="1"/>
    </w:lvl>
  </w:abstractNum>
  <w:abstractNum w:abstractNumId="150">
    <w:nsid w:val="67A70B69"/>
    <w:multiLevelType w:val="hybridMultilevel"/>
    <w:lvl w:ilvl="0">
      <w:lvlJc w:val="left"/>
      <w:lvlText w:val="(%1)"/>
      <w:numFmt w:val="lowerLetter"/>
      <w:start w:val="1"/>
    </w:lvl>
  </w:abstractNum>
  <w:abstractNum w:abstractNumId="151">
    <w:nsid w:val="5953172F"/>
    <w:multiLevelType w:val="hybridMultilevel"/>
    <w:lvl w:ilvl="0">
      <w:lvlJc w:val="left"/>
      <w:lvlText w:val="(%1)"/>
      <w:numFmt w:val="lowerLetter"/>
      <w:start w:val="2"/>
    </w:lvl>
  </w:abstractNum>
  <w:abstractNum w:abstractNumId="152">
    <w:nsid w:val="27EDFE3A"/>
    <w:multiLevelType w:val="hybridMultilevel"/>
    <w:lvl w:ilvl="0">
      <w:lvlJc w:val="left"/>
      <w:lvlText w:val="%1"/>
      <w:numFmt w:val="lowerLetter"/>
      <w:start w:val="1"/>
    </w:lvl>
    <w:lvl w:ilvl="1">
      <w:lvlJc w:val="left"/>
      <w:lvlText w:val="(%2)"/>
      <w:numFmt w:val="lowerRoman"/>
      <w:start w:val="1"/>
    </w:lvl>
  </w:abstractNum>
  <w:abstractNum w:abstractNumId="153">
    <w:nsid w:val="52AC7DFF"/>
    <w:multiLevelType w:val="hybridMultilevel"/>
    <w:lvl w:ilvl="0">
      <w:lvlJc w:val="left"/>
      <w:lvlText w:val="(%1)"/>
      <w:numFmt w:val="lowerLetter"/>
      <w:start w:val="2"/>
    </w:lvl>
    <w:lvl w:ilvl="1">
      <w:lvlJc w:val="left"/>
      <w:lvlText w:val="%2"/>
      <w:numFmt w:val="lowerRoman"/>
      <w:start w:val="1"/>
    </w:lvl>
  </w:abstractNum>
  <w:abstractNum w:abstractNumId="154">
    <w:nsid w:val="C4C3AF"/>
    <w:multiLevelType w:val="hybridMultilevel"/>
    <w:lvl w:ilvl="0">
      <w:lvlJc w:val="left"/>
      <w:lvlText w:val="(%1)"/>
      <w:numFmt w:val="lowerLetter"/>
      <w:start w:val="1"/>
    </w:lvl>
  </w:abstractNum>
  <w:abstractNum w:abstractNumId="155">
    <w:nsid w:val="44380727"/>
    <w:multiLevelType w:val="hybridMultilevel"/>
    <w:lvl w:ilvl="0">
      <w:lvlJc w:val="left"/>
      <w:lvlText w:val="(%1)"/>
      <w:numFmt w:val="lowerLetter"/>
      <w:start w:val="2"/>
    </w:lvl>
    <w:lvl w:ilvl="1">
      <w:lvlJc w:val="left"/>
      <w:lvlText w:val="(%2)"/>
      <w:numFmt w:val="lowerRoman"/>
      <w:start w:val="1"/>
    </w:lvl>
  </w:abstractNum>
  <w:abstractNum w:abstractNumId="156">
    <w:nsid w:val="6C053B16"/>
    <w:multiLevelType w:val="hybridMultilevel"/>
    <w:lvl w:ilvl="0">
      <w:lvlJc w:val="left"/>
      <w:lvlText w:val="(%1)"/>
      <w:numFmt w:val="lowerLetter"/>
      <w:start w:val="1"/>
    </w:lvl>
  </w:abstractNum>
  <w:abstractNum w:abstractNumId="157">
    <w:nsid w:val="4F294393"/>
    <w:multiLevelType w:val="hybridMultilevel"/>
    <w:lvl w:ilvl="0">
      <w:lvlJc w:val="left"/>
      <w:lvlText w:val="(%1)"/>
      <w:numFmt w:val="lowerLetter"/>
      <w:start w:val="1"/>
    </w:lvl>
  </w:abstractNum>
  <w:abstractNum w:abstractNumId="158">
    <w:nsid w:val="5243BFAC"/>
    <w:multiLevelType w:val="hybridMultilevel"/>
    <w:lvl w:ilvl="0">
      <w:lvlJc w:val="left"/>
      <w:lvlText w:val="(%1)"/>
      <w:numFmt w:val="lowerLetter"/>
      <w:start w:val="1"/>
    </w:lvl>
  </w:abstractNum>
  <w:abstractNum w:abstractNumId="159">
    <w:nsid w:val="425EB20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60">
    <w:nsid w:val="334A6F1F"/>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9"/>
    </w:lvl>
  </w:abstractNum>
  <w:abstractNum w:abstractNumId="161">
    <w:nsid w:val="2E5B12B8"/>
    <w:multiLevelType w:val="hybridMultilevel"/>
    <w:lvl w:ilvl="0">
      <w:lvlJc w:val="left"/>
      <w:lvlText w:val="(%1)"/>
      <w:numFmt w:val="lowerRoman"/>
      <w:start w:val="2"/>
    </w:lvl>
  </w:abstractNum>
  <w:abstractNum w:abstractNumId="162">
    <w:nsid w:val="5C03D76D"/>
    <w:multiLevelType w:val="hybridMultilevel"/>
    <w:lvl w:ilvl="0">
      <w:lvlJc w:val="left"/>
      <w:lvlText w:val="(%1)"/>
      <w:numFmt w:val="lowerLetter"/>
      <w:start w:val="2"/>
    </w:lvl>
    <w:lvl w:ilvl="1">
      <w:lvlJc w:val="left"/>
      <w:lvlText w:val="(%2)"/>
      <w:numFmt w:val="lowerLetter"/>
      <w:start w:val="3"/>
    </w:lvl>
  </w:abstractNum>
  <w:abstractNum w:abstractNumId="163">
    <w:nsid w:val="66A48D11"/>
    <w:multiLevelType w:val="hybridMultilevel"/>
    <w:lvl w:ilvl="0">
      <w:lvlJc w:val="left"/>
      <w:lvlText w:val="(%1)"/>
      <w:numFmt w:val="lowerLetter"/>
      <w:start w:val="5"/>
    </w:lvl>
  </w:abstractNum>
  <w:abstractNum w:abstractNumId="164">
    <w:nsid w:val="56C28E34"/>
    <w:multiLevelType w:val="hybridMultilevel"/>
    <w:lvl w:ilvl="0">
      <w:lvlJc w:val="left"/>
      <w:lvlText w:val="(%1)"/>
      <w:numFmt w:val="lowerRoman"/>
      <w:start w:val="2"/>
    </w:lvl>
    <w:lvl w:ilvl="1">
      <w:lvlJc w:val="left"/>
      <w:lvlText w:val="(%2)"/>
      <w:numFmt w:val="upperLetter"/>
      <w:start w:val="2"/>
    </w:lvl>
    <w:lvl w:ilvl="2">
      <w:lvlJc w:val="left"/>
      <w:lvlText w:val="(%3)"/>
      <w:numFmt w:val="lowerRoman"/>
      <w:start w:val="1"/>
    </w:lvl>
  </w:abstractNum>
  <w:abstractNum w:abstractNumId="165">
    <w:nsid w:val="13916F2D"/>
    <w:multiLevelType w:val="hybridMultilevel"/>
    <w:lvl w:ilvl="0">
      <w:lvlJc w:val="left"/>
      <w:lvlText w:val="(%1)"/>
      <w:numFmt w:val="lowerLetter"/>
      <w:start w:val="1"/>
    </w:lvl>
  </w:abstractNum>
  <w:abstractNum w:abstractNumId="166">
    <w:nsid w:val="435D38D"/>
    <w:multiLevelType w:val="hybridMultilevel"/>
    <w:lvl w:ilvl="0">
      <w:lvlJc w:val="left"/>
      <w:lvlText w:val="(%1)"/>
      <w:numFmt w:val="lowerLetter"/>
      <w:start w:val="2"/>
    </w:lvl>
  </w:abstractNum>
  <w:abstractNum w:abstractNumId="167">
    <w:nsid w:val="822C0EF"/>
    <w:multiLevelType w:val="hybridMultilevel"/>
    <w:lvl w:ilvl="0">
      <w:lvlJc w:val="left"/>
      <w:lvlText w:val="(%1)"/>
      <w:numFmt w:val="lowerLetter"/>
      <w:start w:val="1"/>
    </w:lvl>
  </w:abstractNum>
  <w:abstractNum w:abstractNumId="168">
    <w:nsid w:val="57C5BB4F"/>
    <w:multiLevelType w:val="hybridMultilevel"/>
    <w:lvl w:ilvl="0">
      <w:lvlJc w:val="left"/>
      <w:lvlText w:val="(%1)"/>
      <w:numFmt w:val="lowerLetter"/>
      <w:start w:val="3"/>
    </w:lvl>
  </w:abstractNum>
  <w:abstractNum w:abstractNumId="169">
    <w:nsid w:val="1803D089"/>
    <w:multiLevelType w:val="hybridMultilevel"/>
    <w:lvl w:ilvl="0">
      <w:lvlJc w:val="left"/>
      <w:lvlText w:val="(%1)"/>
      <w:numFmt w:val="lowerLetter"/>
      <w:start w:val="5"/>
    </w:lvl>
  </w:abstractNum>
  <w:abstractNum w:abstractNumId="170">
    <w:nsid w:val="4F3A06D4"/>
    <w:multiLevelType w:val="hybridMultilevel"/>
    <w:lvl w:ilvl="0">
      <w:lvlJc w:val="left"/>
      <w:lvlText w:val="(%1)"/>
      <w:numFmt w:val="lowerLetter"/>
      <w:start w:val="1"/>
    </w:lvl>
  </w:abstractNum>
  <w:abstractNum w:abstractNumId="171">
    <w:nsid w:val="59A377B6"/>
    <w:multiLevelType w:val="hybridMultilevel"/>
    <w:lvl w:ilvl="0">
      <w:lvlJc w:val="left"/>
      <w:lvlText w:val="(%1)"/>
      <w:numFmt w:val="lowerLetter"/>
      <w:start w:val="1"/>
    </w:lvl>
  </w:abstractNum>
  <w:abstractNum w:abstractNumId="172">
    <w:nsid w:val="48AEB06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3">
    <w:nsid w:val="24E135"/>
    <w:multiLevelType w:val="hybridMultilevel"/>
    <w:lvl w:ilvl="0">
      <w:lvlJc w:val="left"/>
      <w:lvlText w:val="(%1)"/>
      <w:numFmt w:val="decimal"/>
      <w:start w:val="1"/>
    </w:lvl>
    <w:lvl w:ilvl="1">
      <w:lvlJc w:val="left"/>
      <w:lvlText w:val="(%2)"/>
      <w:numFmt w:val="upperLetter"/>
      <w:start w:val="2"/>
    </w:lvl>
  </w:abstractNum>
  <w:abstractNum w:abstractNumId="174">
    <w:nsid w:val="BB13C1"/>
    <w:multiLevelType w:val="hybridMultilevel"/>
    <w:lvl w:ilvl="0">
      <w:lvlJc w:val="left"/>
      <w:lvlText w:val="(%1)"/>
      <w:numFmt w:val="lowerRoman"/>
      <w:start w:val="2"/>
    </w:lvl>
  </w:abstractNum>
  <w:abstractNum w:abstractNumId="175">
    <w:nsid w:val="271210C7"/>
    <w:multiLevelType w:val="hybridMultilevel"/>
    <w:lvl w:ilvl="0">
      <w:lvlJc w:val="left"/>
      <w:lvlText w:val="(%1)"/>
      <w:numFmt w:val="decimal"/>
      <w:start w:val="1"/>
    </w:lvl>
    <w:lvl w:ilvl="1">
      <w:lvlJc w:val="left"/>
      <w:lvlText w:val="(%2)"/>
      <w:numFmt w:val="lowerRoman"/>
      <w:start w:val="3"/>
    </w:lvl>
  </w:abstractNum>
  <w:abstractNum w:abstractNumId="176">
    <w:nsid w:val="217B22E4"/>
    <w:multiLevelType w:val="hybridMultilevel"/>
    <w:lvl w:ilvl="0">
      <w:lvlJc w:val="left"/>
      <w:lvlText w:val="(%1)"/>
      <w:numFmt w:val="lowerLetter"/>
      <w:start w:val="4"/>
    </w:lvl>
  </w:abstractNum>
  <w:abstractNum w:abstractNumId="177">
    <w:nsid w:val="53E31A24"/>
    <w:multiLevelType w:val="hybridMultilevel"/>
    <w:lvl w:ilvl="0">
      <w:lvlJc w:val="left"/>
      <w:lvlText w:val="(%1)"/>
      <w:numFmt w:val="lowerLetter"/>
      <w:start w:val="5"/>
    </w:lvl>
  </w:abstractNum>
  <w:abstractNum w:abstractNumId="178">
    <w:nsid w:val="6DC45E83"/>
    <w:multiLevelType w:val="hybridMultilevel"/>
    <w:lvl w:ilvl="0">
      <w:lvlJc w:val="left"/>
      <w:lvlText w:val="(%1)"/>
      <w:numFmt w:val="lowerLetter"/>
      <w:start w:val="1"/>
    </w:lvl>
  </w:abstractNum>
  <w:abstractNum w:abstractNumId="179">
    <w:nsid w:val="17304A67"/>
    <w:multiLevelType w:val="hybridMultilevel"/>
    <w:lvl w:ilvl="0">
      <w:lvlJc w:val="left"/>
      <w:lvlText w:val="(%1)"/>
      <w:numFmt w:val="lowerLetter"/>
      <w:start w:val="3"/>
    </w:lvl>
  </w:abstractNum>
  <w:abstractNum w:abstractNumId="180">
    <w:nsid w:val="2BB180D8"/>
    <w:multiLevelType w:val="hybridMultilevel"/>
    <w:lvl w:ilvl="0">
      <w:lvlJc w:val="left"/>
      <w:lvlText w:val="(%1)"/>
      <w:numFmt w:val="lowerLetter"/>
      <w:start w:val="1"/>
    </w:lvl>
    <w:lvl w:ilvl="1">
      <w:lvlJc w:val="left"/>
      <w:lvlText w:val="(%2)"/>
      <w:numFmt w:val="lowerRoman"/>
      <w:start w:val="1"/>
    </w:lvl>
  </w:abstractNum>
  <w:abstractNum w:abstractNumId="181">
    <w:nsid w:val="556B69ED"/>
    <w:multiLevelType w:val="hybridMultilevel"/>
    <w:lvl w:ilvl="0">
      <w:lvlJc w:val="left"/>
      <w:lvlText w:val="(%1)"/>
      <w:numFmt w:val="lowerRoman"/>
      <w:start w:val="3"/>
    </w:lvl>
    <w:lvl w:ilvl="1">
      <w:lvlJc w:val="left"/>
      <w:lvlText w:val="(%2)"/>
      <w:numFmt w:val="upperLetter"/>
      <w:start w:val="1"/>
    </w:lvl>
  </w:abstractNum>
  <w:abstractNum w:abstractNumId="182">
    <w:nsid w:val="7083619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83">
    <w:nsid w:val="539F7F12"/>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84">
    <w:nsid w:val="2817E7E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85">
    <w:nsid w:val="71482545"/>
    <w:multiLevelType w:val="hybridMultilevel"/>
    <w:lvl w:ilvl="0">
      <w:lvlJc w:val="left"/>
      <w:lvlText w:val="(%1)"/>
      <w:numFmt w:val="lowerLetter"/>
      <w:start w:val="1"/>
    </w:lvl>
  </w:abstractNum>
  <w:abstractNum w:abstractNumId="186">
    <w:nsid w:val="17D78639"/>
    <w:multiLevelType w:val="hybridMultilevel"/>
    <w:lvl w:ilvl="0">
      <w:lvlJc w:val="left"/>
      <w:lvlText w:val="(%1)"/>
      <w:numFmt w:val="lowerLetter"/>
      <w:start w:val="1"/>
    </w:lvl>
  </w:abstractNum>
  <w:abstractNum w:abstractNumId="187">
    <w:nsid w:val="141D2302"/>
    <w:multiLevelType w:val="hybridMultilevel"/>
    <w:lvl w:ilvl="0">
      <w:lvlJc w:val="left"/>
      <w:lvlText w:val="(%1)"/>
      <w:numFmt w:val="lowerRoman"/>
      <w:start w:val="1"/>
    </w:lvl>
  </w:abstractNum>
  <w:abstractNum w:abstractNumId="188">
    <w:nsid w:val="407168D8"/>
    <w:multiLevelType w:val="hybridMultilevel"/>
    <w:lvl w:ilvl="0">
      <w:lvlJc w:val="left"/>
      <w:lvlText w:val="%1"/>
      <w:numFmt w:val="lowerLetter"/>
      <w:start w:val="1"/>
    </w:lvl>
    <w:lvl w:ilvl="1">
      <w:lvlJc w:val="left"/>
      <w:lvlText w:val="(%2)"/>
      <w:numFmt w:val="lowerRoman"/>
      <w:start w:val="7"/>
    </w:lvl>
  </w:abstractNum>
  <w:abstractNum w:abstractNumId="189">
    <w:nsid w:val="6A1B45E5"/>
    <w:multiLevelType w:val="hybridMultilevel"/>
    <w:lvl w:ilvl="0">
      <w:lvlJc w:val="left"/>
      <w:lvlText w:val="(%1)"/>
      <w:numFmt w:val="lowerLetter"/>
      <w:start w:val="2"/>
    </w:lvl>
    <w:lvl w:ilvl="1">
      <w:lvlJc w:val="left"/>
      <w:lvlText w:val="%2"/>
      <w:numFmt w:val="lowerRoman"/>
      <w:start w:val="1"/>
    </w:lvl>
  </w:abstractNum>
  <w:abstractNum w:abstractNumId="190">
    <w:nsid w:val="567BD50A"/>
    <w:multiLevelType w:val="hybridMultilevel"/>
    <w:lvl w:ilvl="0">
      <w:lvlJc w:val="left"/>
      <w:lvlText w:val="(%1)"/>
      <w:numFmt w:val="lowerRoman"/>
      <w:start w:val="1"/>
    </w:lvl>
  </w:abstractNum>
  <w:abstractNum w:abstractNumId="191">
    <w:nsid w:val="73BBD7F8"/>
    <w:multiLevelType w:val="hybridMultilevel"/>
    <w:lvl w:ilvl="0">
      <w:lvlJc w:val="left"/>
      <w:lvlText w:val="(%1)"/>
      <w:numFmt w:val="lowerRoman"/>
      <w:start w:val="8"/>
    </w:lvl>
  </w:abstractNum>
  <w:abstractNum w:abstractNumId="192">
    <w:nsid w:val="1876589D"/>
    <w:multiLevelType w:val="hybridMultilevel"/>
    <w:lvl w:ilvl="0">
      <w:lvlJc w:val="left"/>
      <w:lvlText w:val="(%1)"/>
      <w:numFmt w:val="lowerLetter"/>
      <w:start w:val="4"/>
    </w:lvl>
  </w:abstractNum>
  <w:abstractNum w:abstractNumId="193">
    <w:nsid w:val="327FAC77"/>
    <w:multiLevelType w:val="hybridMultilevel"/>
    <w:lvl w:ilvl="0">
      <w:lvlJc w:val="left"/>
      <w:lvlText w:val="(%1)"/>
      <w:numFmt w:val="lowerLetter"/>
      <w:start w:val="7"/>
    </w:lvl>
  </w:abstractNum>
  <w:abstractNum w:abstractNumId="194">
    <w:nsid w:val="5A606509"/>
    <w:multiLevelType w:val="hybridMultilevel"/>
    <w:lvl w:ilvl="0">
      <w:lvlJc w:val="left"/>
      <w:lvlText w:val="(%1)"/>
      <w:numFmt w:val="lowerLetter"/>
      <w:start w:val="1"/>
    </w:lvl>
    <w:lvl w:ilvl="1">
      <w:lvlJc w:val="left"/>
      <w:lvlText w:val="(%2)"/>
      <w:numFmt w:val="lowerRoman"/>
      <w:start w:val="1"/>
    </w:lvl>
  </w:abstractNum>
  <w:abstractNum w:abstractNumId="195">
    <w:nsid w:val="6F38E6D1"/>
    <w:multiLevelType w:val="hybridMultilevel"/>
    <w:lvl w:ilvl="0">
      <w:lvlJc w:val="left"/>
      <w:lvlText w:val="(%1)"/>
      <w:numFmt w:val="lowerLetter"/>
      <w:start w:val="1"/>
    </w:lvl>
    <w:lvl w:ilvl="1">
      <w:lvlJc w:val="left"/>
      <w:lvlText w:val="(%2)"/>
      <w:numFmt w:val="lowerRoman"/>
      <w:start w:val="1"/>
    </w:lvl>
  </w:abstractNum>
  <w:abstractNum w:abstractNumId="196">
    <w:nsid w:val="46111BA5"/>
    <w:multiLevelType w:val="hybridMultilevel"/>
    <w:lvl w:ilvl="0">
      <w:lvlJc w:val="left"/>
      <w:lvlText w:val="%1"/>
      <w:numFmt w:val="lowerLetter"/>
      <w:start w:val="1"/>
    </w:lvl>
    <w:lvl w:ilvl="1">
      <w:lvlJc w:val="left"/>
      <w:lvlText w:val="(%2)"/>
      <w:numFmt w:val="lowerLetter"/>
      <w:start w:val="61"/>
    </w:lvl>
  </w:abstractNum>
  <w:abstractNum w:abstractNumId="197">
    <w:nsid w:val="5E963896"/>
    <w:multiLevelType w:val="hybridMultilevel"/>
    <w:lvl w:ilvl="0">
      <w:lvlJc w:val="left"/>
      <w:lvlText w:val="(%1)"/>
      <w:numFmt w:val="lowerLetter"/>
      <w:start w:val="3"/>
    </w:lvl>
    <w:lvl w:ilvl="1">
      <w:lvlJc w:val="left"/>
      <w:lvlText w:val="(%2)"/>
      <w:numFmt w:val="lowerLetter"/>
      <w:start w:val="9"/>
    </w:lvl>
  </w:abstractNum>
  <w:abstractNum w:abstractNumId="198">
    <w:nsid w:val="775BA7C1"/>
    <w:multiLevelType w:val="hybridMultilevel"/>
    <w:lvl w:ilvl="0">
      <w:lvlJc w:val="left"/>
      <w:lvlText w:val="(%1)"/>
      <w:numFmt w:val="lowerRoman"/>
      <w:start w:val="2"/>
    </w:lvl>
    <w:lvl w:ilvl="1">
      <w:lvlJc w:val="left"/>
      <w:lvlText w:val="(%2)"/>
      <w:numFmt w:val="upperLetter"/>
      <w:start w:val="1"/>
    </w:lvl>
  </w:abstractNum>
  <w:abstractNum w:abstractNumId="199">
    <w:nsid w:val="1DD6D6F4"/>
    <w:multiLevelType w:val="hybridMultilevel"/>
    <w:lvl w:ilvl="0">
      <w:lvlJc w:val="left"/>
      <w:lvlText w:val="(%1)"/>
      <w:numFmt w:val="upperLetter"/>
      <w:start w:val="2"/>
    </w:lvl>
    <w:lvl w:ilvl="1">
      <w:lvlJc w:val="left"/>
      <w:lvlText w:val="(%2)"/>
      <w:numFmt w:val="decimal"/>
      <w:start w:val="1"/>
    </w:lvl>
  </w:abstractNum>
  <w:abstractNum w:abstractNumId="200">
    <w:nsid w:val="769A091F"/>
    <w:multiLevelType w:val="hybridMultilevel"/>
    <w:lvl w:ilvl="0">
      <w:lvlJc w:val="left"/>
      <w:lvlText w:val="%1"/>
      <w:numFmt w:val="lowerRoman"/>
      <w:start w:val="1"/>
    </w:lvl>
    <w:lvl w:ilvl="1">
      <w:lvlJc w:val="left"/>
      <w:lvlText w:val="(%2)"/>
      <w:numFmt w:val="upperLetter"/>
      <w:start w:val="3"/>
    </w:lvl>
  </w:abstractNum>
  <w:abstractNum w:abstractNumId="201">
    <w:nsid w:val="4695AE95"/>
    <w:multiLevelType w:val="hybridMultilevel"/>
    <w:lvl w:ilvl="0">
      <w:lvlJc w:val="left"/>
      <w:lvlText w:val="(%1)"/>
      <w:numFmt w:val="lowerRoman"/>
      <w:start w:val="3"/>
    </w:lvl>
    <w:lvl w:ilvl="1">
      <w:lvlJc w:val="left"/>
      <w:lvlText w:val="%2"/>
      <w:numFmt w:val="upperLetter"/>
      <w:start w:val="1"/>
    </w:lvl>
  </w:abstractNum>
  <w:abstractNum w:abstractNumId="202">
    <w:nsid w:val="777A4EAA"/>
    <w:multiLevelType w:val="hybridMultilevel"/>
    <w:lvl w:ilvl="0">
      <w:lvlJc w:val="left"/>
      <w:lvlText w:val="(%1)"/>
      <w:numFmt w:val="lowerLetter"/>
      <w:start w:val="5"/>
    </w:lvl>
  </w:abstractNum>
  <w:abstractNum w:abstractNumId="203">
    <w:nsid w:val="3F48B982"/>
    <w:multiLevelType w:val="hybridMultilevel"/>
    <w:lvl w:ilvl="0">
      <w:lvlJc w:val="left"/>
      <w:lvlText w:val="(%1)"/>
      <w:numFmt w:val="lowerRoman"/>
      <w:start w:val="1"/>
    </w:lvl>
  </w:abstractNum>
  <w:abstractNum w:abstractNumId="204">
    <w:nsid w:val="46BA8FCA"/>
    <w:multiLevelType w:val="hybridMultilevel"/>
    <w:lvl w:ilvl="0">
      <w:lvlJc w:val="left"/>
      <w:lvlText w:val="(%1)"/>
      <w:numFmt w:val="lowerRoman"/>
      <w:start w:val="2"/>
    </w:lvl>
    <w:lvl w:ilvl="1">
      <w:lvlJc w:val="left"/>
      <w:lvlText w:val="(%2)"/>
      <w:numFmt w:val="lowerRoman"/>
      <w:start w:val="1"/>
    </w:lvl>
    <w:lvl w:ilvl="2">
      <w:lvlJc w:val="left"/>
      <w:lvlText w:val="(%3)"/>
      <w:numFmt w:val="lowerRoman"/>
      <w:start w:val="1"/>
    </w:lvl>
  </w:abstractNum>
  <w:abstractNum w:abstractNumId="205">
    <w:nsid w:val="7835626C"/>
    <w:multiLevelType w:val="hybridMultilevel"/>
    <w:lvl w:ilvl="0">
      <w:lvlJc w:val="left"/>
      <w:lvlText w:val="(%1)"/>
      <w:numFmt w:val="lowerRoman"/>
      <w:start w:val="2"/>
    </w:lvl>
    <w:lvl w:ilvl="1">
      <w:lvlJc w:val="left"/>
      <w:lvlText w:val="(%2)"/>
      <w:numFmt w:val="lowerRoman"/>
      <w:start w:val="1"/>
    </w:lvl>
  </w:abstractNum>
  <w:abstractNum w:abstractNumId="206">
    <w:nsid w:val="665ACA49"/>
    <w:multiLevelType w:val="hybridMultilevel"/>
    <w:lvl w:ilvl="0">
      <w:lvlJc w:val="left"/>
      <w:lvlText w:val="(%1)"/>
      <w:numFmt w:val="lowerRoman"/>
      <w:start w:val="3"/>
    </w:lvl>
  </w:abstractNum>
  <w:abstractNum w:abstractNumId="207">
    <w:nsid w:val="6835B2AE"/>
    <w:multiLevelType w:val="hybridMultilevel"/>
    <w:lvl w:ilvl="0">
      <w:lvlJc w:val="left"/>
      <w:lvlText w:val="(%1)"/>
      <w:numFmt w:val="lowerRoman"/>
      <w:start w:val="4"/>
    </w:lvl>
  </w:abstractNum>
  <w:abstractNum w:abstractNumId="208">
    <w:nsid w:val="4C187C90"/>
    <w:multiLevelType w:val="hybridMultilevel"/>
    <w:lvl w:ilvl="0">
      <w:lvlJc w:val="left"/>
      <w:lvlText w:val="(%1)"/>
      <w:numFmt w:val="lowerRoman"/>
      <w:start w:val="1"/>
    </w:lvl>
  </w:abstractNum>
  <w:abstractNum w:abstractNumId="209">
    <w:nsid w:val="541F28CD"/>
    <w:multiLevelType w:val="hybridMultilevel"/>
    <w:lvl w:ilvl="0">
      <w:lvlJc w:val="left"/>
      <w:lvlText w:val="(%1)"/>
      <w:numFmt w:val="lowerRoman"/>
      <w:start w:val="3"/>
    </w:lvl>
  </w:abstractNum>
  <w:abstractNum w:abstractNumId="210">
    <w:nsid w:val="7F65FD16"/>
    <w:multiLevelType w:val="hybridMultilevel"/>
    <w:lvl w:ilvl="0">
      <w:lvlJc w:val="left"/>
      <w:lvlText w:val="%1"/>
      <w:numFmt w:val="lowerLetter"/>
      <w:start w:val="1"/>
    </w:lvl>
    <w:lvl w:ilvl="1">
      <w:lvlJc w:val="left"/>
      <w:lvlText w:val="(%2)"/>
      <w:numFmt w:val="lowerLetter"/>
      <w:start w:val="1"/>
    </w:lvl>
  </w:abstractNum>
  <w:abstractNum w:abstractNumId="211">
    <w:nsid w:val="77C9FD68"/>
    <w:multiLevelType w:val="hybridMultilevel"/>
    <w:lvl w:ilvl="0">
      <w:lvlJc w:val="left"/>
      <w:lvlText w:val="(%1)"/>
      <w:numFmt w:val="lowerLetter"/>
      <w:start w:val="1"/>
    </w:lvl>
    <w:lvl w:ilvl="1">
      <w:lvlJc w:val="left"/>
      <w:lvlText w:val="(%2)"/>
      <w:numFmt w:val="lowerLetter"/>
      <w:start w:val="3"/>
    </w:lvl>
  </w:abstractNum>
  <w:abstractNum w:abstractNumId="212">
    <w:nsid w:val="298A92BA"/>
    <w:multiLevelType w:val="hybridMultilevel"/>
    <w:lvl w:ilvl="0">
      <w:lvlJc w:val="left"/>
      <w:lvlText w:val="(%1)"/>
      <w:numFmt w:val="lowerLetter"/>
      <w:start w:val="1"/>
    </w:lvl>
  </w:abstractNum>
  <w:abstractNum w:abstractNumId="213">
    <w:nsid w:val="6FE95EAC"/>
    <w:multiLevelType w:val="hybridMultilevel"/>
    <w:lvl w:ilvl="0">
      <w:lvlJc w:val="left"/>
      <w:lvlText w:val="(%1)"/>
      <w:numFmt w:val="lowerLetter"/>
      <w:start w:val="1"/>
    </w:lvl>
  </w:abstractNum>
  <w:abstractNum w:abstractNumId="214">
    <w:nsid w:val="4B697C7A"/>
    <w:multiLevelType w:val="hybridMultilevel"/>
    <w:lvl w:ilvl="0">
      <w:lvlJc w:val="left"/>
      <w:lvlText w:val="(%1)"/>
      <w:numFmt w:val="lowerLetter"/>
      <w:start w:val="1"/>
    </w:lvl>
  </w:abstractNum>
  <w:abstractNum w:abstractNumId="215">
    <w:nsid w:val="51A27AA6"/>
    <w:multiLevelType w:val="hybridMultilevel"/>
    <w:lvl w:ilvl="0">
      <w:lvlJc w:val="left"/>
      <w:lvlText w:val="(%1)"/>
      <w:numFmt w:val="lowerLetter"/>
      <w:start w:val="2"/>
    </w:lvl>
  </w:abstractNum>
  <w:abstractNum w:abstractNumId="216">
    <w:nsid w:val="613183F2"/>
    <w:multiLevelType w:val="hybridMultilevel"/>
    <w:lvl w:ilvl="0">
      <w:lvlJc w:val="left"/>
      <w:lvlText w:val="(%1)"/>
      <w:numFmt w:val="lowerLetter"/>
      <w:start w:val="3"/>
    </w:lvl>
  </w:abstractNum>
  <w:abstractNum w:abstractNumId="217">
    <w:nsid w:val="634102B4"/>
    <w:multiLevelType w:val="hybridMultilevel"/>
    <w:lvl w:ilvl="0">
      <w:lvlJc w:val="left"/>
      <w:lvlText w:val="(%1)"/>
      <w:numFmt w:val="lowerLetter"/>
      <w:start w:val="1"/>
    </w:lvl>
  </w:abstractNum>
  <w:abstractNum w:abstractNumId="218">
    <w:nsid w:val="65BF9DA8"/>
    <w:multiLevelType w:val="hybridMultilevel"/>
    <w:lvl w:ilvl="0">
      <w:lvlJc w:val="left"/>
      <w:lvlText w:val="%1"/>
      <w:numFmt w:val="lowerLetter"/>
      <w:start w:val="1"/>
    </w:lvl>
    <w:lvl w:ilvl="1">
      <w:lvlJc w:val="left"/>
      <w:lvlText w:val="(%2)"/>
      <w:numFmt w:val="lowerLetter"/>
      <w:start w:val="1"/>
    </w:lvl>
  </w:abstractNum>
  <w:abstractNum w:abstractNumId="219">
    <w:nsid w:val="21A2ECCA"/>
    <w:multiLevelType w:val="hybridMultilevel"/>
    <w:lvl w:ilvl="0">
      <w:lvlJc w:val="left"/>
      <w:lvlText w:val="(%1)"/>
      <w:numFmt w:val="lowerLetter"/>
      <w:start w:val="61"/>
    </w:lvl>
    <w:lvl w:ilvl="1">
      <w:lvlJc w:val="left"/>
      <w:lvlText w:val="%2"/>
      <w:numFmt w:val="lowerLetter"/>
      <w:start w:val="1"/>
    </w:lvl>
  </w:abstractNum>
  <w:abstractNum w:abstractNumId="220">
    <w:nsid w:val="4D5C4899"/>
    <w:multiLevelType w:val="hybridMultilevel"/>
    <w:lvl w:ilvl="0">
      <w:lvlJc w:val="left"/>
      <w:lvlText w:val="%1"/>
      <w:numFmt w:val="lowerRoman"/>
      <w:start w:val="1"/>
    </w:lvl>
    <w:lvl w:ilvl="1">
      <w:lvlJc w:val="left"/>
      <w:lvlText w:val="(%2)"/>
      <w:numFmt w:val="lowerLetter"/>
      <w:start w:val="1"/>
    </w:lvl>
  </w:abstractNum>
  <w:abstractNum w:abstractNumId="221">
    <w:nsid w:val="3C3B72B2"/>
    <w:multiLevelType w:val="hybridMultilevel"/>
    <w:lvl w:ilvl="0">
      <w:lvlJc w:val="left"/>
      <w:lvlText w:val="(%1)"/>
      <w:numFmt w:val="lowerRoman"/>
      <w:start w:val="1"/>
    </w:lvl>
    <w:lvl w:ilvl="1">
      <w:lvlJc w:val="left"/>
      <w:lvlText w:val="%2"/>
      <w:numFmt w:val="lowerLetter"/>
      <w:start w:val="1"/>
    </w:lvl>
  </w:abstractNum>
  <w:abstractNum w:abstractNumId="222">
    <w:nsid w:val="155EC4C2"/>
    <w:multiLevelType w:val="hybridMultilevel"/>
    <w:lvl w:ilvl="0">
      <w:lvlJc w:val="left"/>
      <w:lvlText w:val="(%1)"/>
      <w:numFmt w:val="lowerRoman"/>
      <w:start w:val="4"/>
    </w:lvl>
    <w:lvl w:ilvl="1">
      <w:lvlJc w:val="left"/>
      <w:lvlText w:val="%2"/>
      <w:numFmt w:val="lowerLetter"/>
      <w:start w:val="1"/>
    </w:lvl>
  </w:abstractNum>
  <w:abstractNum w:abstractNumId="223">
    <w:nsid w:val="65D2A137"/>
    <w:multiLevelType w:val="hybridMultilevel"/>
    <w:lvl w:ilvl="0">
      <w:lvlJc w:val="left"/>
      <w:lvlText w:val="(%1)"/>
      <w:numFmt w:val="lowerLetter"/>
      <w:start w:val="1"/>
    </w:lvl>
  </w:abstractNum>
  <w:abstractNum w:abstractNumId="224">
    <w:nsid w:val="6EBB1F2A"/>
    <w:multiLevelType w:val="hybridMultilevel"/>
    <w:lvl w:ilvl="0">
      <w:lvlJc w:val="left"/>
      <w:lvlText w:val="(%1)"/>
      <w:numFmt w:val="lowerLetter"/>
      <w:start w:val="1"/>
    </w:lvl>
  </w:abstractNum>
  <w:abstractNum w:abstractNumId="225">
    <w:nsid w:val="6FBF29CB"/>
    <w:multiLevelType w:val="hybridMultilevel"/>
    <w:lvl w:ilvl="0">
      <w:lvlJc w:val="left"/>
      <w:lvlText w:val="%1"/>
      <w:numFmt w:val="lowerLetter"/>
      <w:start w:val="1"/>
    </w:lvl>
    <w:lvl w:ilvl="1">
      <w:lvlJc w:val="left"/>
      <w:lvlText w:val="(%2)"/>
      <w:numFmt w:val="lowerLetter"/>
      <w:start w:val="1"/>
    </w:lvl>
  </w:abstractNum>
  <w:abstractNum w:abstractNumId="226">
    <w:nsid w:val="550B8808"/>
    <w:multiLevelType w:val="hybridMultilevel"/>
    <w:lvl w:ilvl="0">
      <w:lvlJc w:val="left"/>
      <w:lvlText w:val="(%1)"/>
      <w:numFmt w:val="lowerLetter"/>
      <w:start w:val="9"/>
    </w:lvl>
    <w:lvl w:ilvl="1">
      <w:lvlJc w:val="left"/>
      <w:lvlText w:val="(%2)"/>
      <w:numFmt w:val="lowerLetter"/>
      <w:start w:val="4"/>
    </w:lvl>
  </w:abstractNum>
  <w:abstractNum w:abstractNumId="227">
    <w:nsid w:val="34CC3ACF"/>
    <w:multiLevelType w:val="hybridMultilevel"/>
    <w:lvl w:ilvl="0">
      <w:lvlJc w:val="left"/>
      <w:lvlText w:val="(%1)"/>
      <w:numFmt w:val="lowerLetter"/>
      <w:start w:val="1"/>
    </w:lvl>
  </w:abstractNum>
  <w:abstractNum w:abstractNumId="228">
    <w:nsid w:val="4E556261"/>
    <w:multiLevelType w:val="hybridMultilevel"/>
    <w:lvl w:ilvl="0">
      <w:lvlJc w:val="left"/>
      <w:lvlText w:val="(%1)"/>
      <w:numFmt w:val="lowerLetter"/>
      <w:start w:val="3"/>
    </w:lvl>
  </w:abstractNum>
  <w:abstractNum w:abstractNumId="229">
    <w:nsid w:val="4C672FC9"/>
    <w:multiLevelType w:val="hybridMultilevel"/>
    <w:lvl w:ilvl="0">
      <w:lvlJc w:val="left"/>
      <w:lvlText w:val="(%1)"/>
      <w:numFmt w:val="lowerLetter"/>
      <w:start w:val="1"/>
    </w:lvl>
  </w:abstractNum>
  <w:abstractNum w:abstractNumId="230">
    <w:nsid w:val="52A311C3"/>
    <w:multiLevelType w:val="hybridMultilevel"/>
    <w:lvl w:ilvl="0">
      <w:lvlJc w:val="left"/>
      <w:lvlText w:val="(%1)"/>
      <w:numFmt w:val="lowerLetter"/>
      <w:start w:val="5"/>
    </w:lvl>
  </w:abstractNum>
  <w:abstractNum w:abstractNumId="231">
    <w:nsid w:val="44EF6B80"/>
    <w:multiLevelType w:val="hybridMultilevel"/>
    <w:lvl w:ilvl="0">
      <w:lvlJc w:val="left"/>
      <w:lvlText w:val="%1"/>
      <w:numFmt w:val="lowerLetter"/>
      <w:start w:val="1"/>
    </w:lvl>
    <w:lvl w:ilvl="1">
      <w:lvlJc w:val="left"/>
      <w:lvlText w:val="(%2)"/>
      <w:numFmt w:val="lowerLetter"/>
      <w:start w:val="1"/>
    </w:lvl>
  </w:abstractNum>
  <w:abstractNum w:abstractNumId="232">
    <w:nsid w:val="12FCDE5E"/>
    <w:multiLevelType w:val="hybridMultilevel"/>
    <w:lvl w:ilvl="0">
      <w:lvlJc w:val="left"/>
      <w:lvlText w:val="(%1)"/>
      <w:numFmt w:val="lowerLetter"/>
      <w:start w:val="9"/>
    </w:lvl>
    <w:lvl w:ilvl="1">
      <w:lvlJc w:val="left"/>
      <w:lvlText w:val="(%2)"/>
      <w:numFmt w:val="lowerLetter"/>
      <w:start w:val="3"/>
    </w:lvl>
  </w:abstractNum>
  <w:abstractNum w:abstractNumId="233">
    <w:nsid w:val="4A1D606E"/>
    <w:multiLevelType w:val="hybridMultilevel"/>
    <w:lvl w:ilvl="0">
      <w:lvlJc w:val="left"/>
      <w:lvlText w:val="%1"/>
      <w:numFmt w:val="lowerLetter"/>
      <w:start w:val="1"/>
    </w:lvl>
    <w:lvl w:ilvl="1">
      <w:lvlJc w:val="left"/>
      <w:lvlText w:val="(%2)"/>
      <w:numFmt w:val="lowerLetter"/>
      <w:start w:val="1"/>
    </w:lvl>
  </w:abstractNum>
  <w:abstractNum w:abstractNumId="234">
    <w:nsid w:val="4382503"/>
    <w:multiLevelType w:val="hybridMultilevel"/>
    <w:lvl w:ilvl="0">
      <w:lvlJc w:val="left"/>
      <w:lvlText w:val="(%1)"/>
      <w:numFmt w:val="lowerLetter"/>
      <w:start w:val="1"/>
    </w:lvl>
    <w:lvl w:ilvl="1">
      <w:lvlJc w:val="left"/>
      <w:lvlText w:val="%2"/>
      <w:numFmt w:val="lowerLetter"/>
      <w:start w:val="1"/>
    </w:lvl>
  </w:abstractNum>
  <w:abstractNum w:abstractNumId="235">
    <w:nsid w:val="59B76E28"/>
    <w:multiLevelType w:val="hybridMultilevel"/>
    <w:lvl w:ilvl="0">
      <w:lvlJc w:val="left"/>
      <w:lvlText w:val="%1"/>
      <w:numFmt w:val="decimal"/>
      <w:start w:val="1"/>
    </w:lvl>
    <w:lvl w:ilvl="1">
      <w:lvlJc w:val="left"/>
      <w:lvlText w:val="(%2)"/>
      <w:numFmt w:val="lowerLetter"/>
      <w:start w:val="2"/>
    </w:lvl>
  </w:abstractNum>
  <w:abstractNum w:abstractNumId="236">
    <w:nsid w:val="4252C2DA"/>
    <w:multiLevelType w:val="hybridMultilevel"/>
    <w:lvl w:ilvl="0">
      <w:lvlJc w:val="left"/>
      <w:lvlText w:val="(%1)"/>
      <w:numFmt w:val="decimal"/>
      <w:start w:val="15"/>
    </w:lvl>
    <w:lvl w:ilvl="1">
      <w:lvlJc w:val="left"/>
      <w:lvlText w:val="(%2)"/>
      <w:numFmt w:val="lowerLetter"/>
      <w:start w:val="4"/>
    </w:lvl>
  </w:abstractNum>
  <w:abstractNum w:abstractNumId="237">
    <w:nsid w:val="6A92EF4C"/>
    <w:multiLevelType w:val="hybridMultilevel"/>
    <w:lvl w:ilvl="0">
      <w:lvlJc w:val="left"/>
      <w:lvlText w:val="(%1)"/>
      <w:numFmt w:val="lowerRoman"/>
      <w:start w:val="3"/>
    </w:lvl>
  </w:abstractNum>
  <w:abstractNum w:abstractNumId="238">
    <w:nsid w:val="41ED20D7"/>
    <w:multiLevelType w:val="hybridMultilevel"/>
    <w:lvl w:ilvl="0">
      <w:lvlJc w:val="left"/>
      <w:lvlText w:val="(%1)"/>
      <w:numFmt w:val="lowerLetter"/>
      <w:start w:val="1"/>
    </w:lvl>
  </w:abstractNum>
  <w:abstractNum w:abstractNumId="239">
    <w:nsid w:val="E6B3F6A"/>
    <w:multiLevelType w:val="hybridMultilevel"/>
    <w:lvl w:ilvl="0">
      <w:lvlJc w:val="left"/>
      <w:lvlText w:val="(%1)"/>
      <w:numFmt w:val="lowerLetter"/>
      <w:start w:val="4"/>
    </w:lvl>
  </w:abstractNum>
  <w:abstractNum w:abstractNumId="240">
    <w:nsid w:val="3EB21819"/>
    <w:multiLevelType w:val="hybridMultilevel"/>
    <w:lvl w:ilvl="0">
      <w:lvlJc w:val="left"/>
      <w:lvlText w:val="(%1)"/>
      <w:numFmt w:val="lowerLetter"/>
      <w:start w:val="1"/>
    </w:lvl>
  </w:abstractNum>
  <w:abstractNum w:abstractNumId="241">
    <w:nsid w:val="41531DED"/>
    <w:multiLevelType w:val="hybridMultilevel"/>
    <w:lvl w:ilvl="0">
      <w:lvlJc w:val="left"/>
      <w:lvlText w:val="(%1)"/>
      <w:numFmt w:val="lowerLetter"/>
      <w:start w:val="6"/>
    </w:lvl>
  </w:abstractNum>
  <w:abstractNum w:abstractNumId="242">
    <w:nsid w:val="6353CD2"/>
    <w:multiLevelType w:val="hybridMultilevel"/>
    <w:lvl w:ilvl="0">
      <w:lvlJc w:val="left"/>
      <w:lvlText w:val="%1"/>
      <w:numFmt w:val="lowerLetter"/>
      <w:start w:val="1"/>
    </w:lvl>
    <w:lvl w:ilvl="1">
      <w:lvlJc w:val="left"/>
      <w:lvlText w:val="(%2)"/>
      <w:numFmt w:val="lowerLetter"/>
      <w:start w:val="11"/>
    </w:lvl>
  </w:abstractNum>
  <w:abstractNum w:abstractNumId="243">
    <w:nsid w:val="683CAAD3"/>
    <w:multiLevelType w:val="hybridMultilevel"/>
    <w:lvl w:ilvl="0">
      <w:lvlJc w:val="left"/>
      <w:lvlText w:val="(%1)"/>
      <w:numFmt w:val="lowerLetter"/>
      <w:start w:val="35"/>
    </w:lvl>
    <w:lvl w:ilvl="1">
      <w:lvlJc w:val="left"/>
      <w:lvlText w:val="(%2)"/>
      <w:numFmt w:val="lowerLetter"/>
      <w:start w:val="15"/>
    </w:lvl>
  </w:abstractNum>
  <w:abstractNum w:abstractNumId="244">
    <w:nsid w:val="313C7C99"/>
    <w:multiLevelType w:val="hybridMultilevel"/>
    <w:lvl w:ilvl="0">
      <w:lvlJc w:val="left"/>
      <w:lvlText w:val="(%1)"/>
      <w:numFmt w:val="lowerLetter"/>
      <w:start w:val="1"/>
    </w:lvl>
  </w:abstractNum>
  <w:abstractNum w:abstractNumId="245">
    <w:nsid w:val="519EB94C"/>
    <w:multiLevelType w:val="hybridMultilevel"/>
    <w:lvl w:ilvl="0">
      <w:lvlJc w:val="left"/>
      <w:lvlText w:val="(%1)"/>
      <w:numFmt w:val="lowerRoman"/>
      <w:start w:val="4"/>
    </w:lvl>
    <w:lvl w:ilvl="1">
      <w:lvlJc w:val="left"/>
      <w:lvlText w:val="(%2)"/>
      <w:numFmt w:val="lowerLetter"/>
      <w:start w:val="4"/>
    </w:lvl>
  </w:abstractNum>
  <w:abstractNum w:abstractNumId="246">
    <w:nsid w:val="39DF2579"/>
    <w:multiLevelType w:val="hybridMultilevel"/>
    <w:lvl w:ilvl="0">
      <w:lvlJc w:val="left"/>
      <w:lvlText w:val="(%1)"/>
      <w:numFmt w:val="lowerLetter"/>
      <w:start w:val="1"/>
    </w:lvl>
  </w:abstractNum>
  <w:abstractNum w:abstractNumId="247">
    <w:nsid w:val="126E008B"/>
    <w:multiLevelType w:val="hybridMultilevel"/>
    <w:lvl w:ilvl="0">
      <w:lvlJc w:val="left"/>
      <w:lvlText w:val="(%1)"/>
      <w:numFmt w:val="lowerLetter"/>
      <w:start w:val="1"/>
    </w:lvl>
  </w:abstractNum>
  <w:abstractNum w:abstractNumId="248">
    <w:nsid w:val="34DFBC00"/>
    <w:multiLevelType w:val="hybridMultilevel"/>
    <w:lvl w:ilvl="0">
      <w:lvlJc w:val="left"/>
      <w:lvlText w:val="(%1)"/>
      <w:numFmt w:val="lowerLetter"/>
      <w:start w:val="2"/>
    </w:lvl>
  </w:abstractNum>
  <w:abstractNum w:abstractNumId="249">
    <w:nsid w:val="1F9EC322"/>
    <w:multiLevelType w:val="hybridMultilevel"/>
    <w:lvl w:ilvl="0">
      <w:lvlJc w:val="left"/>
      <w:lvlText w:val="%1"/>
      <w:numFmt w:val="lowerLetter"/>
      <w:start w:val="1"/>
    </w:lvl>
    <w:lvl w:ilvl="1">
      <w:lvlJc w:val="left"/>
      <w:lvlText w:val="(%2)"/>
      <w:numFmt w:val="lowerLetter"/>
      <w:start w:val="12"/>
    </w:lvl>
  </w:abstractNum>
  <w:abstractNum w:abstractNumId="250">
    <w:nsid w:val="3410ED56"/>
    <w:multiLevelType w:val="hybridMultilevel"/>
    <w:lvl w:ilvl="0">
      <w:lvlJc w:val="left"/>
      <w:lvlText w:val="(%1)"/>
      <w:numFmt w:val="lowerLetter"/>
      <w:start w:val="2"/>
    </w:lvl>
    <w:lvl w:ilvl="1">
      <w:lvlJc w:val="left"/>
      <w:lvlText w:val="%2"/>
      <w:numFmt w:val="lowerLetter"/>
      <w:start w:val="1"/>
    </w:lvl>
  </w:abstractNum>
  <w:abstractNum w:abstractNumId="251">
    <w:nsid w:val="23C049A"/>
    <w:multiLevelType w:val="hybridMultilevel"/>
    <w:lvl w:ilvl="0">
      <w:lvlJc w:val="left"/>
      <w:lvlText w:val="(%1)"/>
      <w:numFmt w:val="lowerLetter"/>
      <w:start w:val="35"/>
    </w:lvl>
    <w:lvl w:ilvl="1">
      <w:lvlJc w:val="left"/>
      <w:lvlText w:val="(%2)"/>
      <w:numFmt w:val="lowerLetter"/>
      <w:start w:val="13"/>
    </w:lvl>
  </w:abstractNum>
  <w:abstractNum w:abstractNumId="252">
    <w:nsid w:val="5BDA35D4"/>
    <w:multiLevelType w:val="hybridMultilevel"/>
    <w:lvl w:ilvl="0">
      <w:lvlJc w:val="left"/>
      <w:lvlText w:val="(%1)"/>
      <w:numFmt w:val="lowerLetter"/>
      <w:start w:val="1"/>
    </w:lvl>
  </w:abstractNum>
  <w:abstractNum w:abstractNumId="253">
    <w:nsid w:val="496FB218"/>
    <w:multiLevelType w:val="hybridMultilevel"/>
    <w:lvl w:ilvl="0">
      <w:lvlJc w:val="left"/>
      <w:lvlText w:val="(%1)"/>
      <w:numFmt w:val="lowerLetter"/>
      <w:start w:val="3"/>
    </w:lvl>
  </w:abstractNum>
  <w:abstractNum w:abstractNumId="254">
    <w:nsid w:val="680EA5D1"/>
    <w:multiLevelType w:val="hybridMultilevel"/>
    <w:lvl w:ilvl="0">
      <w:lvlJc w:val="left"/>
      <w:lvlText w:val="(%1)"/>
      <w:numFmt w:val="lowerRoman"/>
      <w:start w:val="3"/>
    </w:lvl>
  </w:abstractNum>
  <w:abstractNum w:abstractNumId="255">
    <w:nsid w:val="4A9554FE"/>
    <w:multiLevelType w:val="hybridMultilevel"/>
    <w:lvl w:ilvl="0">
      <w:lvlJc w:val="left"/>
      <w:lvlText w:val="(%1)"/>
      <w:numFmt w:val="lowerLetter"/>
      <w:start w:val="1"/>
    </w:lvl>
  </w:abstractNum>
  <w:abstractNum w:abstractNumId="256">
    <w:nsid w:val="392EDBE4"/>
    <w:multiLevelType w:val="hybridMultilevel"/>
    <w:lvl w:ilvl="0">
      <w:lvlJc w:val="left"/>
      <w:lvlText w:val="(%1)"/>
      <w:numFmt w:val="lowerLetter"/>
      <w:start w:val="1"/>
    </w:lvl>
  </w:abstractNum>
  <w:abstractNum w:abstractNumId="257">
    <w:nsid w:val="3D1A2DD9"/>
    <w:multiLevelType w:val="hybridMultilevel"/>
    <w:lvl w:ilvl="0">
      <w:lvlJc w:val="left"/>
      <w:lvlText w:val="(%1)"/>
      <w:numFmt w:val="lowerLetter"/>
      <w:start w:val="4"/>
    </w:lvl>
  </w:abstractNum>
  <w:abstractNum w:abstractNumId="258">
    <w:nsid w:val="7F618FCD"/>
    <w:multiLevelType w:val="hybridMultilevel"/>
    <w:lvl w:ilvl="0">
      <w:lvlJc w:val="left"/>
      <w:lvlText w:val="(%1)"/>
      <w:numFmt w:val="lowerLetter"/>
      <w:start w:val="7"/>
    </w:lvl>
  </w:abstractNum>
  <w:abstractNum w:abstractNumId="259">
    <w:nsid w:val="7843E45"/>
    <w:multiLevelType w:val="hybridMultilevel"/>
    <w:lvl w:ilvl="0">
      <w:lvlJc w:val="left"/>
      <w:lvlText w:val="(%1)"/>
      <w:numFmt w:val="lowerLetter"/>
      <w:start w:val="12"/>
    </w:lvl>
  </w:abstractNum>
  <w:abstractNum w:abstractNumId="260">
    <w:nsid w:val="9815DA3"/>
    <w:multiLevelType w:val="hybridMultilevel"/>
    <w:lvl w:ilvl="0">
      <w:lvlJc w:val="left"/>
      <w:lvlText w:val="(%1)"/>
      <w:numFmt w:val="lowerLetter"/>
      <w:start w:val="1"/>
    </w:lvl>
  </w:abstractNum>
  <w:abstractNum w:abstractNumId="261">
    <w:nsid w:val="5204A191"/>
    <w:multiLevelType w:val="hybridMultilevel"/>
    <w:lvl w:ilvl="0">
      <w:lvlJc w:val="left"/>
      <w:lvlText w:val="(%1)"/>
      <w:numFmt w:val="lowerLetter"/>
      <w:start w:val="1"/>
    </w:lvl>
  </w:abstractNum>
  <w:abstractNum w:abstractNumId="262">
    <w:nsid w:val="4C73A9C6"/>
    <w:multiLevelType w:val="hybridMultilevel"/>
    <w:lvl w:ilvl="0">
      <w:lvlJc w:val="left"/>
      <w:lvlText w:val="(%1)"/>
      <w:numFmt w:val="lowerLetter"/>
      <w:start w:val="1"/>
    </w:lvl>
    <w:lvl w:ilvl="1">
      <w:lvlJc w:val="left"/>
      <w:lvlText w:val="(%2)"/>
      <w:numFmt w:val="lowerRoman"/>
      <w:start w:val="1"/>
    </w:lvl>
  </w:abstractNum>
  <w:abstractNum w:abstractNumId="263">
    <w:nsid w:val="1C7E3C01"/>
    <w:multiLevelType w:val="hybridMultilevel"/>
    <w:lvl w:ilvl="0">
      <w:lvlJc w:val="left"/>
      <w:lvlText w:val="(%1)"/>
      <w:numFmt w:val="lowerLetter"/>
      <w:start w:val="4"/>
    </w:lvl>
  </w:abstractNum>
  <w:abstractNum w:abstractNumId="264">
    <w:nsid w:val="1C2201FF"/>
    <w:multiLevelType w:val="hybridMultilevel"/>
    <w:lvl w:ilvl="0">
      <w:lvlJc w:val="left"/>
      <w:lvlText w:val="(%1)"/>
      <w:numFmt w:val="lowerLetter"/>
      <w:start w:val="1"/>
    </w:lvl>
  </w:abstractNum>
  <w:abstractNum w:abstractNumId="265">
    <w:nsid w:val="50ABCEC9"/>
    <w:multiLevelType w:val="hybridMultilevel"/>
    <w:lvl w:ilvl="0">
      <w:lvlJc w:val="left"/>
      <w:lvlText w:val="(%1)"/>
      <w:numFmt w:val="lowerLetter"/>
      <w:start w:val="2"/>
    </w:lvl>
  </w:abstractNum>
  <w:abstractNum w:abstractNumId="266">
    <w:nsid w:val="7635AA2A"/>
    <w:multiLevelType w:val="hybridMultilevel"/>
    <w:lvl w:ilvl="0">
      <w:lvlJc w:val="left"/>
      <w:lvlText w:val="%1"/>
      <w:numFmt w:val="lowerLetter"/>
      <w:start w:val="1"/>
    </w:lvl>
    <w:lvl w:ilvl="1">
      <w:lvlJc w:val="left"/>
      <w:lvlText w:val="(%2)"/>
      <w:numFmt w:val="lowerLetter"/>
      <w:start w:val="4"/>
    </w:lvl>
  </w:abstractNum>
  <w:abstractNum w:abstractNumId="267">
    <w:nsid w:val="5E74C4D9"/>
    <w:multiLevelType w:val="hybridMultilevel"/>
    <w:lvl w:ilvl="0">
      <w:lvlJc w:val="left"/>
      <w:lvlText w:val="(%1)"/>
      <w:numFmt w:val="lowerLetter"/>
      <w:start w:val="2"/>
    </w:lvl>
    <w:lvl w:ilvl="1">
      <w:lvlJc w:val="left"/>
      <w:lvlText w:val="%2"/>
      <w:numFmt w:val="lowerLetter"/>
      <w:start w:val="1"/>
    </w:lvl>
  </w:abstractNum>
  <w:abstractNum w:abstractNumId="268">
    <w:nsid w:val="3B3EBE15"/>
    <w:multiLevelType w:val="hybridMultilevel"/>
    <w:lvl w:ilvl="0">
      <w:lvlJc w:val="left"/>
      <w:lvlText w:val="(%1)"/>
      <w:numFmt w:val="lowerLetter"/>
      <w:start w:val="1"/>
    </w:lvl>
  </w:abstractNum>
  <w:abstractNum w:abstractNumId="269">
    <w:nsid w:val="3822CB01"/>
    <w:multiLevelType w:val="hybridMultilevel"/>
    <w:lvl w:ilvl="0">
      <w:lvlJc w:val="left"/>
      <w:lvlText w:val="%1"/>
      <w:numFmt w:val="lowerLetter"/>
      <w:start w:val="1"/>
    </w:lvl>
    <w:lvl w:ilvl="1">
      <w:lvlJc w:val="left"/>
      <w:lvlText w:val="(%2)"/>
      <w:numFmt w:val="lowerLetter"/>
      <w:start w:val="1"/>
    </w:lvl>
  </w:abstractNum>
  <w:abstractNum w:abstractNumId="270">
    <w:nsid w:val="6CE00443"/>
    <w:multiLevelType w:val="hybridMultilevel"/>
    <w:lvl w:ilvl="0">
      <w:lvlJc w:val="left"/>
      <w:lvlText w:val="(%1)"/>
      <w:numFmt w:val="lowerLetter"/>
      <w:start w:val="9"/>
    </w:lvl>
    <w:lvl w:ilvl="1">
      <w:lvlJc w:val="left"/>
      <w:lvlText w:val="%2"/>
      <w:numFmt w:val="lowerLetter"/>
      <w:start w:val="1"/>
    </w:lvl>
  </w:abstractNum>
  <w:abstractNum w:abstractNumId="271">
    <w:nsid w:val="79F0D62F"/>
    <w:multiLevelType w:val="hybridMultilevel"/>
    <w:lvl w:ilvl="0">
      <w:lvlJc w:val="left"/>
      <w:lvlText w:val="(%1)"/>
      <w:numFmt w:val="lowerLetter"/>
      <w:start w:val="3"/>
    </w:lvl>
  </w:abstractNum>
  <w:abstractNum w:abstractNumId="272">
    <w:nsid w:val="7975E8EE"/>
    <w:multiLevelType w:val="hybridMultilevel"/>
    <w:lvl w:ilvl="0">
      <w:lvlJc w:val="left"/>
      <w:lvlText w:val="(%1)"/>
      <w:numFmt w:val="lowerLetter"/>
      <w:start w:val="1"/>
    </w:lvl>
    <w:lvl w:ilvl="1">
      <w:lvlJc w:val="left"/>
      <w:lvlText w:val="(%2)"/>
      <w:numFmt w:val="lowerRoman"/>
      <w:start w:val="1"/>
    </w:lvl>
  </w:abstractNum>
  <w:abstractNum w:abstractNumId="273">
    <w:nsid w:val="73154115"/>
    <w:multiLevelType w:val="hybridMultilevel"/>
    <w:lvl w:ilvl="0">
      <w:lvlJc w:val="left"/>
      <w:lvlText w:val="(%1)"/>
      <w:numFmt w:val="lowerLetter"/>
      <w:start w:val="2"/>
    </w:lvl>
  </w:abstractNum>
  <w:abstractNum w:abstractNumId="274">
    <w:nsid w:val="622D8102"/>
    <w:multiLevelType w:val="hybridMultilevel"/>
    <w:lvl w:ilvl="0">
      <w:lvlJc w:val="left"/>
      <w:lvlText w:val="(%1)"/>
      <w:numFmt w:val="lowerLetter"/>
      <w:start w:val="1"/>
    </w:lvl>
  </w:abstractNum>
  <w:abstractNum w:abstractNumId="275">
    <w:nsid w:val="2AB26587"/>
    <w:multiLevelType w:val="hybridMultilevel"/>
    <w:lvl w:ilvl="0">
      <w:lvlJc w:val="left"/>
      <w:lvlText w:val="(%1)"/>
      <w:numFmt w:val="lowerLetter"/>
      <w:start w:val="3"/>
    </w:lvl>
  </w:abstractNum>
  <w:abstractNum w:abstractNumId="276">
    <w:nsid w:val="44B3FA61"/>
    <w:multiLevelType w:val="hybridMultilevel"/>
    <w:lvl w:ilvl="0">
      <w:lvlJc w:val="left"/>
      <w:lvlText w:val="(%1)"/>
      <w:numFmt w:val="lowerLetter"/>
      <w:start w:val="9"/>
    </w:lvl>
  </w:abstractNum>
  <w:abstractNum w:abstractNumId="277">
    <w:nsid w:val="1C0CA67C"/>
    <w:multiLevelType w:val="hybridMultilevel"/>
    <w:lvl w:ilvl="0">
      <w:lvlJc w:val="left"/>
      <w:lvlText w:val="(%1)"/>
      <w:numFmt w:val="lowerRoman"/>
      <w:start w:val="1"/>
    </w:lvl>
  </w:abstractNum>
  <w:abstractNum w:abstractNumId="278">
    <w:nsid w:val="3D206613"/>
    <w:multiLevelType w:val="hybridMultilevel"/>
    <w:lvl w:ilvl="0">
      <w:lvlJc w:val="left"/>
      <w:lvlText w:val="(%1)"/>
      <w:numFmt w:val="lowerLetter"/>
      <w:start w:val="1"/>
    </w:lvl>
  </w:abstractNum>
  <w:abstractNum w:abstractNumId="279">
    <w:nsid w:val="7993B662"/>
    <w:multiLevelType w:val="hybridMultilevel"/>
    <w:lvl w:ilvl="0">
      <w:lvlJc w:val="left"/>
      <w:lvlText w:val="(%1)"/>
      <w:numFmt w:val="lowerLetter"/>
      <w:start w:val="2"/>
    </w:lvl>
  </w:abstractNum>
  <w:abstractNum w:abstractNumId="280">
    <w:nsid w:val="3BAB699E"/>
    <w:multiLevelType w:val="hybridMultilevel"/>
    <w:lvl w:ilvl="0">
      <w:lvlJc w:val="left"/>
      <w:lvlText w:val="(%1)"/>
      <w:numFmt w:val="lowerLetter"/>
      <w:start w:val="3"/>
    </w:lvl>
  </w:abstractNum>
  <w:abstractNum w:abstractNumId="281">
    <w:nsid w:val="71315369"/>
    <w:multiLevelType w:val="hybridMultilevel"/>
    <w:lvl w:ilvl="0">
      <w:lvlJc w:val="left"/>
      <w:lvlText w:val="(%1)"/>
      <w:numFmt w:val="lowerLetter"/>
      <w:start w:val="1"/>
    </w:lvl>
  </w:abstractNum>
  <w:abstractNum w:abstractNumId="282">
    <w:nsid w:val="7BCFBAFC"/>
    <w:multiLevelType w:val="hybridMultilevel"/>
    <w:lvl w:ilvl="0">
      <w:lvlJc w:val="left"/>
      <w:lvlText w:val="(%1)"/>
      <w:numFmt w:val="lowerLetter"/>
      <w:start w:val="2"/>
    </w:lvl>
  </w:abstractNum>
  <w:abstractNum w:abstractNumId="283">
    <w:nsid w:val="17859F72"/>
    <w:multiLevelType w:val="hybridMultilevel"/>
    <w:lvl w:ilvl="0">
      <w:lvlJc w:val="left"/>
      <w:lvlText w:val="(%1)"/>
      <w:numFmt w:val="lowerLetter"/>
      <w:start w:val="4"/>
    </w:lvl>
  </w:abstractNum>
  <w:abstractNum w:abstractNumId="284">
    <w:nsid w:val="3AA1058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5">
    <w:nsid w:val="63DE60CD"/>
    <w:multiLevelType w:val="hybridMultilevel"/>
    <w:lvl w:ilvl="0">
      <w:lvlJc w:val="left"/>
      <w:lvlText w:val="(%1)"/>
      <w:numFmt w:val="lowerRoman"/>
      <w:start w:val="3"/>
    </w:lvl>
    <w:lvl w:ilvl="1">
      <w:lvlJc w:val="left"/>
      <w:lvlText w:val="(%2)"/>
      <w:numFmt w:val="upperLetter"/>
      <w:start w:val="1"/>
    </w:lvl>
  </w:abstractNum>
  <w:abstractNum w:abstractNumId="286">
    <w:nsid w:val="621AF471"/>
    <w:multiLevelType w:val="hybridMultilevel"/>
    <w:lvl w:ilvl="0">
      <w:lvlJc w:val="left"/>
      <w:lvlText w:val="(%1)"/>
      <w:numFmt w:val="lowerRoman"/>
      <w:start w:val="7"/>
    </w:lvl>
  </w:abstractNum>
  <w:abstractNum w:abstractNumId="287">
    <w:nsid w:val="73CFE165"/>
    <w:multiLevelType w:val="hybridMultilevel"/>
    <w:lvl w:ilvl="0">
      <w:lvlJc w:val="left"/>
      <w:lvlText w:val="(%1)"/>
      <w:numFmt w:val="lowerLetter"/>
      <w:start w:val="2"/>
    </w:lvl>
  </w:abstractNum>
  <w:abstractNum w:abstractNumId="288">
    <w:nsid w:val="20F88EA6"/>
    <w:multiLevelType w:val="hybridMultilevel"/>
    <w:lvl w:ilvl="0">
      <w:lvlJc w:val="left"/>
      <w:lvlText w:val="(%1)"/>
      <w:numFmt w:val="lowerLetter"/>
      <w:start w:val="3"/>
    </w:lvl>
  </w:abstractNum>
  <w:abstractNum w:abstractNumId="289">
    <w:nsid w:val="617C843E"/>
    <w:multiLevelType w:val="hybridMultilevel"/>
    <w:lvl w:ilvl="0">
      <w:lvlJc w:val="left"/>
      <w:lvlText w:val="(%1)"/>
      <w:numFmt w:val="lowerLetter"/>
      <w:start w:val="4"/>
    </w:lvl>
  </w:abstractNum>
  <w:abstractNum w:abstractNumId="290">
    <w:nsid w:val="7B541FAB"/>
    <w:multiLevelType w:val="hybridMultilevel"/>
    <w:lvl w:ilvl="0">
      <w:lvlJc w:val="left"/>
      <w:lvlText w:val="(%1)"/>
      <w:numFmt w:val="lowerLetter"/>
      <w:start w:val="6"/>
    </w:lvl>
  </w:abstractNum>
  <w:abstractNum w:abstractNumId="291">
    <w:nsid w:val="2A79EC49"/>
    <w:multiLevelType w:val="hybridMultilevel"/>
    <w:lvl w:ilvl="0">
      <w:lvlJc w:val="left"/>
      <w:lvlText w:val="(%1)"/>
      <w:numFmt w:val="lowerRoman"/>
      <w:start w:val="2"/>
    </w:lvl>
  </w:abstractNum>
  <w:abstractNum w:abstractNumId="292">
    <w:nsid w:val="338125CF"/>
    <w:multiLevelType w:val="hybridMultilevel"/>
    <w:lvl w:ilvl="0">
      <w:lvlJc w:val="left"/>
      <w:lvlText w:val="(%1)"/>
      <w:numFmt w:val="decimal"/>
      <w:start w:val="3"/>
    </w:lvl>
    <w:lvl w:ilvl="1">
      <w:lvlJc w:val="left"/>
      <w:lvlText w:val="(%2)"/>
      <w:numFmt w:val="lowerRoman"/>
      <w:start w:val="4"/>
    </w:lvl>
  </w:abstractNum>
  <w:abstractNum w:abstractNumId="293">
    <w:nsid w:val="47C7C971"/>
    <w:multiLevelType w:val="hybridMultilevel"/>
    <w:lvl w:ilvl="0">
      <w:lvlJc w:val="left"/>
      <w:lvlText w:val="(%1)"/>
      <w:numFmt w:val="lowerLetter"/>
      <w:start w:val="7"/>
    </w:lvl>
    <w:lvl w:ilvl="1">
      <w:lvlJc w:val="left"/>
      <w:lvlText w:val="(%2)"/>
      <w:numFmt w:val="lowerRoman"/>
      <w:start w:val="1"/>
    </w:lvl>
  </w:abstractNum>
  <w:abstractNum w:abstractNumId="294">
    <w:nsid w:val="46F8284B"/>
    <w:multiLevelType w:val="hybridMultilevel"/>
    <w:lvl w:ilvl="0">
      <w:lvlJc w:val="left"/>
      <w:lvlText w:val="(%1)"/>
      <w:numFmt w:val="lowerLetter"/>
      <w:start w:val="1"/>
    </w:lvl>
    <w:lvl w:ilvl="1">
      <w:lvlJc w:val="left"/>
      <w:lvlText w:val="(%2)"/>
      <w:numFmt w:val="lowerLetter"/>
      <w:start w:val="1"/>
    </w:lvl>
  </w:abstractNum>
  <w:abstractNum w:abstractNumId="295">
    <w:nsid w:val="4FA327CE"/>
    <w:multiLevelType w:val="hybridMultilevel"/>
    <w:lvl w:ilvl="0">
      <w:lvlJc w:val="left"/>
      <w:lvlText w:val="(%1)"/>
      <w:numFmt w:val="lowerLetter"/>
      <w:start w:val="3"/>
    </w:lvl>
  </w:abstractNum>
  <w:abstractNum w:abstractNumId="296">
    <w:nsid w:val="1873983A"/>
    <w:multiLevelType w:val="hybridMultilevel"/>
    <w:lvl w:ilvl="0">
      <w:lvlJc w:val="left"/>
      <w:lvlText w:val="(%1)"/>
      <w:numFmt w:val="lowerLetter"/>
      <w:start w:val="1"/>
    </w:lvl>
  </w:abstractNum>
  <w:abstractNum w:abstractNumId="297">
    <w:nsid w:val="3D2DD275"/>
    <w:multiLevelType w:val="hybridMultilevel"/>
    <w:lvl w:ilvl="0">
      <w:lvlJc w:val="left"/>
      <w:lvlText w:val="(%1)"/>
      <w:numFmt w:val="lowerLetter"/>
      <w:start w:val="2"/>
    </w:lvl>
  </w:abstractNum>
  <w:abstractNum w:abstractNumId="298">
    <w:nsid w:val="2E17ECA7"/>
    <w:multiLevelType w:val="hybridMultilevel"/>
    <w:lvl w:ilvl="0">
      <w:lvlJc w:val="left"/>
      <w:lvlText w:val="(%1)"/>
      <w:numFmt w:val="upperLetter"/>
      <w:start w:val="2"/>
    </w:lvl>
  </w:abstractNum>
  <w:abstractNum w:abstractNumId="299">
    <w:nsid w:val="53B2564F"/>
    <w:multiLevelType w:val="hybridMultilevel"/>
    <w:lvl w:ilvl="0">
      <w:lvlJc w:val="left"/>
      <w:lvlText w:val="(%1)"/>
      <w:numFmt w:val="lowerLetter"/>
      <w:start w:val="1"/>
    </w:lvl>
  </w:abstractNum>
  <w:abstractNum w:abstractNumId="300">
    <w:nsid w:val="75509D76"/>
    <w:multiLevelType w:val="hybridMultilevel"/>
    <w:lvl w:ilvl="0">
      <w:lvlJc w:val="left"/>
      <w:lvlText w:val="(%1)"/>
      <w:numFmt w:val="lowerRoman"/>
      <w:start w:val="1"/>
    </w:lvl>
  </w:abstractNum>
  <w:abstractNum w:abstractNumId="301">
    <w:nsid w:val="1AF7F0EA"/>
    <w:multiLevelType w:val="hybridMultilevel"/>
    <w:lvl w:ilvl="0">
      <w:lvlJc w:val="left"/>
      <w:lvlText w:val="%1"/>
      <w:numFmt w:val="lowerLetter"/>
      <w:start w:val="1"/>
    </w:lvl>
    <w:lvl w:ilvl="1">
      <w:lvlJc w:val="left"/>
      <w:lvlText w:val="(%2)"/>
      <w:numFmt w:val="lowerLetter"/>
      <w:start w:val="1"/>
    </w:lvl>
  </w:abstractNum>
  <w:abstractNum w:abstractNumId="302">
    <w:nsid w:val="4DA32C7E"/>
    <w:multiLevelType w:val="hybridMultilevel"/>
    <w:lvl w:ilvl="0">
      <w:lvlJc w:val="left"/>
      <w:lvlText w:val="(%1)"/>
      <w:numFmt w:val="lowerLetter"/>
      <w:start w:val="61"/>
    </w:lvl>
    <w:lvl w:ilvl="1">
      <w:lvlJc w:val="left"/>
      <w:lvlText w:val="(%2)"/>
      <w:numFmt w:val="lowerLetter"/>
      <w:start w:val="2"/>
    </w:lvl>
  </w:abstractNum>
  <w:abstractNum w:abstractNumId="303">
    <w:nsid w:val="6EC68664"/>
    <w:multiLevelType w:val="hybridMultilevel"/>
    <w:lvl w:ilvl="0">
      <w:lvlJc w:val="left"/>
      <w:lvlText w:val="(%1)"/>
      <w:numFmt w:val="lowerLetter"/>
      <w:start w:val="3"/>
    </w:lvl>
  </w:abstractNum>
  <w:abstractNum w:abstractNumId="304">
    <w:nsid w:val="E0D31FF"/>
    <w:multiLevelType w:val="hybridMultilevel"/>
    <w:lvl w:ilvl="0">
      <w:lvlJc w:val="left"/>
      <w:lvlText w:val="(%1)"/>
      <w:numFmt w:val="lowerLetter"/>
      <w:start w:val="5"/>
    </w:lvl>
  </w:abstractNum>
  <w:abstractNum w:abstractNumId="305">
    <w:nsid w:val="2FD0AD81"/>
    <w:multiLevelType w:val="hybridMultilevel"/>
    <w:lvl w:ilvl="0">
      <w:lvlJc w:val="left"/>
      <w:lvlText w:val="(%1)"/>
      <w:numFmt w:val="lowerLetter"/>
      <w:start w:val="1"/>
    </w:lvl>
    <w:lvl w:ilvl="1">
      <w:lvlJc w:val="left"/>
      <w:lvlText w:val="(%2)"/>
      <w:numFmt w:val="lowerRoman"/>
      <w:start w:val="1"/>
    </w:lvl>
  </w:abstractNum>
  <w:abstractNum w:abstractNumId="306">
    <w:nsid w:val="1978EBEB"/>
    <w:multiLevelType w:val="hybridMultilevel"/>
    <w:lvl w:ilvl="0">
      <w:lvlJc w:val="left"/>
      <w:lvlText w:val="%1"/>
      <w:numFmt w:val="lowerLetter"/>
      <w:start w:val="1"/>
    </w:lvl>
    <w:lvl w:ilvl="1">
      <w:lvlJc w:val="left"/>
      <w:lvlText w:val="(%2)"/>
      <w:numFmt w:val="lowerRoman"/>
      <w:start w:val="4"/>
    </w:lvl>
  </w:abstractNum>
  <w:abstractNum w:abstractNumId="307">
    <w:nsid w:val="52C12C61"/>
    <w:multiLevelType w:val="hybridMultilevel"/>
    <w:lvl w:ilvl="0">
      <w:lvlJc w:val="left"/>
      <w:lvlText w:val="(%1)"/>
      <w:numFmt w:val="lowerLetter"/>
      <w:start w:val="2"/>
    </w:lvl>
    <w:lvl w:ilvl="1">
      <w:lvlJc w:val="left"/>
      <w:lvlText w:val="%2"/>
      <w:numFmt w:val="lowerRoman"/>
      <w:start w:val="1"/>
    </w:lvl>
  </w:abstractNum>
  <w:abstractNum w:abstractNumId="308">
    <w:nsid w:val="4BDD53FD"/>
    <w:multiLevelType w:val="hybridMultilevel"/>
    <w:lvl w:ilvl="0">
      <w:lvlJc w:val="left"/>
      <w:lvlText w:val="(%1)"/>
      <w:numFmt w:val="lowerLetter"/>
      <w:start w:val="1"/>
    </w:lvl>
  </w:abstractNum>
  <w:abstractNum w:abstractNumId="309">
    <w:nsid w:val="569951F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10">
    <w:nsid w:val="4C54E2C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jpe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71" Type="http://schemas.openxmlformats.org/officeDocument/2006/relationships/hyperlink" Target="https://www.sec.gov/Archives/edgar/data/81362/000008136219000013/exhibit31.htm" TargetMode="External"/><Relationship Id="rId72" Type="http://schemas.openxmlformats.org/officeDocument/2006/relationships/hyperlink" Target="https://www.sec.gov/Archives/edgar/data/81362/000110465922128616/tm2233147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2026-10-29T16:54:30Z</dcterms:created>
  <dcterms:modified xsi:type="dcterms:W3CDTF">2026-10-29T16:54:30Z</dcterms:modified>
</cp:coreProperties>
</file>