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2025</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79" w:lineRule="exact"/>
        <w:rPr>
          <w:sz w:val="24"/>
          <w:szCs w:val="24"/>
          <w:color w:val="auto"/>
        </w:rPr>
      </w:pPr>
    </w:p>
    <w:p>
      <w:pPr>
        <w:ind w:left="360" w:hanging="334"/>
        <w:spacing w:after="0"/>
        <w:tabs>
          <w:tab w:leader="none" w:pos="36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3" w:lineRule="exact"/>
        <w:rPr>
          <w:sz w:val="24"/>
          <w:szCs w:val="24"/>
          <w:color w:val="auto"/>
        </w:rPr>
      </w:pPr>
    </w:p>
    <w:p>
      <w:pPr>
        <w:ind w:left="4140"/>
        <w:spacing w:after="0"/>
        <w:tabs>
          <w:tab w:leader="none" w:pos="650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3837940</wp:posOffset>
            </wp:positionH>
            <wp:positionV relativeFrom="paragraph">
              <wp:posOffset>0</wp:posOffset>
            </wp:positionV>
            <wp:extent cx="6699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9925" cy="8255"/>
                    </a:xfrm>
                    <a:prstGeom prst="rect">
                      <a:avLst/>
                    </a:prstGeom>
                    <a:noFill/>
                  </pic:spPr>
                </pic:pic>
              </a:graphicData>
            </a:graphic>
          </wp:anchor>
        </w:drawing>
      </w:r>
    </w:p>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001-12019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QUAKER CHEMICAL CORPORATION</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tbl>
      <w:tblPr>
        <w:tblLayout w:type="fixed"/>
        <w:tblInd w:w="1420" w:type="dxa"/>
        <w:tblCellMar>
          <w:top w:w="0" w:type="dxa"/>
          <w:left w:w="0" w:type="dxa"/>
          <w:bottom w:w="0" w:type="dxa"/>
          <w:right w:w="0" w:type="dxa"/>
        </w:tblCellMar>
      </w:tblPr>
      <w:tr>
        <w:trPr>
          <w:trHeight w:val="190"/>
        </w:trPr>
        <w:tc>
          <w:tcPr>
            <w:tcW w:w="4540" w:type="dxa"/>
            <w:vAlign w:val="bottom"/>
          </w:tcPr>
          <w:p>
            <w:pPr>
              <w:jc w:val="center"/>
              <w:ind w:right="1212"/>
              <w:spacing w:after="0"/>
              <w:rPr>
                <w:sz w:val="20"/>
                <w:szCs w:val="20"/>
                <w:color w:val="auto"/>
              </w:rPr>
            </w:pPr>
            <w:r>
              <w:rPr>
                <w:rFonts w:ascii="Times New Roman" w:cs="Times New Roman" w:eastAsia="Times New Roman" w:hAnsi="Times New Roman"/>
                <w:sz w:val="14"/>
                <w:szCs w:val="14"/>
                <w:b w:val="1"/>
                <w:bCs w:val="1"/>
                <w:color w:val="auto"/>
              </w:rPr>
              <w:t>Pennsylvania</w:t>
            </w:r>
          </w:p>
        </w:tc>
        <w:tc>
          <w:tcPr>
            <w:tcW w:w="3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23-0993790</w:t>
            </w:r>
          </w:p>
        </w:tc>
        <w:tc>
          <w:tcPr>
            <w:tcW w:w="0" w:type="dxa"/>
            <w:vAlign w:val="bottom"/>
          </w:tcPr>
          <w:p>
            <w:pPr>
              <w:spacing w:after="0"/>
              <w:rPr>
                <w:sz w:val="1"/>
                <w:szCs w:val="1"/>
                <w:color w:val="auto"/>
              </w:rPr>
            </w:pPr>
          </w:p>
        </w:tc>
      </w:tr>
      <w:tr>
        <w:trPr>
          <w:trHeight w:val="210"/>
        </w:trPr>
        <w:tc>
          <w:tcPr>
            <w:tcW w:w="4540" w:type="dxa"/>
            <w:vAlign w:val="bottom"/>
          </w:tcPr>
          <w:p>
            <w:pPr>
              <w:jc w:val="center"/>
              <w:ind w:right="1212"/>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 incorporation or organization)</w:t>
            </w:r>
          </w:p>
        </w:tc>
        <w:tc>
          <w:tcPr>
            <w:tcW w:w="3200" w:type="dxa"/>
            <w:vAlign w:val="bottom"/>
          </w:tcPr>
          <w:p>
            <w:pPr>
              <w:jc w:val="center"/>
              <w:ind w:left="1213"/>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560"/>
        </w:trPr>
        <w:tc>
          <w:tcPr>
            <w:tcW w:w="4540" w:type="dxa"/>
            <w:vAlign w:val="bottom"/>
          </w:tcPr>
          <w:p>
            <w:pPr>
              <w:jc w:val="center"/>
              <w:ind w:right="1192"/>
              <w:spacing w:after="0"/>
              <w:rPr>
                <w:sz w:val="20"/>
                <w:szCs w:val="20"/>
                <w:color w:val="auto"/>
              </w:rPr>
            </w:pPr>
            <w:r>
              <w:rPr>
                <w:rFonts w:ascii="Times New Roman" w:cs="Times New Roman" w:eastAsia="Times New Roman" w:hAnsi="Times New Roman"/>
                <w:sz w:val="14"/>
                <w:szCs w:val="14"/>
                <w:b w:val="1"/>
                <w:bCs w:val="1"/>
                <w:color w:val="auto"/>
              </w:rPr>
              <w:t>901 E. Hector Street,</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40" w:type="dxa"/>
            <w:vAlign w:val="bottom"/>
          </w:tcPr>
          <w:p>
            <w:pPr>
              <w:jc w:val="center"/>
              <w:ind w:right="1212"/>
              <w:spacing w:after="0"/>
              <w:rPr>
                <w:sz w:val="20"/>
                <w:szCs w:val="20"/>
                <w:color w:val="auto"/>
              </w:rPr>
            </w:pPr>
            <w:r>
              <w:rPr>
                <w:rFonts w:ascii="Times New Roman" w:cs="Times New Roman" w:eastAsia="Times New Roman" w:hAnsi="Times New Roman"/>
                <w:sz w:val="14"/>
                <w:szCs w:val="14"/>
                <w:b w:val="1"/>
                <w:bCs w:val="1"/>
                <w:color w:val="auto"/>
              </w:rPr>
              <w:t>Conshohocken, Pennsylvania</w:t>
            </w:r>
          </w:p>
        </w:tc>
        <w:tc>
          <w:tcPr>
            <w:tcW w:w="3200" w:type="dxa"/>
            <w:vAlign w:val="bottom"/>
            <w:vMerge w:val="restart"/>
          </w:tcPr>
          <w:p>
            <w:pPr>
              <w:jc w:val="center"/>
              <w:ind w:left="1213"/>
              <w:spacing w:after="0"/>
              <w:rPr>
                <w:sz w:val="20"/>
                <w:szCs w:val="20"/>
                <w:color w:val="auto"/>
              </w:rPr>
            </w:pPr>
            <w:r>
              <w:rPr>
                <w:rFonts w:ascii="Times New Roman" w:cs="Times New Roman" w:eastAsia="Times New Roman" w:hAnsi="Times New Roman"/>
                <w:sz w:val="14"/>
                <w:szCs w:val="14"/>
                <w:b w:val="1"/>
                <w:bCs w:val="1"/>
                <w:color w:val="auto"/>
              </w:rPr>
              <w:t>19428 – 2380</w:t>
            </w:r>
          </w:p>
        </w:tc>
        <w:tc>
          <w:tcPr>
            <w:tcW w:w="0" w:type="dxa"/>
            <w:vAlign w:val="bottom"/>
          </w:tcPr>
          <w:p>
            <w:pPr>
              <w:spacing w:after="0"/>
              <w:rPr>
                <w:sz w:val="1"/>
                <w:szCs w:val="1"/>
                <w:color w:val="auto"/>
              </w:rPr>
            </w:pPr>
          </w:p>
        </w:tc>
      </w:tr>
      <w:tr>
        <w:trPr>
          <w:trHeight w:val="81"/>
        </w:trPr>
        <w:tc>
          <w:tcPr>
            <w:tcW w:w="454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540" w:type="dxa"/>
            <w:vAlign w:val="bottom"/>
          </w:tcPr>
          <w:p>
            <w:pPr>
              <w:jc w:val="center"/>
              <w:ind w:right="1192"/>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200" w:type="dxa"/>
            <w:vAlign w:val="bottom"/>
          </w:tcPr>
          <w:p>
            <w:pPr>
              <w:jc w:val="center"/>
              <w:ind w:left="1193"/>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610-832-4000</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8"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40" w:type="dxa"/>
            <w:vAlign w:val="bottom"/>
          </w:tcPr>
          <w:p>
            <w:pPr>
              <w:spacing w:after="0"/>
              <w:rPr>
                <w:sz w:val="16"/>
                <w:szCs w:val="16"/>
                <w:color w:val="auto"/>
              </w:rPr>
            </w:pPr>
          </w:p>
        </w:tc>
      </w:tr>
      <w:tr>
        <w:trPr>
          <w:trHeight w:val="338"/>
        </w:trPr>
        <w:tc>
          <w:tcPr>
            <w:tcW w:w="100" w:type="dxa"/>
            <w:vAlign w:val="bottom"/>
          </w:tcPr>
          <w:p>
            <w:pPr>
              <w:spacing w:after="0"/>
              <w:rPr>
                <w:sz w:val="24"/>
                <w:szCs w:val="24"/>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Trading 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37"/>
        </w:trPr>
        <w:tc>
          <w:tcPr>
            <w:tcW w:w="10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540" w:type="dxa"/>
            <w:vAlign w:val="bottom"/>
            <w:tcBorders>
              <w:bottom w:val="single" w:sz="8" w:color="auto"/>
            </w:tcBorders>
          </w:tcPr>
          <w:p>
            <w:pPr>
              <w:spacing w:after="0"/>
              <w:rPr>
                <w:sz w:val="3"/>
                <w:szCs w:val="3"/>
                <w:color w:val="auto"/>
              </w:rPr>
            </w:pPr>
          </w:p>
        </w:tc>
      </w:tr>
      <w:tr>
        <w:trPr>
          <w:trHeight w:val="186"/>
        </w:trPr>
        <w:tc>
          <w:tcPr>
            <w:tcW w:w="100" w:type="dxa"/>
            <w:vAlign w:val="bottom"/>
          </w:tcPr>
          <w:p>
            <w:pPr>
              <w:spacing w:after="0"/>
              <w:rPr>
                <w:sz w:val="16"/>
                <w:szCs w:val="16"/>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Common Stock, $1 par value</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KWR</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03" w:lineRule="exact"/>
        <w:rPr>
          <w:sz w:val="24"/>
          <w:szCs w:val="24"/>
          <w:color w:val="auto"/>
        </w:rPr>
      </w:pPr>
    </w:p>
    <w:p>
      <w:pPr>
        <w:ind w:right="2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highlight w:val="black"/>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o</w:t>
      </w:r>
    </w:p>
    <w:p>
      <w:pPr>
        <w:spacing w:after="0" w:line="41" w:lineRule="exact"/>
        <w:rPr>
          <w:sz w:val="24"/>
          <w:szCs w:val="24"/>
          <w:color w:val="auto"/>
        </w:rPr>
      </w:pPr>
    </w:p>
    <w:p>
      <w:pPr>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highlight w:val="black"/>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o</w:t>
      </w:r>
    </w:p>
    <w:p>
      <w:pPr>
        <w:spacing w:after="0" w:line="4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1" w:lineRule="exact"/>
        <w:rPr>
          <w:sz w:val="24"/>
          <w:szCs w:val="24"/>
          <w:color w:val="auto"/>
        </w:rPr>
      </w:pPr>
    </w:p>
    <w:tbl>
      <w:tblPr>
        <w:tblLayout w:type="fixed"/>
        <w:tblInd w:w="2040" w:type="dxa"/>
        <w:tblCellMar>
          <w:top w:w="0" w:type="dxa"/>
          <w:left w:w="0" w:type="dxa"/>
          <w:bottom w:w="0" w:type="dxa"/>
          <w:right w:w="0" w:type="dxa"/>
        </w:tblCellMar>
      </w:tblPr>
      <w:tr>
        <w:trPr>
          <w:trHeight w:val="188"/>
        </w:trPr>
        <w:tc>
          <w:tcPr>
            <w:tcW w:w="160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Large accelerated filer</w:t>
            </w:r>
          </w:p>
        </w:tc>
        <w:tc>
          <w:tcPr>
            <w:tcW w:w="2080" w:type="dxa"/>
            <w:vAlign w:val="bottom"/>
          </w:tcPr>
          <w:p>
            <w:pPr>
              <w:ind w:left="320"/>
              <w:spacing w:after="0"/>
              <w:rPr>
                <w:sz w:val="20"/>
                <w:szCs w:val="20"/>
                <w:color w:val="auto"/>
              </w:rPr>
            </w:pPr>
            <w:r>
              <w:rPr>
                <w:rFonts w:ascii="Wingdings" w:cs="Wingdings" w:eastAsia="Wingdings" w:hAnsi="Wingdings"/>
                <w:sz w:val="14"/>
                <w:szCs w:val="14"/>
                <w:b w:val="1"/>
                <w:bCs w:val="1"/>
                <w:color w:val="auto"/>
              </w:rPr>
              <w:t>x</w:t>
            </w:r>
          </w:p>
        </w:tc>
        <w:tc>
          <w:tcPr>
            <w:tcW w:w="3400" w:type="dxa"/>
            <w:vAlign w:val="bottom"/>
          </w:tcPr>
          <w:p>
            <w:pPr>
              <w:jc w:val="center"/>
              <w:ind w:left="1288"/>
              <w:spacing w:after="0"/>
              <w:rPr>
                <w:sz w:val="20"/>
                <w:szCs w:val="20"/>
                <w:color w:val="auto"/>
              </w:rPr>
            </w:pPr>
            <w:r>
              <w:rPr>
                <w:rFonts w:ascii="Times New Roman" w:cs="Times New Roman" w:eastAsia="Times New Roman" w:hAnsi="Times New Roman"/>
                <w:sz w:val="14"/>
                <w:szCs w:val="14"/>
                <w:color w:val="auto"/>
              </w:rPr>
              <w:t>Accelerated filer</w:t>
            </w:r>
          </w:p>
        </w:tc>
        <w:tc>
          <w:tcPr>
            <w:tcW w:w="380" w:type="dxa"/>
            <w:vAlign w:val="bottom"/>
          </w:tcPr>
          <w:p>
            <w:pPr>
              <w:ind w:left="240"/>
              <w:spacing w:after="0"/>
              <w:rPr>
                <w:sz w:val="20"/>
                <w:szCs w:val="20"/>
                <w:color w:val="auto"/>
              </w:rPr>
            </w:pPr>
            <w:r>
              <w:rPr>
                <w:rFonts w:ascii="Wingdings" w:cs="Wingdings" w:eastAsia="Wingdings" w:hAnsi="Wingdings"/>
                <w:sz w:val="14"/>
                <w:szCs w:val="14"/>
                <w:b w:val="1"/>
                <w:bCs w:val="1"/>
                <w:color w:val="auto"/>
                <w:w w:val="95"/>
              </w:rPr>
              <w:t>o</w:t>
            </w:r>
          </w:p>
        </w:tc>
      </w:tr>
      <w:tr>
        <w:trPr>
          <w:trHeight w:val="229"/>
        </w:trPr>
        <w:tc>
          <w:tcPr>
            <w:tcW w:w="160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Non-accelerated filer</w:t>
            </w:r>
          </w:p>
        </w:tc>
        <w:tc>
          <w:tcPr>
            <w:tcW w:w="2080" w:type="dxa"/>
            <w:vAlign w:val="bottom"/>
          </w:tcPr>
          <w:p>
            <w:pPr>
              <w:ind w:left="320"/>
              <w:spacing w:after="0"/>
              <w:rPr>
                <w:sz w:val="20"/>
                <w:szCs w:val="20"/>
                <w:color w:val="auto"/>
              </w:rPr>
            </w:pPr>
            <w:r>
              <w:rPr>
                <w:rFonts w:ascii="Wingdings" w:cs="Wingdings" w:eastAsia="Wingdings" w:hAnsi="Wingdings"/>
                <w:sz w:val="14"/>
                <w:szCs w:val="14"/>
                <w:b w:val="1"/>
                <w:bCs w:val="1"/>
                <w:color w:val="auto"/>
              </w:rPr>
              <w:t>o</w:t>
            </w:r>
          </w:p>
        </w:tc>
        <w:tc>
          <w:tcPr>
            <w:tcW w:w="3400" w:type="dxa"/>
            <w:vAlign w:val="bottom"/>
          </w:tcPr>
          <w:p>
            <w:pPr>
              <w:jc w:val="center"/>
              <w:ind w:left="1288"/>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80" w:type="dxa"/>
            <w:vAlign w:val="bottom"/>
          </w:tcPr>
          <w:p>
            <w:pPr>
              <w:ind w:left="240"/>
              <w:spacing w:after="0"/>
              <w:rPr>
                <w:sz w:val="20"/>
                <w:szCs w:val="20"/>
                <w:color w:val="auto"/>
              </w:rPr>
            </w:pPr>
            <w:r>
              <w:rPr>
                <w:rFonts w:ascii="Wingdings" w:cs="Wingdings" w:eastAsia="Wingdings" w:hAnsi="Wingdings"/>
                <w:sz w:val="14"/>
                <w:szCs w:val="14"/>
                <w:b w:val="1"/>
                <w:bCs w:val="1"/>
                <w:color w:val="auto"/>
                <w:w w:val="95"/>
              </w:rPr>
              <w:t>o</w:t>
            </w:r>
          </w:p>
        </w:tc>
      </w:tr>
      <w:tr>
        <w:trPr>
          <w:trHeight w:val="230"/>
        </w:trPr>
        <w:tc>
          <w:tcPr>
            <w:tcW w:w="16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400" w:type="dxa"/>
            <w:vAlign w:val="bottom"/>
          </w:tcPr>
          <w:p>
            <w:pPr>
              <w:jc w:val="center"/>
              <w:ind w:left="1288"/>
              <w:spacing w:after="0"/>
              <w:rPr>
                <w:sz w:val="20"/>
                <w:szCs w:val="20"/>
                <w:color w:val="auto"/>
              </w:rPr>
            </w:pPr>
            <w:r>
              <w:rPr>
                <w:rFonts w:ascii="Times New Roman" w:cs="Times New Roman" w:eastAsia="Times New Roman" w:hAnsi="Times New Roman"/>
                <w:sz w:val="14"/>
                <w:szCs w:val="14"/>
                <w:color w:val="auto"/>
              </w:rPr>
              <w:t>Emerging growth company</w:t>
            </w:r>
          </w:p>
        </w:tc>
        <w:tc>
          <w:tcPr>
            <w:tcW w:w="380" w:type="dxa"/>
            <w:vAlign w:val="bottom"/>
          </w:tcPr>
          <w:p>
            <w:pPr>
              <w:ind w:left="240"/>
              <w:spacing w:after="0"/>
              <w:rPr>
                <w:sz w:val="20"/>
                <w:szCs w:val="20"/>
                <w:color w:val="auto"/>
              </w:rPr>
            </w:pPr>
            <w:r>
              <w:rPr>
                <w:rFonts w:ascii="Wingdings" w:cs="Wingdings" w:eastAsia="Wingdings" w:hAnsi="Wingdings"/>
                <w:sz w:val="14"/>
                <w:szCs w:val="14"/>
                <w:b w:val="1"/>
                <w:bCs w:val="1"/>
                <w:color w:val="auto"/>
                <w:w w:val="95"/>
              </w:rPr>
              <w:t>o</w:t>
            </w:r>
          </w:p>
        </w:tc>
      </w:tr>
    </w:tbl>
    <w:p>
      <w:pPr>
        <w:spacing w:after="0" w:line="217" w:lineRule="exact"/>
        <w:rPr>
          <w:sz w:val="24"/>
          <w:szCs w:val="24"/>
          <w:color w:val="auto"/>
        </w:rPr>
      </w:pPr>
    </w:p>
    <w:p>
      <w:pPr>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highlight w:val="black"/>
        </w:rPr>
        <w:t>o</w:t>
      </w:r>
    </w:p>
    <w:p>
      <w:pPr>
        <w:spacing w:after="0" w:line="41" w:lineRule="exact"/>
        <w:rPr>
          <w:sz w:val="24"/>
          <w:szCs w:val="24"/>
          <w:color w:val="auto"/>
        </w:rPr>
      </w:pPr>
    </w:p>
    <w:p>
      <w:pPr>
        <w:ind w:right="3640"/>
        <w:spacing w:after="0" w:line="46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highlight w:val="black"/>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x</w:t>
      </w:r>
      <w:r>
        <w:rPr>
          <w:rFonts w:ascii="Times New Roman" w:cs="Times New Roman" w:eastAsia="Times New Roman" w:hAnsi="Times New Roman"/>
          <w:sz w:val="14"/>
          <w:szCs w:val="14"/>
          <w:color w:val="auto"/>
        </w:rPr>
        <w:t xml:space="preserve"> Indicate the number of shares outstanding of each of the issuer’s classes of common stock, as of the latest practicable date.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Number of Shares of Common Stock Outstanding on July 28, 2025</w:t>
            </w:r>
          </w:p>
        </w:tc>
        <w:tc>
          <w:tcPr>
            <w:tcW w:w="4760" w:type="dxa"/>
            <w:vAlign w:val="bottom"/>
          </w:tcPr>
          <w:p>
            <w:pPr>
              <w:jc w:val="right"/>
              <w:ind w:right="2648"/>
              <w:spacing w:after="0"/>
              <w:rPr>
                <w:sz w:val="20"/>
                <w:szCs w:val="20"/>
                <w:color w:val="auto"/>
              </w:rPr>
            </w:pPr>
            <w:r>
              <w:rPr>
                <w:rFonts w:ascii="Times New Roman" w:cs="Times New Roman" w:eastAsia="Times New Roman" w:hAnsi="Times New Roman"/>
                <w:sz w:val="14"/>
                <w:szCs w:val="14"/>
                <w:b w:val="1"/>
                <w:bCs w:val="1"/>
                <w:color w:val="auto"/>
              </w:rPr>
              <w:t>17,394,619</w:t>
            </w:r>
          </w:p>
        </w:tc>
      </w:tr>
      <w:tr>
        <w:trPr>
          <w:trHeight w:val="1110"/>
        </w:trPr>
        <w:tc>
          <w:tcPr>
            <w:tcW w:w="648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973"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Page</w:t>
            </w:r>
          </w:p>
        </w:tc>
        <w:tc>
          <w:tcPr>
            <w:tcW w:w="0" w:type="dxa"/>
            <w:vAlign w:val="bottom"/>
          </w:tcPr>
          <w:p>
            <w:pPr>
              <w:spacing w:after="0"/>
              <w:rPr>
                <w:sz w:val="1"/>
                <w:szCs w:val="1"/>
                <w:color w:val="auto"/>
              </w:rPr>
            </w:pPr>
          </w:p>
        </w:tc>
      </w:tr>
      <w:tr>
        <w:trPr>
          <w:trHeight w:val="203"/>
        </w:trPr>
        <w:tc>
          <w:tcPr>
            <w:tcW w:w="108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958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240" w:type="dxa"/>
            <w:vAlign w:val="bottom"/>
            <w:tcBorders>
              <w:top w:val="single" w:sz="8" w:color="auto"/>
            </w:tcBorders>
            <w:gridSpan w:val="2"/>
          </w:tcPr>
          <w:p>
            <w:pPr>
              <w:jc w:val="center"/>
              <w:ind w:left="69"/>
              <w:spacing w:after="0" w:line="202" w:lineRule="exact"/>
              <w:rPr>
                <w:sz w:val="20"/>
                <w:szCs w:val="20"/>
                <w:color w:val="auto"/>
              </w:rPr>
            </w:pPr>
            <w:r>
              <w:rPr>
                <w:rFonts w:ascii="Times New Roman" w:cs="Times New Roman" w:eastAsia="Times New Roman" w:hAnsi="Times New Roman"/>
                <w:sz w:val="18"/>
                <w:szCs w:val="18"/>
                <w:color w:val="0000FF"/>
                <w:w w:val="88"/>
              </w:rPr>
              <w:t>2</w:t>
            </w:r>
          </w:p>
        </w:tc>
        <w:tc>
          <w:tcPr>
            <w:tcW w:w="3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1.</w:t>
            </w: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9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240" w:type="dxa"/>
            <w:vAlign w:val="bottom"/>
            <w:gridSpan w:val="2"/>
          </w:tcPr>
          <w:p>
            <w:pPr>
              <w:jc w:val="center"/>
              <w:ind w:left="69"/>
              <w:spacing w:after="0"/>
              <w:rPr>
                <w:sz w:val="20"/>
                <w:szCs w:val="20"/>
                <w:color w:val="auto"/>
              </w:rPr>
            </w:pPr>
            <w:r>
              <w:rPr>
                <w:rFonts w:ascii="Times New Roman" w:cs="Times New Roman" w:eastAsia="Times New Roman" w:hAnsi="Times New Roman"/>
                <w:sz w:val="18"/>
                <w:szCs w:val="18"/>
                <w:color w:val="0000FF"/>
                <w:w w:val="88"/>
              </w:rPr>
              <w:t>2</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Six Months Ended June 30, 2025 and June 30, 2024</w:t>
            </w:r>
          </w:p>
        </w:tc>
        <w:tc>
          <w:tcPr>
            <w:tcW w:w="240" w:type="dxa"/>
            <w:vAlign w:val="bottom"/>
            <w:gridSpan w:val="2"/>
          </w:tcPr>
          <w:p>
            <w:pPr>
              <w:jc w:val="center"/>
              <w:ind w:left="69"/>
              <w:spacing w:after="0"/>
              <w:rPr>
                <w:sz w:val="20"/>
                <w:szCs w:val="20"/>
                <w:color w:val="auto"/>
              </w:rPr>
            </w:pPr>
            <w:r>
              <w:rPr>
                <w:rFonts w:ascii="Times New Roman" w:cs="Times New Roman" w:eastAsia="Times New Roman" w:hAnsi="Times New Roman"/>
                <w:sz w:val="18"/>
                <w:szCs w:val="18"/>
                <w:color w:val="0000FF"/>
                <w:w w:val="88"/>
              </w:rPr>
              <w:t>2</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Six Months Ended June 30, 2025 and June 30,</w:t>
            </w:r>
          </w:p>
        </w:tc>
        <w:tc>
          <w:tcPr>
            <w:tcW w:w="240" w:type="dxa"/>
            <w:vAlign w:val="bottom"/>
            <w:gridSpan w:val="2"/>
          </w:tcPr>
          <w:p>
            <w:pPr>
              <w:jc w:val="center"/>
              <w:ind w:left="69"/>
              <w:spacing w:after="0"/>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60" w:type="dxa"/>
            <w:vAlign w:val="bottom"/>
            <w:tcBorders>
              <w:top w:val="single" w:sz="8" w:color="0000FF"/>
              <w:bottom w:val="single" w:sz="8" w:color="0000FF"/>
            </w:tcBorders>
          </w:tcPr>
          <w:p>
            <w:pPr>
              <w:jc w:val="right"/>
              <w:spacing w:after="0" w:line="196" w:lineRule="exact"/>
              <w:rPr>
                <w:sz w:val="20"/>
                <w:szCs w:val="20"/>
                <w:color w:val="auto"/>
              </w:rPr>
            </w:pPr>
            <w:r>
              <w:rPr>
                <w:rFonts w:ascii="Times New Roman" w:cs="Times New Roman" w:eastAsia="Times New Roman" w:hAnsi="Times New Roman"/>
                <w:sz w:val="18"/>
                <w:szCs w:val="18"/>
                <w:color w:val="0000FF"/>
                <w:w w:val="94"/>
              </w:rPr>
              <w:t>2024</w:t>
            </w:r>
          </w:p>
        </w:tc>
        <w:tc>
          <w:tcPr>
            <w:tcW w:w="1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5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7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52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June 30, 2025 and December 31, 2024</w:t>
            </w:r>
          </w:p>
        </w:tc>
        <w:tc>
          <w:tcPr>
            <w:tcW w:w="240" w:type="dxa"/>
            <w:vAlign w:val="bottom"/>
            <w:gridSpan w:val="2"/>
          </w:tcPr>
          <w:p>
            <w:pPr>
              <w:jc w:val="center"/>
              <w:ind w:left="69"/>
              <w:spacing w:after="0"/>
              <w:rPr>
                <w:sz w:val="20"/>
                <w:szCs w:val="20"/>
                <w:color w:val="auto"/>
              </w:rPr>
            </w:pPr>
            <w:r>
              <w:rPr>
                <w:rFonts w:ascii="Times New Roman" w:cs="Times New Roman" w:eastAsia="Times New Roman" w:hAnsi="Times New Roman"/>
                <w:sz w:val="18"/>
                <w:szCs w:val="18"/>
                <w:color w:val="0000FF"/>
                <w:w w:val="88"/>
              </w:rPr>
              <w:t>4</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2025 and June 30, 2024</w:t>
            </w:r>
          </w:p>
        </w:tc>
        <w:tc>
          <w:tcPr>
            <w:tcW w:w="240" w:type="dxa"/>
            <w:vAlign w:val="bottom"/>
            <w:gridSpan w:val="2"/>
          </w:tcPr>
          <w:p>
            <w:pPr>
              <w:jc w:val="center"/>
              <w:ind w:left="69"/>
              <w:spacing w:after="0"/>
              <w:rPr>
                <w:sz w:val="20"/>
                <w:szCs w:val="20"/>
                <w:color w:val="auto"/>
              </w:rPr>
            </w:pPr>
            <w:r>
              <w:rPr>
                <w:rFonts w:ascii="Times New Roman" w:cs="Times New Roman" w:eastAsia="Times New Roman" w:hAnsi="Times New Roman"/>
                <w:sz w:val="18"/>
                <w:szCs w:val="18"/>
                <w:color w:val="0000FF"/>
                <w:w w:val="88"/>
              </w:rPr>
              <w:t>5</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Equity for the Three and Six Months Ended June 30, 2025 and June 30, 2024</w:t>
            </w:r>
          </w:p>
        </w:tc>
        <w:tc>
          <w:tcPr>
            <w:tcW w:w="240" w:type="dxa"/>
            <w:vAlign w:val="bottom"/>
            <w:gridSpan w:val="2"/>
          </w:tcPr>
          <w:p>
            <w:pPr>
              <w:jc w:val="center"/>
              <w:ind w:left="69"/>
              <w:spacing w:after="0"/>
              <w:rPr>
                <w:sz w:val="20"/>
                <w:szCs w:val="20"/>
                <w:color w:val="auto"/>
              </w:rPr>
            </w:pPr>
            <w:r>
              <w:rPr>
                <w:rFonts w:ascii="Times New Roman" w:cs="Times New Roman" w:eastAsia="Times New Roman" w:hAnsi="Times New Roman"/>
                <w:sz w:val="18"/>
                <w:szCs w:val="18"/>
                <w:color w:val="0000FF"/>
                <w:w w:val="88"/>
              </w:rPr>
              <w:t>6</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280" w:type="dxa"/>
            <w:vAlign w:val="bottom"/>
            <w:gridSpan w:val="6"/>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gridSpan w:val="2"/>
          </w:tcPr>
          <w:p>
            <w:pPr>
              <w:jc w:val="center"/>
              <w:ind w:left="69"/>
              <w:spacing w:after="0"/>
              <w:rPr>
                <w:sz w:val="20"/>
                <w:szCs w:val="20"/>
                <w:color w:val="auto"/>
              </w:rPr>
            </w:pPr>
            <w:r>
              <w:rPr>
                <w:rFonts w:ascii="Times New Roman" w:cs="Times New Roman" w:eastAsia="Times New Roman" w:hAnsi="Times New Roman"/>
                <w:sz w:val="18"/>
                <w:szCs w:val="18"/>
                <w:color w:val="0000FF"/>
                <w:w w:val="88"/>
              </w:rPr>
              <w:t>7</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2.</w:t>
            </w:r>
          </w:p>
        </w:tc>
        <w:tc>
          <w:tcPr>
            <w:tcW w:w="10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9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26</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3.</w:t>
            </w: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4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gridSpan w:val="2"/>
          </w:tcPr>
          <w:p>
            <w:pPr>
              <w:spacing w:after="0"/>
              <w:rPr>
                <w:sz w:val="21"/>
                <w:szCs w:val="21"/>
                <w:color w:val="auto"/>
              </w:rPr>
            </w:pPr>
          </w:p>
        </w:tc>
        <w:tc>
          <w:tcPr>
            <w:tcW w:w="2980" w:type="dxa"/>
            <w:vAlign w:val="bottom"/>
            <w:gridSpan w:val="4"/>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41</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4.</w:t>
            </w: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4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120" w:type="dxa"/>
            <w:vAlign w:val="bottom"/>
            <w:gridSpan w:val="6"/>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41</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5120" w:type="dxa"/>
            <w:vAlign w:val="bottom"/>
            <w:gridSpan w:val="6"/>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958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1.</w:t>
            </w:r>
          </w:p>
        </w:tc>
        <w:tc>
          <w:tcPr>
            <w:tcW w:w="100" w:type="dxa"/>
            <w:vAlign w:val="bottom"/>
            <w:tcBorders>
              <w:top w:val="single" w:sz="8" w:color="0000FF"/>
            </w:tcBorders>
          </w:tcPr>
          <w:p>
            <w:pPr>
              <w:spacing w:after="0"/>
              <w:rPr>
                <w:sz w:val="21"/>
                <w:szCs w:val="21"/>
                <w:color w:val="auto"/>
              </w:rPr>
            </w:pPr>
          </w:p>
        </w:tc>
        <w:tc>
          <w:tcPr>
            <w:tcW w:w="19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520" w:type="dxa"/>
            <w:vAlign w:val="bottom"/>
            <w:gridSpan w:val="10"/>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42</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0000FF"/>
              </w:rPr>
              <w:t>Item 1A.</w:t>
            </w: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Risk Factors.</w:t>
            </w:r>
          </w:p>
        </w:tc>
        <w:tc>
          <w:tcPr>
            <w:tcW w:w="400" w:type="dxa"/>
            <w:vAlign w:val="bottom"/>
          </w:tcPr>
          <w:p>
            <w:pPr>
              <w:spacing w:after="0"/>
              <w:rPr>
                <w:sz w:val="21"/>
                <w:szCs w:val="21"/>
                <w:color w:val="auto"/>
              </w:rPr>
            </w:pPr>
          </w:p>
        </w:tc>
        <w:tc>
          <w:tcPr>
            <w:tcW w:w="8120" w:type="dxa"/>
            <w:vAlign w:val="bottom"/>
            <w:gridSpan w:val="12"/>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42</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2.</w:t>
            </w:r>
          </w:p>
        </w:tc>
        <w:tc>
          <w:tcPr>
            <w:tcW w:w="10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0" w:type="dxa"/>
            <w:vAlign w:val="bottom"/>
            <w:gridSpan w:val="6"/>
          </w:tcPr>
          <w:p>
            <w:pPr>
              <w:spacing w:after="0" w:line="20" w:lineRule="exact"/>
              <w:rPr>
                <w:sz w:val="1"/>
                <w:szCs w:val="1"/>
                <w:color w:val="auto"/>
              </w:rPr>
            </w:pPr>
          </w:p>
        </w:tc>
        <w:tc>
          <w:tcPr>
            <w:tcW w:w="5120" w:type="dxa"/>
            <w:vAlign w:val="bottom"/>
            <w:gridSpan w:val="6"/>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4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Unregistered Sales of Equity Securities and Use of Proceeds.</w:t>
            </w:r>
          </w:p>
        </w:tc>
        <w:tc>
          <w:tcPr>
            <w:tcW w:w="5120" w:type="dxa"/>
            <w:vAlign w:val="bottom"/>
            <w:gridSpan w:val="6"/>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42</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5.</w:t>
            </w: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8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4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120" w:type="dxa"/>
            <w:vAlign w:val="bottom"/>
            <w:gridSpan w:val="6"/>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42</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6.</w:t>
            </w:r>
          </w:p>
        </w:tc>
        <w:tc>
          <w:tcPr>
            <w:tcW w:w="10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120" w:type="dxa"/>
            <w:vAlign w:val="bottom"/>
            <w:gridSpan w:val="12"/>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Exhibits.</w:t>
            </w:r>
          </w:p>
        </w:tc>
        <w:tc>
          <w:tcPr>
            <w:tcW w:w="700" w:type="dxa"/>
            <w:vAlign w:val="bottom"/>
            <w:gridSpan w:val="2"/>
          </w:tcPr>
          <w:p>
            <w:pPr>
              <w:spacing w:after="0"/>
              <w:rPr>
                <w:sz w:val="21"/>
                <w:szCs w:val="21"/>
                <w:color w:val="auto"/>
              </w:rPr>
            </w:pPr>
          </w:p>
        </w:tc>
        <w:tc>
          <w:tcPr>
            <w:tcW w:w="8120" w:type="dxa"/>
            <w:vAlign w:val="bottom"/>
            <w:gridSpan w:val="12"/>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43</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0000FF"/>
              </w:rPr>
              <w:t>Signatures</w:t>
            </w:r>
            <w:r>
              <w:rPr>
                <w:rFonts w:ascii="Times New Roman" w:cs="Times New Roman" w:eastAsia="Times New Roman" w:hAnsi="Times New Roman"/>
                <w:sz w:val="18"/>
                <w:szCs w:val="18"/>
                <w:b w:val="1"/>
                <w:bCs w:val="1"/>
                <w:i w:val="1"/>
                <w:iCs w:val="1"/>
                <w:color w:val="0000FF"/>
              </w:rPr>
              <w:t>.</w:t>
            </w: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gridSpan w:val="3"/>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44</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2"/>
        </w:trPr>
        <w:tc>
          <w:tcPr>
            <w:tcW w:w="40" w:type="dxa"/>
            <w:vAlign w:val="bottom"/>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6240" w:type="dxa"/>
            <w:vAlign w:val="bottom"/>
            <w:gridSpan w:val="13"/>
          </w:tcPr>
          <w:p>
            <w:pPr>
              <w:jc w:val="right"/>
              <w:ind w:right="166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9A9A9A"/>
            </w:tcBorders>
          </w:tcPr>
          <w:p>
            <w:pPr>
              <w:spacing w:after="0"/>
              <w:rPr>
                <w:sz w:val="19"/>
                <w:szCs w:val="19"/>
                <w:color w:val="auto"/>
              </w:rPr>
            </w:pPr>
          </w:p>
        </w:tc>
        <w:tc>
          <w:tcPr>
            <w:tcW w:w="86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46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5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17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1520" w:type="dxa"/>
            <w:vAlign w:val="bottom"/>
            <w:tcBorders>
              <w:bottom w:val="single" w:sz="8" w:color="9A9A9A"/>
            </w:tcBorders>
          </w:tcPr>
          <w:p>
            <w:pPr>
              <w:spacing w:after="0"/>
              <w:rPr>
                <w:sz w:val="19"/>
                <w:szCs w:val="19"/>
                <w:color w:val="auto"/>
              </w:rPr>
            </w:pPr>
          </w:p>
        </w:tc>
        <w:tc>
          <w:tcPr>
            <w:tcW w:w="72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777"/>
        </w:trPr>
        <w:tc>
          <w:tcPr>
            <w:tcW w:w="1280" w:type="dxa"/>
            <w:vAlign w:val="bottom"/>
            <w:tcBorders>
              <w:top w:val="single" w:sz="8" w:color="0000FF"/>
            </w:tcBorders>
          </w:tcPr>
          <w:p>
            <w:pPr>
              <w:spacing w:after="0"/>
              <w:rPr>
                <w:sz w:val="24"/>
                <w:szCs w:val="24"/>
                <w:color w:val="auto"/>
              </w:rPr>
            </w:pPr>
          </w:p>
        </w:tc>
        <w:tc>
          <w:tcPr>
            <w:tcW w:w="4720" w:type="dxa"/>
            <w:vAlign w:val="bottom"/>
            <w:gridSpan w:val="2"/>
          </w:tcPr>
          <w:p>
            <w:pPr>
              <w:jc w:val="center"/>
              <w:ind w:left="389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5740" w:type="dxa"/>
            <w:vAlign w:val="bottom"/>
            <w:gridSpan w:val="4"/>
          </w:tcPr>
          <w:p>
            <w:pPr>
              <w:jc w:val="center"/>
              <w:ind w:left="2850"/>
              <w:spacing w:after="0"/>
              <w:rPr>
                <w:sz w:val="20"/>
                <w:szCs w:val="20"/>
                <w:color w:val="auto"/>
              </w:rPr>
            </w:pPr>
            <w:r>
              <w:rPr>
                <w:rFonts w:ascii="Times New Roman" w:cs="Times New Roman" w:eastAsia="Times New Roman" w:hAnsi="Times New Roman"/>
                <w:sz w:val="18"/>
                <w:szCs w:val="18"/>
                <w:b w:val="1"/>
                <w:bCs w:val="1"/>
                <w:color w:val="auto"/>
                <w:w w:val="99"/>
              </w:rPr>
              <w:t>FINANCIAL INFORMATION</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2"/>
        </w:trPr>
        <w:tc>
          <w:tcPr>
            <w:tcW w:w="1280" w:type="dxa"/>
            <w:vAlign w:val="bottom"/>
          </w:tcPr>
          <w:p>
            <w:pPr>
              <w:spacing w:after="0"/>
              <w:rPr>
                <w:sz w:val="24"/>
                <w:szCs w:val="24"/>
                <w:color w:val="auto"/>
              </w:rPr>
            </w:pPr>
          </w:p>
        </w:tc>
        <w:tc>
          <w:tcPr>
            <w:tcW w:w="5740" w:type="dxa"/>
            <w:vAlign w:val="bottom"/>
            <w:gridSpan w:val="4"/>
          </w:tcPr>
          <w:p>
            <w:pPr>
              <w:jc w:val="center"/>
              <w:ind w:left="2850"/>
              <w:spacing w:after="0"/>
              <w:rPr>
                <w:sz w:val="20"/>
                <w:szCs w:val="20"/>
                <w:color w:val="auto"/>
              </w:rPr>
            </w:pPr>
            <w:r>
              <w:rPr>
                <w:rFonts w:ascii="Times New Roman" w:cs="Times New Roman" w:eastAsia="Times New Roman" w:hAnsi="Times New Roman"/>
                <w:sz w:val="18"/>
                <w:szCs w:val="18"/>
                <w:b w:val="1"/>
                <w:bCs w:val="1"/>
                <w:color w:val="auto"/>
                <w:w w:val="99"/>
              </w:rPr>
              <w:t>Quaker Chemical Corporation</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180" w:type="dxa"/>
            <w:vAlign w:val="bottom"/>
            <w:gridSpan w:val="7"/>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7180" w:type="dxa"/>
            <w:vAlign w:val="bottom"/>
            <w:gridSpan w:val="7"/>
          </w:tcPr>
          <w:p>
            <w:pPr>
              <w:jc w:val="center"/>
              <w:ind w:left="1430"/>
              <w:spacing w:after="0"/>
              <w:rPr>
                <w:sz w:val="20"/>
                <w:szCs w:val="20"/>
                <w:color w:val="auto"/>
              </w:rPr>
            </w:pPr>
            <w:r>
              <w:rPr>
                <w:rFonts w:ascii="Times New Roman" w:cs="Times New Roman" w:eastAsia="Times New Roman" w:hAnsi="Times New Roman"/>
                <w:sz w:val="18"/>
                <w:szCs w:val="18"/>
                <w:b w:val="1"/>
                <w:bCs w:val="1"/>
                <w:i w:val="1"/>
                <w:iCs w:val="1"/>
                <w:color w:val="auto"/>
                <w:w w:val="99"/>
              </w:rPr>
              <w:t>(Unaudited; Dollars in thousands, except per share data)</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8"/>
        </w:trPr>
        <w:tc>
          <w:tcPr>
            <w:tcW w:w="128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6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21"/>
                <w:szCs w:val="21"/>
                <w:color w:val="auto"/>
              </w:rPr>
            </w:pPr>
          </w:p>
        </w:tc>
        <w:tc>
          <w:tcPr>
            <w:tcW w:w="248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12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5600" w:type="dxa"/>
            <w:vAlign w:val="bottom"/>
            <w:tcBorders>
              <w:bottom w:val="single" w:sz="8" w:color="CCEEFF"/>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483,400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463,567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926,314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933,326</w:t>
            </w:r>
          </w:p>
        </w:tc>
      </w:tr>
      <w:tr>
        <w:trPr>
          <w:trHeight w:val="243"/>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 (excluding amortization expense - See Note 13)</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311,677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287,849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593,331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576,045</w:t>
            </w:r>
          </w:p>
        </w:tc>
      </w:tr>
      <w:tr>
        <w:trPr>
          <w:trHeight w:val="27"/>
        </w:trPr>
        <w:tc>
          <w:tcPr>
            <w:tcW w:w="5600" w:type="dxa"/>
            <w:vAlign w:val="bottom"/>
            <w:tcBorders>
              <w:bottom w:val="single" w:sz="8" w:color="CCEEFF"/>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6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171,723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175,718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332,983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357,281</w:t>
            </w:r>
          </w:p>
        </w:tc>
      </w:tr>
      <w:tr>
        <w:trPr>
          <w:trHeight w:val="243"/>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126,600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116,949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245,646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241,129</w:t>
            </w:r>
          </w:p>
        </w:tc>
      </w:tr>
      <w:tr>
        <w:trPr>
          <w:trHeight w:val="27"/>
        </w:trPr>
        <w:tc>
          <w:tcPr>
            <w:tcW w:w="56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88,840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88,840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and related charges, net</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r>
      <w:tr>
        <w:trPr>
          <w:trHeight w:val="27"/>
        </w:trPr>
        <w:tc>
          <w:tcPr>
            <w:tcW w:w="5600" w:type="dxa"/>
            <w:vAlign w:val="bottom"/>
            <w:tcBorders>
              <w:bottom w:val="single" w:sz="8" w:color="CCEEFF"/>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(loss) income</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113,975</w:t>
            </w:r>
          </w:p>
        </w:tc>
      </w:tr>
      <w:tr>
        <w:trPr>
          <w:trHeight w:val="243"/>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r>
      <w:tr>
        <w:trPr>
          <w:trHeight w:val="27"/>
        </w:trPr>
        <w:tc>
          <w:tcPr>
            <w:tcW w:w="56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(12,779)</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(10,754)</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(22,324)</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(21,578)</w:t>
            </w:r>
          </w:p>
        </w:tc>
      </w:tr>
      <w:tr>
        <w:trPr>
          <w:trHeight w:val="205"/>
        </w:trPr>
        <w:tc>
          <w:tcPr>
            <w:tcW w:w="5600" w:type="dxa"/>
            <w:vAlign w:val="bottom"/>
            <w:gridSpan w:val="2"/>
          </w:tcPr>
          <w:p>
            <w:pPr>
              <w:ind w:left="180"/>
              <w:spacing w:after="0" w:line="205" w:lineRule="exact"/>
              <w:rPr>
                <w:sz w:val="20"/>
                <w:szCs w:val="20"/>
                <w:color w:val="auto"/>
              </w:rPr>
            </w:pPr>
            <w:r>
              <w:rPr>
                <w:rFonts w:ascii="Times New Roman" w:cs="Times New Roman" w:eastAsia="Times New Roman" w:hAnsi="Times New Roman"/>
                <w:sz w:val="18"/>
                <w:szCs w:val="18"/>
                <w:color w:val="auto"/>
              </w:rPr>
              <w:t>(Loss) income before taxes and equity in net income of associated</w:t>
            </w:r>
          </w:p>
        </w:tc>
        <w:tc>
          <w:tcPr>
            <w:tcW w:w="4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234"/>
        </w:trPr>
        <w:tc>
          <w:tcPr>
            <w:tcW w:w="5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companies</w:t>
            </w: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(65,942)</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(48,572)</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93,899</w:t>
            </w:r>
          </w:p>
        </w:tc>
      </w:tr>
      <w:tr>
        <w:trPr>
          <w:trHeight w:val="27"/>
        </w:trPr>
        <w:tc>
          <w:tcPr>
            <w:tcW w:w="56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on income before equity in net income of associated companies</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15,778</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13,014</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28,286</w:t>
            </w:r>
          </w:p>
        </w:tc>
      </w:tr>
      <w:tr>
        <w:trPr>
          <w:trHeight w:val="236"/>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income before equity in net income of associated companies</w:t>
            </w: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(71,414)</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32,339</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(61,586)</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65,613</w:t>
            </w:r>
          </w:p>
        </w:tc>
      </w:tr>
      <w:tr>
        <w:trPr>
          <w:trHeight w:val="27"/>
        </w:trPr>
        <w:tc>
          <w:tcPr>
            <w:tcW w:w="56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net income of associated companies</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w:t>
            </w:r>
          </w:p>
        </w:tc>
      </w:tr>
      <w:tr>
        <w:trPr>
          <w:trHeight w:val="237"/>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 income</w:t>
            </w: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(66,563)</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34,910</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(53,646)</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70,168</w:t>
            </w:r>
          </w:p>
        </w:tc>
      </w:tr>
      <w:tr>
        <w:trPr>
          <w:trHeight w:val="27"/>
        </w:trPr>
        <w:tc>
          <w:tcPr>
            <w:tcW w:w="56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63"/>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 income attributable to Quaker Chemical Corporation</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(66,580)</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34,885</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(53,658)</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70,112</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7"/>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data:</w:t>
            </w:r>
          </w:p>
        </w:tc>
        <w:tc>
          <w:tcPr>
            <w:tcW w:w="4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225"/>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 income attributable to Quaker Chemical Corporation common</w:t>
            </w: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4"/>
        </w:trPr>
        <w:tc>
          <w:tcPr>
            <w:tcW w:w="5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shareholders – basic</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7"/>
        </w:trPr>
        <w:tc>
          <w:tcPr>
            <w:tcW w:w="56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5"/>
        </w:trPr>
        <w:tc>
          <w:tcPr>
            <w:tcW w:w="5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income attributable to Quaker Chemical Corporation common</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1"/>
        </w:trPr>
        <w:tc>
          <w:tcPr>
            <w:tcW w:w="56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shareholders – diluted</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43"/>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Dividends declared</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0.485</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0.455</w:t>
            </w:r>
          </w:p>
        </w:tc>
        <w:tc>
          <w:tcPr>
            <w:tcW w:w="8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0.970</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0.910</w:t>
            </w: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6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238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Pr>
          <w:p>
            <w:pPr>
              <w:spacing w:after="0"/>
              <w:rPr>
                <w:sz w:val="20"/>
                <w:szCs w:val="20"/>
                <w:color w:val="auto"/>
              </w:rPr>
            </w:pPr>
          </w:p>
        </w:tc>
      </w:tr>
      <w:tr>
        <w:trPr>
          <w:trHeight w:val="27"/>
        </w:trPr>
        <w:tc>
          <w:tcPr>
            <w:tcW w:w="5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5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3"/>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(66,563)</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34,910</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(53,646)</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70,168</w:t>
            </w:r>
          </w:p>
        </w:tc>
      </w:tr>
      <w:tr>
        <w:trPr>
          <w:trHeight w:val="237"/>
        </w:trPr>
        <w:tc>
          <w:tcPr>
            <w:tcW w:w="59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50"/>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89,141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(44,229)</w:t>
            </w:r>
          </w:p>
        </w:tc>
      </w:tr>
      <w:tr>
        <w:trPr>
          <w:trHeight w:val="27"/>
        </w:trPr>
        <w:tc>
          <w:tcPr>
            <w:tcW w:w="5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Defined benefit retirement plans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43"/>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change in fair value of derivatives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r>
      <w:tr>
        <w:trPr>
          <w:trHeight w:val="27"/>
        </w:trPr>
        <w:tc>
          <w:tcPr>
            <w:tcW w:w="5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 gain on available-for-sale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60,601</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(18,774)</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86,569</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(41,419)</w:t>
            </w:r>
          </w:p>
        </w:tc>
      </w:tr>
      <w:tr>
        <w:trPr>
          <w:trHeight w:val="27"/>
        </w:trPr>
        <w:tc>
          <w:tcPr>
            <w:tcW w:w="5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9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4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28,749</w:t>
            </w:r>
          </w:p>
        </w:tc>
      </w:tr>
      <w:tr>
        <w:trPr>
          <w:trHeight w:val="27"/>
        </w:trPr>
        <w:tc>
          <w:tcPr>
            <w:tcW w:w="5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6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income attributable to Quaker Chemical Corporation</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16,110</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32,780</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28,765</w:t>
            </w:r>
          </w:p>
        </w:tc>
      </w:tr>
      <w:tr>
        <w:trPr>
          <w:trHeight w:val="21"/>
        </w:trPr>
        <w:tc>
          <w:tcPr>
            <w:tcW w:w="5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par value)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8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0" w:type="dxa"/>
            <w:vAlign w:val="bottom"/>
          </w:tcPr>
          <w:p>
            <w:pPr>
              <w:spacing w:after="0"/>
              <w:rPr>
                <w:sz w:val="16"/>
                <w:szCs w:val="16"/>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8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33"/>
        </w:trPr>
        <w:tc>
          <w:tcPr>
            <w:tcW w:w="8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201,918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188,880</w:t>
            </w:r>
          </w:p>
        </w:tc>
        <w:tc>
          <w:tcPr>
            <w:tcW w:w="0" w:type="dxa"/>
            <w:vAlign w:val="bottom"/>
          </w:tcPr>
          <w:p>
            <w:pPr>
              <w:spacing w:after="0"/>
              <w:rPr>
                <w:sz w:val="1"/>
                <w:szCs w:val="1"/>
                <w:color w:val="auto"/>
              </w:rPr>
            </w:pPr>
          </w:p>
        </w:tc>
      </w:tr>
      <w:tr>
        <w:trPr>
          <w:trHeight w:val="233"/>
        </w:trPr>
        <w:tc>
          <w:tcPr>
            <w:tcW w:w="8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437,411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400,126</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Raw materials and supplies</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123,854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112,457</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Work-in-process and finished goods</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140,493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115,015</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70,431</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59,939</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974,107</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876,417</w:t>
            </w:r>
          </w:p>
        </w:tc>
        <w:tc>
          <w:tcPr>
            <w:tcW w:w="0" w:type="dxa"/>
            <w:vAlign w:val="bottom"/>
          </w:tcPr>
          <w:p>
            <w:pPr>
              <w:spacing w:after="0"/>
              <w:rPr>
                <w:sz w:val="1"/>
                <w:szCs w:val="1"/>
                <w:color w:val="auto"/>
              </w:rPr>
            </w:pPr>
          </w:p>
        </w:tc>
      </w:tr>
      <w:tr>
        <w:trPr>
          <w:trHeight w:val="227"/>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at cost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564,462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483,033</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(277,951)</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(253,501)</w:t>
            </w:r>
          </w:p>
        </w:tc>
        <w:tc>
          <w:tcPr>
            <w:tcW w:w="0" w:type="dxa"/>
            <w:vAlign w:val="bottom"/>
          </w:tcPr>
          <w:p>
            <w:pPr>
              <w:spacing w:after="0"/>
              <w:rPr>
                <w:sz w:val="1"/>
                <w:szCs w:val="1"/>
                <w:color w:val="auto"/>
              </w:rPr>
            </w:pPr>
          </w:p>
        </w:tc>
      </w:tr>
      <w:tr>
        <w:trPr>
          <w:trHeight w:val="227"/>
        </w:trPr>
        <w:tc>
          <w:tcPr>
            <w:tcW w:w="8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286,511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229,532</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lease assets</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40,610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34,120</w:t>
            </w:r>
          </w:p>
        </w:tc>
        <w:tc>
          <w:tcPr>
            <w:tcW w:w="0" w:type="dxa"/>
            <w:vAlign w:val="bottom"/>
          </w:tcPr>
          <w:p>
            <w:pPr>
              <w:spacing w:after="0"/>
              <w:rPr>
                <w:sz w:val="1"/>
                <w:szCs w:val="1"/>
                <w:color w:val="auto"/>
              </w:rPr>
            </w:pPr>
          </w:p>
        </w:tc>
      </w:tr>
      <w:tr>
        <w:trPr>
          <w:trHeight w:val="233"/>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502,438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518,894</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908,297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827,098</w:t>
            </w:r>
          </w:p>
        </w:tc>
        <w:tc>
          <w:tcPr>
            <w:tcW w:w="0" w:type="dxa"/>
            <w:vAlign w:val="bottom"/>
          </w:tcPr>
          <w:p>
            <w:pPr>
              <w:spacing w:after="0"/>
              <w:rPr>
                <w:sz w:val="1"/>
                <w:szCs w:val="1"/>
                <w:color w:val="auto"/>
              </w:rPr>
            </w:pPr>
          </w:p>
        </w:tc>
      </w:tr>
      <w:tr>
        <w:trPr>
          <w:trHeight w:val="233"/>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Investments in associated companies</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104,488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98,012</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9,216</w:t>
            </w:r>
          </w:p>
        </w:tc>
        <w:tc>
          <w:tcPr>
            <w:tcW w:w="0" w:type="dxa"/>
            <w:vAlign w:val="bottom"/>
          </w:tcPr>
          <w:p>
            <w:pPr>
              <w:spacing w:after="0"/>
              <w:rPr>
                <w:sz w:val="1"/>
                <w:szCs w:val="1"/>
                <w:color w:val="auto"/>
              </w:rPr>
            </w:pPr>
          </w:p>
        </w:tc>
      </w:tr>
      <w:tr>
        <w:trPr>
          <w:trHeight w:val="236"/>
        </w:trPr>
        <w:tc>
          <w:tcPr>
            <w:tcW w:w="8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23,108</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17,360</w:t>
            </w:r>
          </w:p>
        </w:tc>
        <w:tc>
          <w:tcPr>
            <w:tcW w:w="0" w:type="dxa"/>
            <w:vAlign w:val="bottom"/>
          </w:tcPr>
          <w:p>
            <w:pPr>
              <w:spacing w:after="0"/>
              <w:rPr>
                <w:sz w:val="1"/>
                <w:szCs w:val="1"/>
                <w:color w:val="auto"/>
              </w:rPr>
            </w:pPr>
          </w:p>
        </w:tc>
      </w:tr>
      <w:tr>
        <w:trPr>
          <w:trHeight w:val="262"/>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2,848,810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2,610,649</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4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Short-term borrowings and current portion of long-term debt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37,867</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37,554</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203,606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198,137</w:t>
            </w:r>
          </w:p>
        </w:tc>
        <w:tc>
          <w:tcPr>
            <w:tcW w:w="0" w:type="dxa"/>
            <w:vAlign w:val="bottom"/>
          </w:tcPr>
          <w:p>
            <w:pPr>
              <w:spacing w:after="0"/>
              <w:rPr>
                <w:sz w:val="1"/>
                <w:szCs w:val="1"/>
                <w:color w:val="auto"/>
              </w:rPr>
            </w:pPr>
          </w:p>
        </w:tc>
      </w:tr>
      <w:tr>
        <w:trPr>
          <w:trHeight w:val="233"/>
        </w:trPr>
        <w:tc>
          <w:tcPr>
            <w:tcW w:w="8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Dividends payable</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8,572</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compensation</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36,398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50,212</w:t>
            </w:r>
          </w:p>
        </w:tc>
        <w:tc>
          <w:tcPr>
            <w:tcW w:w="0" w:type="dxa"/>
            <w:vAlign w:val="bottom"/>
          </w:tcPr>
          <w:p>
            <w:pPr>
              <w:spacing w:after="0"/>
              <w:rPr>
                <w:sz w:val="1"/>
                <w:szCs w:val="1"/>
                <w:color w:val="auto"/>
              </w:rPr>
            </w:pPr>
          </w:p>
        </w:tc>
      </w:tr>
      <w:tr>
        <w:trPr>
          <w:trHeight w:val="233"/>
        </w:trPr>
        <w:tc>
          <w:tcPr>
            <w:tcW w:w="8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restructuring</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pension and postretirement benefits</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83,853</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80,668</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380,059</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379,768</w:t>
            </w:r>
          </w:p>
        </w:tc>
        <w:tc>
          <w:tcPr>
            <w:tcW w:w="0" w:type="dxa"/>
            <w:vAlign w:val="bottom"/>
          </w:tcPr>
          <w:p>
            <w:pPr>
              <w:spacing w:after="0"/>
              <w:rPr>
                <w:sz w:val="1"/>
                <w:szCs w:val="1"/>
                <w:color w:val="auto"/>
              </w:rPr>
            </w:pPr>
          </w:p>
        </w:tc>
      </w:tr>
      <w:tr>
        <w:trPr>
          <w:trHeight w:val="227"/>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897,953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669,614</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24,315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20,028</w:t>
            </w:r>
          </w:p>
        </w:tc>
        <w:tc>
          <w:tcPr>
            <w:tcW w:w="0" w:type="dxa"/>
            <w:vAlign w:val="bottom"/>
          </w:tcPr>
          <w:p>
            <w:pPr>
              <w:spacing w:after="0"/>
              <w:rPr>
                <w:sz w:val="1"/>
                <w:szCs w:val="1"/>
                <w:color w:val="auto"/>
              </w:rPr>
            </w:pPr>
          </w:p>
        </w:tc>
      </w:tr>
      <w:tr>
        <w:trPr>
          <w:trHeight w:val="233"/>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151,038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138,828</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accrued pension and postretirement benefits</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24,491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23,783</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25,499</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24,445</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1,503,355</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1,256,466</w:t>
            </w:r>
          </w:p>
        </w:tc>
        <w:tc>
          <w:tcPr>
            <w:tcW w:w="0" w:type="dxa"/>
            <w:vAlign w:val="bottom"/>
          </w:tcPr>
          <w:p>
            <w:pPr>
              <w:spacing w:after="0"/>
              <w:rPr>
                <w:sz w:val="1"/>
                <w:szCs w:val="1"/>
                <w:color w:val="auto"/>
              </w:rPr>
            </w:pPr>
          </w:p>
        </w:tc>
      </w:tr>
      <w:tr>
        <w:trPr>
          <w:trHeight w:val="213"/>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18)</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$1 par value; authorized 30,000,000 shares; issued and outstanding</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June 30, 2025 – 17,394,128 shares; December 31, 2024 – 17,673,607 shares</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17,674</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876,969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903,781</w:t>
            </w:r>
          </w:p>
        </w:tc>
        <w:tc>
          <w:tcPr>
            <w:tcW w:w="0" w:type="dxa"/>
            <w:vAlign w:val="bottom"/>
          </w:tcPr>
          <w:p>
            <w:pPr>
              <w:spacing w:after="0"/>
              <w:rPr>
                <w:sz w:val="1"/>
                <w:szCs w:val="1"/>
                <w:color w:val="auto"/>
              </w:rPr>
            </w:pPr>
          </w:p>
        </w:tc>
      </w:tr>
      <w:tr>
        <w:trPr>
          <w:trHeight w:val="233"/>
        </w:trPr>
        <w:tc>
          <w:tcPr>
            <w:tcW w:w="8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563,063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633,731</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(115,181)</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(201,619)</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Quaker shareholders’ equity</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1,342,245</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1,353,567</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w:t>
            </w: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3,210</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equity</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1,345,455</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1,354,183</w:t>
            </w:r>
          </w:p>
        </w:tc>
        <w:tc>
          <w:tcPr>
            <w:tcW w:w="0" w:type="dxa"/>
            <w:vAlign w:val="bottom"/>
          </w:tcPr>
          <w:p>
            <w:pPr>
              <w:spacing w:after="0"/>
              <w:rPr>
                <w:sz w:val="1"/>
                <w:szCs w:val="1"/>
                <w:color w:val="auto"/>
              </w:rPr>
            </w:pPr>
          </w:p>
        </w:tc>
      </w:tr>
      <w:tr>
        <w:trPr>
          <w:trHeight w:val="261"/>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2,848,810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2,610,649</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22860</wp:posOffset>
            </wp:positionV>
            <wp:extent cx="1714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(53,646)</w:t>
            </w:r>
          </w:p>
        </w:tc>
        <w:tc>
          <w:tcPr>
            <w:tcW w:w="8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70,168</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41,984</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in undistributed earnings of associated companies, net of dividends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8,128</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charges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88,840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and related charges, net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Inventory step-up amortization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disposal of property, plant and equipment and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adjustments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(decrease) in cash from changes in current assets and current liabilities, net of acquisitions: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10,483</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(9,141)</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(15,646)</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restructuring</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(25,021)</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38,522</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73,534</w:t>
            </w:r>
          </w:p>
        </w:tc>
        <w:tc>
          <w:tcPr>
            <w:tcW w:w="0" w:type="dxa"/>
            <w:vAlign w:val="bottom"/>
          </w:tcPr>
          <w:p>
            <w:pPr>
              <w:spacing w:after="0"/>
              <w:rPr>
                <w:sz w:val="1"/>
                <w:szCs w:val="1"/>
                <w:color w:val="auto"/>
              </w:rPr>
            </w:pPr>
          </w:p>
        </w:tc>
      </w:tr>
      <w:tr>
        <w:trPr>
          <w:trHeight w:val="236"/>
        </w:trPr>
        <w:tc>
          <w:tcPr>
            <w:tcW w:w="84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Investments in property, plant and equipment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(11,124)</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related to acquisitions, net of cash acquired</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(164,078)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(24,899)</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(180,720)</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(33,225)</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4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(34,169)</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Borrowings on revolving credit facilities, net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216,000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20,533</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on other debt, net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paid</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(16,372)</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Shares purchased under share repurchase programs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(7,760)</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stock related activity</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147,554</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(39,297)</w:t>
            </w:r>
          </w:p>
        </w:tc>
        <w:tc>
          <w:tcPr>
            <w:tcW w:w="0" w:type="dxa"/>
            <w:vAlign w:val="bottom"/>
          </w:tcPr>
          <w:p>
            <w:pPr>
              <w:spacing w:after="0"/>
              <w:rPr>
                <w:sz w:val="1"/>
                <w:szCs w:val="1"/>
                <w:color w:val="auto"/>
              </w:rPr>
            </w:pPr>
          </w:p>
        </w:tc>
      </w:tr>
      <w:tr>
        <w:trPr>
          <w:trHeight w:val="236"/>
        </w:trPr>
        <w:tc>
          <w:tcPr>
            <w:tcW w:w="8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Effect of foreign exchange rate changes on cash</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7,682</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(6,971)</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w:t>
            </w:r>
          </w:p>
        </w:tc>
        <w:tc>
          <w:tcPr>
            <w:tcW w:w="0" w:type="dxa"/>
            <w:vAlign w:val="bottom"/>
          </w:tcPr>
          <w:p>
            <w:pPr>
              <w:spacing w:after="0"/>
              <w:rPr>
                <w:sz w:val="1"/>
                <w:szCs w:val="1"/>
                <w:color w:val="auto"/>
              </w:rPr>
            </w:pPr>
          </w:p>
        </w:tc>
      </w:tr>
      <w:tr>
        <w:trPr>
          <w:trHeight w:val="243"/>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188,880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194,527</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201,918</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188,568</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Change in accrued purchases of property, plant and equipment, net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8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Capital in</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Excess of Par</w:t>
            </w:r>
          </w:p>
        </w:tc>
        <w:tc>
          <w:tcPr>
            <w:tcW w:w="14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8"/>
        </w:trPr>
        <w:tc>
          <w:tcPr>
            <w:tcW w:w="3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4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2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6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940,101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550,641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(124,415)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1,384,922</w:t>
            </w: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35,258</w:t>
            </w:r>
          </w:p>
        </w:tc>
      </w:tr>
      <w:tr>
        <w:trPr>
          <w:trHeight w:val="27"/>
        </w:trPr>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reported in other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(22,645)</w:t>
            </w: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($0.455 per share)</w:t>
            </w:r>
          </w:p>
        </w:tc>
        <w:tc>
          <w:tcPr>
            <w:tcW w:w="1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(8,186)</w:t>
            </w:r>
          </w:p>
        </w:tc>
      </w:tr>
      <w:tr>
        <w:trPr>
          <w:trHeight w:val="27"/>
        </w:trPr>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5"/>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issuance and equity-based compensation</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61"/>
        </w:trPr>
        <w:tc>
          <w:tcPr>
            <w:tcW w:w="3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plans, net</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w:t>
            </w:r>
          </w:p>
        </w:tc>
      </w:tr>
      <w:tr>
        <w:trPr>
          <w:trHeight w:val="26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942,546</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577,682</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(146,987)</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1,391,792</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4"/>
        </w:trPr>
        <w:tc>
          <w:tcPr>
            <w:tcW w:w="3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34,910</w:t>
            </w: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reported in other comprehensive loss</w:t>
            </w:r>
          </w:p>
        </w:tc>
        <w:tc>
          <w:tcPr>
            <w:tcW w:w="1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(18,774)</w:t>
            </w:r>
          </w:p>
        </w:tc>
      </w:tr>
      <w:tr>
        <w:trPr>
          <w:trHeight w:val="27"/>
        </w:trPr>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($0.455 per share)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(8,163)</w:t>
            </w:r>
          </w:p>
        </w:tc>
      </w:tr>
      <w:tr>
        <w:trPr>
          <w:trHeight w:val="225"/>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purchased under share repurchase program,</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4"/>
        </w:trPr>
        <w:tc>
          <w:tcPr>
            <w:tcW w:w="3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of excise taxes</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(8,355)</w:t>
            </w:r>
          </w:p>
        </w:tc>
      </w:tr>
      <w:tr>
        <w:trPr>
          <w:trHeight w:val="27"/>
        </w:trPr>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5"/>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issuance and equity-based compensation</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61"/>
        </w:trPr>
        <w:tc>
          <w:tcPr>
            <w:tcW w:w="3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plans, net</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w:t>
            </w:r>
          </w:p>
        </w:tc>
      </w:tr>
      <w:tr>
        <w:trPr>
          <w:trHeight w:val="23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17,941</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938,436</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604,404</w:t>
            </w: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(165,762)</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1,395,606</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3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4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17,674</w:t>
            </w:r>
          </w:p>
        </w:tc>
        <w:tc>
          <w:tcPr>
            <w:tcW w:w="10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903,781</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633,731</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(201,619)</w:t>
            </w:r>
          </w:p>
        </w:tc>
        <w:tc>
          <w:tcPr>
            <w:tcW w:w="8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1,354,183</w:t>
            </w:r>
          </w:p>
        </w:tc>
      </w:tr>
      <w:tr>
        <w:trPr>
          <w:trHeight w:val="27"/>
        </w:trPr>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12,917</w:t>
            </w: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reported in other comprehensive income</w:t>
            </w:r>
          </w:p>
        </w:tc>
        <w:tc>
          <w:tcPr>
            <w:tcW w:w="1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25,968</w:t>
            </w:r>
          </w:p>
        </w:tc>
      </w:tr>
      <w:tr>
        <w:trPr>
          <w:trHeight w:val="27"/>
        </w:trPr>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($0.485 per share)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(8,574)</w:t>
            </w:r>
          </w:p>
        </w:tc>
      </w:tr>
      <w:tr>
        <w:trPr>
          <w:trHeight w:val="225"/>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issuance and equity-based compensation</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4"/>
        </w:trPr>
        <w:tc>
          <w:tcPr>
            <w:tcW w:w="3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plans, net</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w:t>
            </w:r>
          </w:p>
        </w:tc>
      </w:tr>
      <w:tr>
        <w:trPr>
          <w:trHeight w:val="27"/>
        </w:trPr>
        <w:tc>
          <w:tcPr>
            <w:tcW w:w="3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9"/>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905,781</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638,079</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(175,655)</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1,386,500</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income</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(66,563)</w:t>
            </w:r>
          </w:p>
        </w:tc>
      </w:tr>
      <w:tr>
        <w:trPr>
          <w:trHeight w:val="27"/>
        </w:trPr>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reported in other 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60,474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60,601</w:t>
            </w: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 from acquisition</w:t>
            </w:r>
          </w:p>
        </w:tc>
        <w:tc>
          <w:tcPr>
            <w:tcW w:w="1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w:t>
            </w:r>
          </w:p>
        </w:tc>
      </w:tr>
      <w:tr>
        <w:trPr>
          <w:trHeight w:val="27"/>
        </w:trPr>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($0.485 per share)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(8,436)</w:t>
            </w:r>
          </w:p>
        </w:tc>
      </w:tr>
      <w:tr>
        <w:trPr>
          <w:trHeight w:val="225"/>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purchased under share repurchase program,</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4"/>
        </w:trPr>
        <w:tc>
          <w:tcPr>
            <w:tcW w:w="3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of excise taxes</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(32,982)</w:t>
            </w:r>
          </w:p>
        </w:tc>
      </w:tr>
      <w:tr>
        <w:trPr>
          <w:trHeight w:val="27"/>
        </w:trPr>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5"/>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issuance and equity-based compensation</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61"/>
        </w:trPr>
        <w:tc>
          <w:tcPr>
            <w:tcW w:w="3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plans, net</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w:t>
            </w:r>
          </w:p>
        </w:tc>
      </w:tr>
      <w:tr>
        <w:trPr>
          <w:trHeight w:val="26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876,969</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563,063</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(115,181)</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1,345,455</w:t>
            </w:r>
          </w:p>
        </w:tc>
      </w:tr>
      <w:tr>
        <w:trPr>
          <w:trHeight w:val="20"/>
        </w:trPr>
        <w:tc>
          <w:tcPr>
            <w:tcW w:w="3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141605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46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7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1</w:t>
            </w:r>
          </w:p>
        </w:tc>
        <w:tc>
          <w:tcPr>
            <w:tcW w:w="360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FF"/>
                <w:w w:val="99"/>
              </w:rPr>
              <w:t>Basis of Presentation and Description of Business</w:t>
            </w:r>
          </w:p>
        </w:tc>
        <w:tc>
          <w:tcPr>
            <w:tcW w:w="46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3600" w:type="dxa"/>
            <w:vAlign w:val="bottom"/>
            <w:gridSpan w:val="15"/>
            <w:vMerge w:val="continue"/>
          </w:tcPr>
          <w:p>
            <w:pPr>
              <w:spacing w:after="0"/>
              <w:rPr>
                <w:sz w:val="15"/>
                <w:szCs w:val="15"/>
                <w:color w:val="auto"/>
              </w:rPr>
            </w:pPr>
          </w:p>
        </w:tc>
        <w:tc>
          <w:tcPr>
            <w:tcW w:w="460" w:type="dxa"/>
            <w:vAlign w:val="bottom"/>
          </w:tcPr>
          <w:p>
            <w:pPr>
              <w:spacing w:after="0"/>
              <w:rPr>
                <w:sz w:val="15"/>
                <w:szCs w:val="15"/>
                <w:color w:val="auto"/>
              </w:rPr>
            </w:pPr>
          </w:p>
        </w:tc>
        <w:tc>
          <w:tcPr>
            <w:tcW w:w="5800" w:type="dxa"/>
            <w:vAlign w:val="bottom"/>
            <w:gridSpan w:val="4"/>
          </w:tcPr>
          <w:p>
            <w:pPr>
              <w:jc w:val="center"/>
              <w:ind w:left="5550"/>
              <w:spacing w:after="0" w:line="182" w:lineRule="exact"/>
              <w:rPr>
                <w:sz w:val="20"/>
                <w:szCs w:val="20"/>
                <w:color w:val="auto"/>
              </w:rPr>
            </w:pPr>
            <w:r>
              <w:rPr>
                <w:rFonts w:ascii="Times New Roman" w:cs="Times New Roman" w:eastAsia="Times New Roman" w:hAnsi="Times New Roman"/>
                <w:sz w:val="18"/>
                <w:szCs w:val="18"/>
                <w:color w:val="0000FF"/>
                <w:w w:val="88"/>
              </w:rPr>
              <w:t>8</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2</w:t>
            </w:r>
          </w:p>
        </w:tc>
        <w:tc>
          <w:tcPr>
            <w:tcW w:w="3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80" w:type="dxa"/>
            <w:vAlign w:val="bottom"/>
            <w:gridSpan w:val="2"/>
            <w:shd w:val="clear" w:color="auto" w:fill="0000FF"/>
          </w:tcPr>
          <w:p>
            <w:pPr>
              <w:spacing w:after="0"/>
              <w:rPr>
                <w:sz w:val="2"/>
                <w:szCs w:val="2"/>
                <w:color w:val="auto"/>
              </w:rPr>
            </w:pPr>
          </w:p>
        </w:tc>
        <w:tc>
          <w:tcPr>
            <w:tcW w:w="5680" w:type="dxa"/>
            <w:vAlign w:val="bottom"/>
            <w:gridSpan w:val="2"/>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1060" w:type="dxa"/>
            <w:vAlign w:val="bottom"/>
            <w:vMerge w:val="continue"/>
          </w:tcPr>
          <w:p>
            <w:pPr>
              <w:spacing w:after="0"/>
              <w:rPr>
                <w:sz w:val="22"/>
                <w:szCs w:val="22"/>
                <w:color w:val="auto"/>
              </w:rPr>
            </w:pPr>
          </w:p>
        </w:tc>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Business Acquisitions</w:t>
            </w:r>
          </w:p>
        </w:tc>
        <w:tc>
          <w:tcPr>
            <w:tcW w:w="2460" w:type="dxa"/>
            <w:vAlign w:val="bottom"/>
            <w:gridSpan w:val="11"/>
          </w:tcPr>
          <w:p>
            <w:pPr>
              <w:spacing w:after="0"/>
              <w:rPr>
                <w:sz w:val="22"/>
                <w:szCs w:val="22"/>
                <w:color w:val="auto"/>
              </w:rPr>
            </w:pPr>
          </w:p>
        </w:tc>
        <w:tc>
          <w:tcPr>
            <w:tcW w:w="5800" w:type="dxa"/>
            <w:vAlign w:val="bottom"/>
            <w:gridSpan w:val="4"/>
          </w:tcPr>
          <w:p>
            <w:pPr>
              <w:jc w:val="center"/>
              <w:ind w:left="5550"/>
              <w:spacing w:after="0"/>
              <w:rPr>
                <w:sz w:val="20"/>
                <w:szCs w:val="20"/>
                <w:color w:val="auto"/>
              </w:rPr>
            </w:pPr>
            <w:r>
              <w:rPr>
                <w:rFonts w:ascii="Times New Roman" w:cs="Times New Roman" w:eastAsia="Times New Roman" w:hAnsi="Times New Roman"/>
                <w:sz w:val="18"/>
                <w:szCs w:val="18"/>
                <w:color w:val="0000FF"/>
                <w:w w:val="88"/>
              </w:rPr>
              <w:t>8</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3</w:t>
            </w: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40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Recently Issued Accounting Standards</w:t>
            </w:r>
          </w:p>
        </w:tc>
        <w:tc>
          <w:tcPr>
            <w:tcW w:w="5800" w:type="dxa"/>
            <w:vAlign w:val="bottom"/>
            <w:gridSpan w:val="4"/>
          </w:tcPr>
          <w:p>
            <w:pPr>
              <w:jc w:val="center"/>
              <w:ind w:left="5550"/>
              <w:spacing w:after="0"/>
              <w:rPr>
                <w:sz w:val="20"/>
                <w:szCs w:val="20"/>
                <w:color w:val="auto"/>
              </w:rPr>
            </w:pPr>
            <w:r>
              <w:rPr>
                <w:rFonts w:ascii="Times New Roman" w:cs="Times New Roman" w:eastAsia="Times New Roman" w:hAnsi="Times New Roman"/>
                <w:sz w:val="18"/>
                <w:szCs w:val="18"/>
                <w:color w:val="0000FF"/>
                <w:w w:val="88"/>
              </w:rPr>
              <w:t>11</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4</w:t>
            </w: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8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5"/>
              </w:rPr>
              <w:t>Business Segments</w:t>
            </w:r>
          </w:p>
        </w:tc>
        <w:tc>
          <w:tcPr>
            <w:tcW w:w="1380" w:type="dxa"/>
            <w:vAlign w:val="bottom"/>
            <w:gridSpan w:val="8"/>
          </w:tcPr>
          <w:p>
            <w:pPr>
              <w:spacing w:after="0"/>
              <w:rPr>
                <w:sz w:val="21"/>
                <w:szCs w:val="21"/>
                <w:color w:val="auto"/>
              </w:rPr>
            </w:pPr>
          </w:p>
        </w:tc>
        <w:tc>
          <w:tcPr>
            <w:tcW w:w="1320" w:type="dxa"/>
            <w:vAlign w:val="bottom"/>
            <w:gridSpan w:val="4"/>
          </w:tcPr>
          <w:p>
            <w:pPr>
              <w:spacing w:after="0"/>
              <w:rPr>
                <w:sz w:val="21"/>
                <w:szCs w:val="21"/>
                <w:color w:val="auto"/>
              </w:rPr>
            </w:pPr>
          </w:p>
        </w:tc>
        <w:tc>
          <w:tcPr>
            <w:tcW w:w="5800" w:type="dxa"/>
            <w:vAlign w:val="bottom"/>
            <w:gridSpan w:val="4"/>
          </w:tcPr>
          <w:p>
            <w:pPr>
              <w:jc w:val="center"/>
              <w:ind w:left="5550"/>
              <w:spacing w:after="0"/>
              <w:rPr>
                <w:sz w:val="20"/>
                <w:szCs w:val="20"/>
                <w:color w:val="auto"/>
              </w:rPr>
            </w:pPr>
            <w:r>
              <w:rPr>
                <w:rFonts w:ascii="Times New Roman" w:cs="Times New Roman" w:eastAsia="Times New Roman" w:hAnsi="Times New Roman"/>
                <w:sz w:val="18"/>
                <w:szCs w:val="18"/>
                <w:color w:val="0000FF"/>
                <w:w w:val="88"/>
              </w:rPr>
              <w:t>11</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5</w:t>
            </w: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8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26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Net Sales and Revenue Recognition</w:t>
            </w:r>
          </w:p>
        </w:tc>
        <w:tc>
          <w:tcPr>
            <w:tcW w:w="1460" w:type="dxa"/>
            <w:vAlign w:val="bottom"/>
            <w:gridSpan w:val="6"/>
          </w:tcPr>
          <w:p>
            <w:pPr>
              <w:spacing w:after="0"/>
              <w:rPr>
                <w:sz w:val="21"/>
                <w:szCs w:val="21"/>
                <w:color w:val="auto"/>
              </w:rPr>
            </w:pPr>
          </w:p>
        </w:tc>
        <w:tc>
          <w:tcPr>
            <w:tcW w:w="5800" w:type="dxa"/>
            <w:vAlign w:val="bottom"/>
            <w:gridSpan w:val="4"/>
          </w:tcPr>
          <w:p>
            <w:pPr>
              <w:jc w:val="center"/>
              <w:ind w:left="5530"/>
              <w:spacing w:after="0"/>
              <w:rPr>
                <w:sz w:val="20"/>
                <w:szCs w:val="20"/>
                <w:color w:val="auto"/>
              </w:rPr>
            </w:pPr>
            <w:r>
              <w:rPr>
                <w:rFonts w:ascii="Times New Roman" w:cs="Times New Roman" w:eastAsia="Times New Roman" w:hAnsi="Times New Roman"/>
                <w:sz w:val="18"/>
                <w:szCs w:val="18"/>
                <w:color w:val="0000FF"/>
                <w:w w:val="99"/>
              </w:rPr>
              <w:t>13</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6</w:t>
            </w: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8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Leases</w:t>
            </w:r>
          </w:p>
        </w:tc>
        <w:tc>
          <w:tcPr>
            <w:tcW w:w="2100" w:type="dxa"/>
            <w:vAlign w:val="bottom"/>
            <w:gridSpan w:val="8"/>
          </w:tcPr>
          <w:p>
            <w:pPr>
              <w:spacing w:after="0"/>
              <w:rPr>
                <w:sz w:val="21"/>
                <w:szCs w:val="21"/>
                <w:color w:val="auto"/>
              </w:rPr>
            </w:pPr>
          </w:p>
        </w:tc>
        <w:tc>
          <w:tcPr>
            <w:tcW w:w="1460" w:type="dxa"/>
            <w:vAlign w:val="bottom"/>
            <w:gridSpan w:val="6"/>
          </w:tcPr>
          <w:p>
            <w:pPr>
              <w:spacing w:after="0"/>
              <w:rPr>
                <w:sz w:val="21"/>
                <w:szCs w:val="21"/>
                <w:color w:val="auto"/>
              </w:rPr>
            </w:pPr>
          </w:p>
        </w:tc>
        <w:tc>
          <w:tcPr>
            <w:tcW w:w="5800" w:type="dxa"/>
            <w:vAlign w:val="bottom"/>
            <w:gridSpan w:val="4"/>
          </w:tcPr>
          <w:p>
            <w:pPr>
              <w:jc w:val="center"/>
              <w:ind w:left="5530"/>
              <w:spacing w:after="0"/>
              <w:rPr>
                <w:sz w:val="20"/>
                <w:szCs w:val="20"/>
                <w:color w:val="auto"/>
              </w:rPr>
            </w:pPr>
            <w:r>
              <w:rPr>
                <w:rFonts w:ascii="Times New Roman" w:cs="Times New Roman" w:eastAsia="Times New Roman" w:hAnsi="Times New Roman"/>
                <w:sz w:val="18"/>
                <w:szCs w:val="18"/>
                <w:color w:val="0000FF"/>
                <w:w w:val="99"/>
              </w:rPr>
              <w:t>14</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7</w:t>
            </w: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8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40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Restructuring and Related Activities</w:t>
            </w:r>
          </w:p>
        </w:tc>
        <w:tc>
          <w:tcPr>
            <w:tcW w:w="5800" w:type="dxa"/>
            <w:vAlign w:val="bottom"/>
            <w:gridSpan w:val="4"/>
          </w:tcPr>
          <w:p>
            <w:pPr>
              <w:jc w:val="center"/>
              <w:ind w:left="5530"/>
              <w:spacing w:after="0"/>
              <w:rPr>
                <w:sz w:val="20"/>
                <w:szCs w:val="20"/>
                <w:color w:val="auto"/>
              </w:rPr>
            </w:pPr>
            <w:r>
              <w:rPr>
                <w:rFonts w:ascii="Times New Roman" w:cs="Times New Roman" w:eastAsia="Times New Roman" w:hAnsi="Times New Roman"/>
                <w:sz w:val="18"/>
                <w:szCs w:val="18"/>
                <w:color w:val="0000FF"/>
                <w:w w:val="99"/>
              </w:rPr>
              <w:t>15</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8</w:t>
            </w:r>
          </w:p>
        </w:tc>
        <w:tc>
          <w:tcPr>
            <w:tcW w:w="3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8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20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Share-Based Compensation</w:t>
            </w:r>
          </w:p>
        </w:tc>
        <w:tc>
          <w:tcPr>
            <w:tcW w:w="620" w:type="dxa"/>
            <w:vAlign w:val="bottom"/>
            <w:gridSpan w:val="4"/>
          </w:tcPr>
          <w:p>
            <w:pPr>
              <w:spacing w:after="0"/>
              <w:rPr>
                <w:sz w:val="21"/>
                <w:szCs w:val="21"/>
                <w:color w:val="auto"/>
              </w:rPr>
            </w:pPr>
          </w:p>
        </w:tc>
        <w:tc>
          <w:tcPr>
            <w:tcW w:w="1440" w:type="dxa"/>
            <w:vAlign w:val="bottom"/>
            <w:gridSpan w:val="5"/>
          </w:tcPr>
          <w:p>
            <w:pPr>
              <w:spacing w:after="0"/>
              <w:rPr>
                <w:sz w:val="21"/>
                <w:szCs w:val="21"/>
                <w:color w:val="auto"/>
              </w:rPr>
            </w:pPr>
          </w:p>
        </w:tc>
        <w:tc>
          <w:tcPr>
            <w:tcW w:w="5800" w:type="dxa"/>
            <w:vAlign w:val="bottom"/>
            <w:gridSpan w:val="4"/>
          </w:tcPr>
          <w:p>
            <w:pPr>
              <w:jc w:val="center"/>
              <w:ind w:left="5530"/>
              <w:spacing w:after="0"/>
              <w:rPr>
                <w:sz w:val="20"/>
                <w:szCs w:val="20"/>
                <w:color w:val="auto"/>
              </w:rPr>
            </w:pPr>
            <w:r>
              <w:rPr>
                <w:rFonts w:ascii="Times New Roman" w:cs="Times New Roman" w:eastAsia="Times New Roman" w:hAnsi="Times New Roman"/>
                <w:sz w:val="18"/>
                <w:szCs w:val="18"/>
                <w:color w:val="0000FF"/>
                <w:w w:val="99"/>
              </w:rPr>
              <w:t>16</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9</w:t>
            </w:r>
          </w:p>
        </w:tc>
        <w:tc>
          <w:tcPr>
            <w:tcW w:w="3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8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30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Pension and Other Postretirement Benefits</w:t>
            </w:r>
          </w:p>
        </w:tc>
        <w:tc>
          <w:tcPr>
            <w:tcW w:w="980" w:type="dxa"/>
            <w:vAlign w:val="bottom"/>
            <w:gridSpan w:val="3"/>
          </w:tcPr>
          <w:p>
            <w:pPr>
              <w:spacing w:after="0"/>
              <w:rPr>
                <w:sz w:val="21"/>
                <w:szCs w:val="21"/>
                <w:color w:val="auto"/>
              </w:rPr>
            </w:pPr>
          </w:p>
        </w:tc>
        <w:tc>
          <w:tcPr>
            <w:tcW w:w="5800" w:type="dxa"/>
            <w:vAlign w:val="bottom"/>
            <w:gridSpan w:val="4"/>
          </w:tcPr>
          <w:p>
            <w:pPr>
              <w:jc w:val="center"/>
              <w:ind w:left="5530"/>
              <w:spacing w:after="0"/>
              <w:rPr>
                <w:sz w:val="20"/>
                <w:szCs w:val="20"/>
                <w:color w:val="auto"/>
              </w:rPr>
            </w:pPr>
            <w:r>
              <w:rPr>
                <w:rFonts w:ascii="Times New Roman" w:cs="Times New Roman" w:eastAsia="Times New Roman" w:hAnsi="Times New Roman"/>
                <w:sz w:val="18"/>
                <w:szCs w:val="18"/>
                <w:color w:val="0000FF"/>
                <w:w w:val="99"/>
              </w:rPr>
              <w:t>17</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10</w:t>
            </w:r>
          </w:p>
        </w:tc>
        <w:tc>
          <w:tcPr>
            <w:tcW w:w="3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8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30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Other (Expense) Income, net</w:t>
            </w:r>
          </w:p>
        </w:tc>
        <w:tc>
          <w:tcPr>
            <w:tcW w:w="980" w:type="dxa"/>
            <w:vAlign w:val="bottom"/>
            <w:gridSpan w:val="3"/>
          </w:tcPr>
          <w:p>
            <w:pPr>
              <w:spacing w:after="0"/>
              <w:rPr>
                <w:sz w:val="21"/>
                <w:szCs w:val="21"/>
                <w:color w:val="auto"/>
              </w:rPr>
            </w:pPr>
          </w:p>
        </w:tc>
        <w:tc>
          <w:tcPr>
            <w:tcW w:w="5800" w:type="dxa"/>
            <w:vAlign w:val="bottom"/>
            <w:gridSpan w:val="4"/>
          </w:tcPr>
          <w:p>
            <w:pPr>
              <w:jc w:val="center"/>
              <w:ind w:left="5530"/>
              <w:spacing w:after="0"/>
              <w:rPr>
                <w:sz w:val="20"/>
                <w:szCs w:val="20"/>
                <w:color w:val="auto"/>
              </w:rPr>
            </w:pPr>
            <w:r>
              <w:rPr>
                <w:rFonts w:ascii="Times New Roman" w:cs="Times New Roman" w:eastAsia="Times New Roman" w:hAnsi="Times New Roman"/>
                <w:sz w:val="18"/>
                <w:szCs w:val="18"/>
                <w:color w:val="0000FF"/>
                <w:w w:val="99"/>
              </w:rPr>
              <w:t>17</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Note 11</w:t>
            </w:r>
          </w:p>
        </w:tc>
        <w:tc>
          <w:tcPr>
            <w:tcW w:w="20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Income Taxes</w:t>
            </w:r>
          </w:p>
        </w:tc>
        <w:tc>
          <w:tcPr>
            <w:tcW w:w="1980" w:type="dxa"/>
            <w:vAlign w:val="bottom"/>
            <w:gridSpan w:val="8"/>
          </w:tcPr>
          <w:p>
            <w:pPr>
              <w:spacing w:after="0"/>
              <w:rPr>
                <w:sz w:val="21"/>
                <w:szCs w:val="21"/>
                <w:color w:val="auto"/>
              </w:rPr>
            </w:pPr>
          </w:p>
        </w:tc>
        <w:tc>
          <w:tcPr>
            <w:tcW w:w="5800" w:type="dxa"/>
            <w:vAlign w:val="bottom"/>
            <w:gridSpan w:val="4"/>
          </w:tcPr>
          <w:p>
            <w:pPr>
              <w:jc w:val="center"/>
              <w:ind w:left="5530"/>
              <w:spacing w:after="0"/>
              <w:rPr>
                <w:sz w:val="20"/>
                <w:szCs w:val="20"/>
                <w:color w:val="auto"/>
              </w:rPr>
            </w:pPr>
            <w:r>
              <w:rPr>
                <w:rFonts w:ascii="Times New Roman" w:cs="Times New Roman" w:eastAsia="Times New Roman" w:hAnsi="Times New Roman"/>
                <w:sz w:val="18"/>
                <w:szCs w:val="18"/>
                <w:color w:val="0000FF"/>
                <w:w w:val="99"/>
              </w:rPr>
              <w:t>18</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12</w:t>
            </w:r>
          </w:p>
        </w:tc>
        <w:tc>
          <w:tcPr>
            <w:tcW w:w="3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8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40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Earnings Per Share</w:t>
            </w:r>
          </w:p>
        </w:tc>
        <w:tc>
          <w:tcPr>
            <w:tcW w:w="5800" w:type="dxa"/>
            <w:vAlign w:val="bottom"/>
            <w:gridSpan w:val="4"/>
          </w:tcPr>
          <w:p>
            <w:pPr>
              <w:jc w:val="center"/>
              <w:ind w:left="5530"/>
              <w:spacing w:after="0"/>
              <w:rPr>
                <w:sz w:val="20"/>
                <w:szCs w:val="20"/>
                <w:color w:val="auto"/>
              </w:rPr>
            </w:pPr>
            <w:r>
              <w:rPr>
                <w:rFonts w:ascii="Times New Roman" w:cs="Times New Roman" w:eastAsia="Times New Roman" w:hAnsi="Times New Roman"/>
                <w:sz w:val="18"/>
                <w:szCs w:val="18"/>
                <w:color w:val="0000FF"/>
                <w:w w:val="99"/>
              </w:rPr>
              <w:t>18</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13</w:t>
            </w: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27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8"/>
              </w:rPr>
              <w:t>Goodwill and Other Intangible Assets</w:t>
            </w:r>
          </w:p>
        </w:tc>
        <w:tc>
          <w:tcPr>
            <w:tcW w:w="1320" w:type="dxa"/>
            <w:vAlign w:val="bottom"/>
            <w:gridSpan w:val="4"/>
          </w:tcPr>
          <w:p>
            <w:pPr>
              <w:spacing w:after="0"/>
              <w:rPr>
                <w:sz w:val="21"/>
                <w:szCs w:val="21"/>
                <w:color w:val="auto"/>
              </w:rPr>
            </w:pPr>
          </w:p>
        </w:tc>
        <w:tc>
          <w:tcPr>
            <w:tcW w:w="5800" w:type="dxa"/>
            <w:vAlign w:val="bottom"/>
            <w:gridSpan w:val="4"/>
          </w:tcPr>
          <w:p>
            <w:pPr>
              <w:jc w:val="center"/>
              <w:ind w:left="5530"/>
              <w:spacing w:after="0"/>
              <w:rPr>
                <w:sz w:val="20"/>
                <w:szCs w:val="20"/>
                <w:color w:val="auto"/>
              </w:rPr>
            </w:pPr>
            <w:r>
              <w:rPr>
                <w:rFonts w:ascii="Times New Roman" w:cs="Times New Roman" w:eastAsia="Times New Roman" w:hAnsi="Times New Roman"/>
                <w:sz w:val="18"/>
                <w:szCs w:val="18"/>
                <w:color w:val="0000FF"/>
                <w:w w:val="99"/>
              </w:rPr>
              <w:t>19</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14</w:t>
            </w: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0000FF"/>
                <w:w w:val="97"/>
              </w:rPr>
              <w:t>Debt</w:t>
            </w:r>
          </w:p>
        </w:tc>
        <w:tc>
          <w:tcPr>
            <w:tcW w:w="2380" w:type="dxa"/>
            <w:vAlign w:val="bottom"/>
            <w:gridSpan w:val="11"/>
          </w:tcPr>
          <w:p>
            <w:pPr>
              <w:spacing w:after="0"/>
              <w:rPr>
                <w:sz w:val="21"/>
                <w:szCs w:val="21"/>
                <w:color w:val="auto"/>
              </w:rPr>
            </w:pPr>
          </w:p>
        </w:tc>
        <w:tc>
          <w:tcPr>
            <w:tcW w:w="1320" w:type="dxa"/>
            <w:vAlign w:val="bottom"/>
            <w:gridSpan w:val="4"/>
          </w:tcPr>
          <w:p>
            <w:pPr>
              <w:spacing w:after="0"/>
              <w:rPr>
                <w:sz w:val="21"/>
                <w:szCs w:val="21"/>
                <w:color w:val="auto"/>
              </w:rPr>
            </w:pPr>
          </w:p>
        </w:tc>
        <w:tc>
          <w:tcPr>
            <w:tcW w:w="5800" w:type="dxa"/>
            <w:vAlign w:val="bottom"/>
            <w:gridSpan w:val="4"/>
          </w:tcPr>
          <w:p>
            <w:pPr>
              <w:jc w:val="center"/>
              <w:ind w:left="5530"/>
              <w:spacing w:after="0"/>
              <w:rPr>
                <w:sz w:val="20"/>
                <w:szCs w:val="20"/>
                <w:color w:val="auto"/>
              </w:rPr>
            </w:pPr>
            <w:r>
              <w:rPr>
                <w:rFonts w:ascii="Times New Roman" w:cs="Times New Roman" w:eastAsia="Times New Roman" w:hAnsi="Times New Roman"/>
                <w:sz w:val="18"/>
                <w:szCs w:val="18"/>
                <w:color w:val="0000FF"/>
                <w:w w:val="99"/>
              </w:rPr>
              <w:t>20</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15</w:t>
            </w:r>
          </w:p>
        </w:tc>
        <w:tc>
          <w:tcPr>
            <w:tcW w:w="360" w:type="dxa"/>
            <w:vAlign w:val="bottom"/>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8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3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Accumulated Other Comprehensive Income</w:t>
            </w:r>
          </w:p>
        </w:tc>
        <w:tc>
          <w:tcPr>
            <w:tcW w:w="880" w:type="dxa"/>
            <w:vAlign w:val="bottom"/>
            <w:gridSpan w:val="2"/>
          </w:tcPr>
          <w:p>
            <w:pPr>
              <w:spacing w:after="0"/>
              <w:rPr>
                <w:sz w:val="21"/>
                <w:szCs w:val="21"/>
                <w:color w:val="auto"/>
              </w:rPr>
            </w:pPr>
          </w:p>
        </w:tc>
        <w:tc>
          <w:tcPr>
            <w:tcW w:w="5800" w:type="dxa"/>
            <w:vAlign w:val="bottom"/>
            <w:gridSpan w:val="4"/>
          </w:tcPr>
          <w:p>
            <w:pPr>
              <w:jc w:val="center"/>
              <w:ind w:left="5530"/>
              <w:spacing w:after="0"/>
              <w:rPr>
                <w:sz w:val="20"/>
                <w:szCs w:val="20"/>
                <w:color w:val="auto"/>
              </w:rPr>
            </w:pPr>
            <w:r>
              <w:rPr>
                <w:rFonts w:ascii="Times New Roman" w:cs="Times New Roman" w:eastAsia="Times New Roman" w:hAnsi="Times New Roman"/>
                <w:sz w:val="18"/>
                <w:szCs w:val="18"/>
                <w:color w:val="0000FF"/>
                <w:w w:val="99"/>
              </w:rPr>
              <w:t>22</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16</w:t>
            </w: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3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Fair Value Measurements</w:t>
            </w:r>
          </w:p>
        </w:tc>
        <w:tc>
          <w:tcPr>
            <w:tcW w:w="880" w:type="dxa"/>
            <w:vAlign w:val="bottom"/>
            <w:gridSpan w:val="2"/>
          </w:tcPr>
          <w:p>
            <w:pPr>
              <w:spacing w:after="0"/>
              <w:rPr>
                <w:sz w:val="21"/>
                <w:szCs w:val="21"/>
                <w:color w:val="auto"/>
              </w:rPr>
            </w:pPr>
          </w:p>
        </w:tc>
        <w:tc>
          <w:tcPr>
            <w:tcW w:w="5800" w:type="dxa"/>
            <w:vAlign w:val="bottom"/>
            <w:gridSpan w:val="4"/>
          </w:tcPr>
          <w:p>
            <w:pPr>
              <w:jc w:val="center"/>
              <w:ind w:left="5530"/>
              <w:spacing w:after="0"/>
              <w:rPr>
                <w:sz w:val="20"/>
                <w:szCs w:val="20"/>
                <w:color w:val="auto"/>
              </w:rPr>
            </w:pPr>
            <w:r>
              <w:rPr>
                <w:rFonts w:ascii="Times New Roman" w:cs="Times New Roman" w:eastAsia="Times New Roman" w:hAnsi="Times New Roman"/>
                <w:sz w:val="18"/>
                <w:szCs w:val="18"/>
                <w:color w:val="0000FF"/>
                <w:w w:val="99"/>
              </w:rPr>
              <w:t>23</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17</w:t>
            </w:r>
          </w:p>
        </w:tc>
        <w:tc>
          <w:tcPr>
            <w:tcW w:w="1360" w:type="dxa"/>
            <w:vAlign w:val="bottom"/>
            <w:gridSpan w:val="4"/>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c>
          <w:tcPr>
            <w:tcW w:w="568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18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Hedging Activities</w:t>
            </w:r>
          </w:p>
        </w:tc>
        <w:tc>
          <w:tcPr>
            <w:tcW w:w="2220" w:type="dxa"/>
            <w:vAlign w:val="bottom"/>
            <w:gridSpan w:val="10"/>
          </w:tcPr>
          <w:p>
            <w:pPr>
              <w:spacing w:after="0"/>
              <w:rPr>
                <w:sz w:val="21"/>
                <w:szCs w:val="21"/>
                <w:color w:val="auto"/>
              </w:rPr>
            </w:pPr>
          </w:p>
        </w:tc>
        <w:tc>
          <w:tcPr>
            <w:tcW w:w="5800" w:type="dxa"/>
            <w:vAlign w:val="bottom"/>
            <w:gridSpan w:val="4"/>
          </w:tcPr>
          <w:p>
            <w:pPr>
              <w:jc w:val="center"/>
              <w:ind w:left="5530"/>
              <w:spacing w:after="0"/>
              <w:rPr>
                <w:sz w:val="20"/>
                <w:szCs w:val="20"/>
                <w:color w:val="auto"/>
              </w:rPr>
            </w:pPr>
            <w:r>
              <w:rPr>
                <w:rFonts w:ascii="Times New Roman" w:cs="Times New Roman" w:eastAsia="Times New Roman" w:hAnsi="Times New Roman"/>
                <w:sz w:val="18"/>
                <w:szCs w:val="18"/>
                <w:color w:val="0000FF"/>
                <w:w w:val="99"/>
              </w:rPr>
              <w:t>23</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18</w:t>
            </w: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40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Commitments and Contingencies</w:t>
            </w:r>
          </w:p>
        </w:tc>
        <w:tc>
          <w:tcPr>
            <w:tcW w:w="5800" w:type="dxa"/>
            <w:vAlign w:val="bottom"/>
            <w:gridSpan w:val="4"/>
          </w:tcPr>
          <w:p>
            <w:pPr>
              <w:jc w:val="center"/>
              <w:ind w:left="5530"/>
              <w:spacing w:after="0"/>
              <w:rPr>
                <w:sz w:val="20"/>
                <w:szCs w:val="20"/>
                <w:color w:val="auto"/>
              </w:rPr>
            </w:pPr>
            <w:r>
              <w:rPr>
                <w:rFonts w:ascii="Times New Roman" w:cs="Times New Roman" w:eastAsia="Times New Roman" w:hAnsi="Times New Roman"/>
                <w:sz w:val="18"/>
                <w:szCs w:val="18"/>
                <w:color w:val="0000FF"/>
                <w:w w:val="99"/>
              </w:rPr>
              <w:t>25</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90"/>
        </w:trPr>
        <w:tc>
          <w:tcPr>
            <w:tcW w:w="106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6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50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460" w:type="dxa"/>
            <w:vAlign w:val="bottom"/>
            <w:tcBorders>
              <w:bottom w:val="single" w:sz="8" w:color="9A9A9A"/>
            </w:tcBorders>
          </w:tcPr>
          <w:p>
            <w:pPr>
              <w:spacing w:after="0"/>
              <w:rPr>
                <w:sz w:val="19"/>
                <w:szCs w:val="19"/>
                <w:color w:val="auto"/>
              </w:rPr>
            </w:pPr>
          </w:p>
        </w:tc>
        <w:tc>
          <w:tcPr>
            <w:tcW w:w="540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 and Description of Business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used in these Notes to Condensed Consolidated Financial Statements of this Quarterly Report on Form 10-Q for the period ended June 30, 2025 (the “Report”), the terms “Quaker Houghton,” the “Company,” “we,” and “our” refer to Quaker Chemical Corporation (doing business as Quaker Houghton), its subsidiaries, and associated companies, unless the context otherwise requires.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are unaudited and have been prepared in accordance with generally accepted accounting principles in the United States (“U.S. GAAP”) for interim financial reporting and the United States Securities and Exchange Commission (“SEC”) regulations. Certain information and footnote disclosures normally included in financial statements prepared in accordance with U.S. GAAP have been condensed or omitted pursuant to such rules and regulations. In the opinion of management, the financial statements reflect all adjustments, which are of a normal recurring nature, necessary for a fair statement of the financial position, results of operations, and cash flows for the interim periods. The results for the six months ended June 30, 2025 are not necessarily indicative of the results to be expected for the full year. These financial statements should be read in conjunction with the Company’s Annual Report filed on Form 10-K for the year ended December 31, 2024 (the “2024 Form 10-K”). Certain prior year amounts have been reclassified to conform to the current year presentation.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Business</w:t>
      </w:r>
    </w:p>
    <w:p>
      <w:pPr>
        <w:spacing w:after="0" w:line="119"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18"/>
          <w:szCs w:val="18"/>
          <w:color w:val="auto"/>
        </w:rPr>
        <w:t>The Company was organized in 1918 and incorporated as a Pennsylvania business corporation in 1930. Quaker Houghton is the global leader in industrial process fluids. With a presence around the world, including operations in over 25 countries, the Company’s customers include thousands of the world’s most advanced and specialized steel, aluminum, automotive, aerospace, offshore, container, mining, and metalworking companies. Quaker Houghton develops, produces, and markets a broad range of formulated chemical specialty products and offers chemical management services, which the Company refers to as Fluidcare</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for various heavy industrial and manufacturing applications sold in its three reportable segments: (i) Americas; (ii) Europe, Middle East and Africa (“EMEA”); and (iii) Asia/Pacific.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Hyper-inflationary economies</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Argentina’s and Türkiye’s economies were considered hyper-inflationary under U.S. GAAP effective July 1, 2018 and April 1, 2022, respectively. As of and for the three and six months ended June 30, 2025, the Company’s Argentine and Turkish subsidiaries together represented approximately 1% and 2% of the Company’s consolidated total assets and net sales, respectively. During the three and six months ended June 30, 2025, the Company recorded $0.7 million and $1.2 million of remeasurement losses associated with the applicable currency conversions, respectively. Comparatively, during the three and six months ended June 30, 2024, the Company recorded $0.6 million of remeasurement losses and $0.3 million of remeasurement gains associated with the applicable currency conversions, respectively. These losses and gains were recorded within Other (expense) income, net, in the Company’s Condensed Consolidated Statements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Business Acquisitions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Dipsol</w:t>
      </w:r>
    </w:p>
    <w:p>
      <w:pPr>
        <w:spacing w:after="0" w:line="11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April 2025, the Company acquired Dipsol Chemicals Co., Ltd. and its subsidiaries, (“Dipsol”) for approximately $185.6 million (27.7 billion JPY), which included approximately $30.1 million (4.5 billion JPY) of acquired cash for a net purchase price of approximately $155.5 million (23.2 billion JPY). In July 2025, the Company satisfied all routine and customary post-closing conditions and finalized the purchase price with no adjustments. The Company funded the acquisition purchase price with borrowings under its existing credit facility. In connection with the acquisition of Dipsol, the Company entered into foreign currency forward contracts, which resulted in a $187.0 million cash payment and a $1.4 million foreign currency loss recognized during the six months ended June 30, 2025. Dipsol is headquartered in Japan and is a leading supplier of surface treatment and plating solutions and services primarily for the automotive and other industrial applications end markets. Dipsol has operations in several countries and these operations are reported within the Company’s respective Americas, EMEA, and Asia/Pacific segments. This acquisition expands the Company’s advanced solutions businesses in attractive end markets with solid growth characteristics and high barriers to entry. Dipsol also provides significant cross-selling opportunities and enhances the Company’s ability to meet the needs of our customers across the globe.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ind w:left="2620" w:right="2280" w:firstLine="406"/>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Continued </w:t>
      </w: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preliminary estimated fair values of Dipsol assets acquired and liabilities assumed:</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Dipsol Assets Acquired and Liabilities Assumed on April 1, 2025</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20320</wp:posOffset>
            </wp:positionV>
            <wp:extent cx="6669405"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69405" cy="179705"/>
                    </a:xfrm>
                    <a:prstGeom prst="rect">
                      <a:avLst/>
                    </a:prstGeom>
                    <a:noFill/>
                  </pic:spPr>
                </pic:pic>
              </a:graphicData>
            </a:graphic>
          </wp:anchor>
        </w:drawing>
      </w:r>
    </w:p>
    <w:p>
      <w:pPr>
        <w:spacing w:after="0" w:line="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Fair value of assets acquired</w:t>
      </w:r>
    </w:p>
    <w:p>
      <w:pPr>
        <w:spacing w:after="0" w:line="6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30,084</w:t>
            </w:r>
          </w:p>
        </w:tc>
      </w:tr>
      <w:tr>
        <w:trPr>
          <w:trHeight w:val="27"/>
        </w:trPr>
        <w:tc>
          <w:tcPr>
            <w:tcW w:w="8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8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16,481</w:t>
            </w:r>
          </w:p>
        </w:tc>
      </w:tr>
      <w:tr>
        <w:trPr>
          <w:trHeight w:val="243"/>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8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17,962</w:t>
            </w:r>
          </w:p>
        </w:tc>
      </w:tr>
      <w:tr>
        <w:trPr>
          <w:trHeight w:val="27"/>
        </w:trPr>
        <w:tc>
          <w:tcPr>
            <w:tcW w:w="8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r>
      <w:tr>
        <w:trPr>
          <w:trHeight w:val="243"/>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8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39,450</w:t>
            </w:r>
          </w:p>
        </w:tc>
      </w:tr>
      <w:tr>
        <w:trPr>
          <w:trHeight w:val="27"/>
        </w:trPr>
        <w:tc>
          <w:tcPr>
            <w:tcW w:w="8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Right-of-use lease assets</w:t>
            </w:r>
          </w:p>
        </w:tc>
        <w:tc>
          <w:tcPr>
            <w:tcW w:w="8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w:t>
            </w:r>
          </w:p>
        </w:tc>
      </w:tr>
      <w:tr>
        <w:trPr>
          <w:trHeight w:val="243"/>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8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r>
      <w:tr>
        <w:trPr>
          <w:trHeight w:val="27"/>
        </w:trPr>
        <w:tc>
          <w:tcPr>
            <w:tcW w:w="8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 in associated companies</w:t>
            </w:r>
          </w:p>
        </w:tc>
        <w:tc>
          <w:tcPr>
            <w:tcW w:w="8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w:t>
            </w:r>
          </w:p>
        </w:tc>
      </w:tr>
      <w:tr>
        <w:trPr>
          <w:trHeight w:val="243"/>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8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w:t>
            </w:r>
          </w:p>
        </w:tc>
      </w:tr>
      <w:tr>
        <w:trPr>
          <w:trHeight w:val="27"/>
        </w:trPr>
        <w:tc>
          <w:tcPr>
            <w:tcW w:w="82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3"/>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84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172,706</w:t>
            </w:r>
          </w:p>
        </w:tc>
      </w:tr>
      <w:tr>
        <w:trPr>
          <w:trHeight w:val="223"/>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liabilities assumed</w:t>
            </w:r>
          </w:p>
        </w:tc>
        <w:tc>
          <w:tcPr>
            <w:tcW w:w="8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27"/>
        </w:trPr>
        <w:tc>
          <w:tcPr>
            <w:tcW w:w="8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84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6,763</w:t>
            </w:r>
          </w:p>
        </w:tc>
      </w:tr>
      <w:tr>
        <w:trPr>
          <w:trHeight w:val="243"/>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compensation</w:t>
            </w:r>
          </w:p>
        </w:tc>
        <w:tc>
          <w:tcPr>
            <w:tcW w:w="8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r>
      <w:tr>
        <w:trPr>
          <w:trHeight w:val="27"/>
        </w:trPr>
        <w:tc>
          <w:tcPr>
            <w:tcW w:w="8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8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r>
      <w:tr>
        <w:trPr>
          <w:trHeight w:val="243"/>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8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r>
      <w:tr>
        <w:trPr>
          <w:trHeight w:val="27"/>
        </w:trPr>
        <w:tc>
          <w:tcPr>
            <w:tcW w:w="8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8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25,898</w:t>
            </w:r>
          </w:p>
        </w:tc>
      </w:tr>
      <w:tr>
        <w:trPr>
          <w:trHeight w:val="237"/>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84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37,504</w:t>
            </w:r>
          </w:p>
        </w:tc>
      </w:tr>
      <w:tr>
        <w:trPr>
          <w:trHeight w:val="27"/>
        </w:trPr>
        <w:tc>
          <w:tcPr>
            <w:tcW w:w="82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8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w:t>
            </w:r>
          </w:p>
        </w:tc>
      </w:tr>
      <w:tr>
        <w:trPr>
          <w:trHeight w:val="243"/>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8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52,862</w:t>
            </w:r>
          </w:p>
        </w:tc>
      </w:tr>
      <w:tr>
        <w:trPr>
          <w:trHeight w:val="27"/>
        </w:trPr>
        <w:tc>
          <w:tcPr>
            <w:tcW w:w="82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84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185,613</w:t>
            </w:r>
          </w:p>
        </w:tc>
      </w:tr>
      <w:tr>
        <w:trPr>
          <w:trHeight w:val="20"/>
        </w:trPr>
        <w:tc>
          <w:tcPr>
            <w:tcW w:w="8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June 30, 2025, the allocation of the purchase price has not been finalized and the one-year measurement period has not ended. Further adjustments may be necessary as a result of the Company’s ongoing assessment of additional information related to the fair value of assets acquired and liabilities assumed.</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allocated $55.0 million of the purchase price to intangible assets across the Americas, EMEA, and Asia/Pacific segments. Customer relationships, product technologies, and trademarks will be amortized over 14 years, 8 years, and 13 years, respectively. The following table presents the intangible assets recognized for each reportable segment:</w:t>
      </w:r>
    </w:p>
    <w:p>
      <w:pPr>
        <w:spacing w:after="0" w:line="118" w:lineRule="exact"/>
        <w:rPr>
          <w:sz w:val="20"/>
          <w:szCs w:val="20"/>
          <w:color w:val="auto"/>
        </w:rPr>
      </w:pPr>
    </w:p>
    <w:tbl>
      <w:tblPr>
        <w:tblLayout w:type="fixed"/>
        <w:tblInd w:w="92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30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EMEA</w:t>
            </w:r>
          </w:p>
        </w:tc>
        <w:tc>
          <w:tcPr>
            <w:tcW w:w="24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Asia/Pacific</w:t>
            </w:r>
          </w:p>
        </w:tc>
        <w:tc>
          <w:tcPr>
            <w:tcW w:w="20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43"/>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Technologies</w:t>
            </w:r>
          </w:p>
        </w:tc>
        <w:tc>
          <w:tcPr>
            <w:tcW w:w="2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w:t>
            </w:r>
          </w:p>
        </w:tc>
      </w:tr>
      <w:tr>
        <w:trPr>
          <w:trHeight w:val="27"/>
        </w:trPr>
        <w:tc>
          <w:tcPr>
            <w:tcW w:w="3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37"/>
        </w:trPr>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Intangibles</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51,300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55,000</w:t>
            </w:r>
          </w:p>
        </w:tc>
      </w:tr>
      <w:tr>
        <w:trPr>
          <w:trHeight w:val="27"/>
        </w:trPr>
        <w:tc>
          <w:tcPr>
            <w:tcW w:w="3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Company recognized $52.9 million of goodwill, comprised of $47.2 million in the Asia/Pacific segment, $5.3 million in the Americas segment, and $0.4 million in the EMEA segment. The goodwill is not deductible for tax purposes. The goodwill is primarily attributable to expected synergies.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sales included in the Condensed Consolidated Statement of Operations for the three and six months ended June 30, 2025 are $20.9 million.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ind w:left="2620" w:right="2280" w:firstLine="406"/>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Continued </w:t>
      </w: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Natech</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April 2025, the Company acquired Natech, Ltd., (“Natech”) for approximately $6.5 million, which includes an initial cash payment of $6.0 million and a deferred payment of $0.5 million, subject to routine and customary post-closing adjustments. Assets acquired included cash and cash equivalents of $1.5 million. Natech is based in the United Kingdom and is a manufacturer of surface treatment chemicals for a variety of industrial applications. Natech is reported as part of the EMEA reportable segment. This acquisition strengthens Quaker Houghton’s overall surface treatment product and application capabilities within Europe. The Company allocated $2.1 million of the purchase price to intangible assets and recognized $2.6 million of goodwill in the EMEA segment, none of which is deductible for tax purposes. The goodwill is primarily attributable to expected growth synergies. As of June 30, 2025, the allocation of the purchase price has not been finalized.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CSI</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February 2025, the Company acquired Chemical Solutions &amp; Innovations (Pty) Ltd. (“CSI”), for approximately $3.9 million, subject to routine and customary post-closing adjustments. CSI is based in South Africa and is a supplier of metalworking fluids and lubricants to the South African market. CSI is reported as part of the EMEA reportable segment. This acquisition strengthens Quaker Houghton’s position in South Africa and expands the Company’s presence in that region. The Company allocated $1.4 million of the purchase price to intangible assets and recognized $1.7 million of goodwill in the EMEA segment, none of which is deductible for tax purposes. The goodwill is primarily attributable to expected growth synergies. As of June 30, 2025, the allocation of the purchase price has not been finalized.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Previous Acquisitions</w:t>
      </w:r>
    </w:p>
    <w:p>
      <w:pPr>
        <w:spacing w:after="0" w:line="11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July 2024, the Company acquired the Sutai Group (“Sutai”), for approximately $16.2 million, including an initial cash payment of $14.6 million, subject to routine and customary post-closing adjustments related to working capital and net indebtedness levels, as well as earn-out provisions with an initial estimated payout of $1.6 million related to the finalization of 2024 and 2025 earnings. Assets acquired included cash and cash equivalents of $5.5 million. As of June 30, 2025, the Company has remaining earnout liabilities recorded on its Condensed Consolidated Balance Sheet of $0.8 million which we expect to settle by the end of 2025. Sutai is based in Japan and provides impregnation treatment products and services to the automotive and other industries. Sutai is reported as part of the Asia/Pacific segment. This acquisition strengthens Quaker Houghton’s technology portfolio, enabling the Company to better support and optimize production processes for customers across the Japanese, Asia Pacific and global markets. The Company allocated $3.1 million of the purchase price to intangible assets and recognized $5.5 million of goodwill in the Asia/Pacific segment, none of which is deductible for tax purposes. During the first quarter of 2025, the Company finalized the working capital settlements for an immaterial amount which impacted the residual goodwill recorded. The goodwill is primarily attributable to expected growth synergies. As of June 30, 2025, the allocation of the purchase price has been finalized.</w:t>
      </w:r>
    </w:p>
    <w:p>
      <w:pPr>
        <w:spacing w:after="0" w:line="8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During February 2024, the Company acquired I.K.V. Tribologie IKVT and its subsidiaries (“IKV”) for $35.2 million, including an initial cash payment of $29.7 million, subject to routine and customary post-closing adjustments related to working capital and net indebtedness levels as well as earn-out provisions related to the finalization of 2023 earnings. Assets acquired included approximately $4.8 million of cash and cash equivalents. IKV, which is part of the Company’s EMEA segment, specializes in high-performance lubricants and greases, including original equipment manufacturer first-fill greases that are primarily used in the automotive, aerospace, electronics, and other industrial markets. The acquisition of IKV strengthens the Company’s position in first-fill greases. The Company allocated $15.0 million of the purchase price to intangible assets, comprised of approximately $11.1 million of customer relationships to be amortized over 16 years; $3.2 million of product technologies to be amortized over 14 years; and $0.7 million of trademarks to be amortized over 5 years. In addition, the Company recognized $16.4 million of goodwill in the EMEA segment, none of which is deductible for tax purposes. The goodwill is primarily attributable to expected cost and growth synergies. In July 2024, the 2023 earnings were finalized, and the Company made a payment of $5.5 million in connection with the post-closing adjustments and earn-out provision. As of June 30, 2025, the allocation of the purchase price has been finalized.</w:t>
      </w:r>
    </w:p>
    <w:p>
      <w:pPr>
        <w:spacing w:after="0" w:line="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results of operations of Dipsol, Natech, CSI, Sutai and IKV subsequent to the acquisition dates are included in the unaudited Condensed Consolidated Statements of Operations for the three and six months ended June 30, 2025.</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recognized $0.8 million and $4.1 million, respectively, of acquisition-related expenses including legal, financial, consulting and other costs, compared to $0.2 million and $0.5 million, respectively, during the three and six months ended June 30, 2024. These costs are included in Selling, general and administrative expenses (“SG&amp;A”) in the Condensed Consolidated Statements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ind w:left="2620" w:right="2280" w:firstLine="406"/>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Continued </w:t>
      </w: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Recently Issued Accounting Standards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11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adopted Accounting Standards Update (“ASU”) 2023-07, </w:t>
      </w:r>
      <w:r>
        <w:rPr>
          <w:rFonts w:ascii="Times New Roman" w:cs="Times New Roman" w:eastAsia="Times New Roman" w:hAnsi="Times New Roman"/>
          <w:sz w:val="18"/>
          <w:szCs w:val="18"/>
          <w:i w:val="1"/>
          <w:iCs w:val="1"/>
          <w:color w:val="auto"/>
        </w:rPr>
        <w:t>Segment Reporting (Topic 280): Improvements to Reportable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beginning with the 2024 Form 10-K and the Form 10-Q for the period ended March 31, 2025. This ASU expands reportable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disclosure requirements, primarily through enhanced disclosures about significant segment expenses, defined as those expenses that are regularly provided to the Chief Operating Decision Maker (“CODM”) and included in the reported measure of segment profit or loss. The Company disclosed that the CODM, who is our Chief Executive Officer, assesses segment performance and makes decisions about allocating resources to its operating segments using segment operating earnings. Based on the Company’s assessment, the Company determined that product costs are significant segment expenses that are regularly provided to the CODM and included in segment operating earnings. The Company disclosed product costs and other operating expenses included in segment operating earnings by reportable segment. See Note 4, </w:t>
      </w:r>
      <w:r>
        <w:rPr>
          <w:rFonts w:ascii="Times New Roman" w:cs="Times New Roman" w:eastAsia="Times New Roman" w:hAnsi="Times New Roman"/>
          <w:sz w:val="18"/>
          <w:szCs w:val="18"/>
          <w:i w:val="1"/>
          <w:iCs w:val="1"/>
          <w:color w:val="auto"/>
        </w:rPr>
        <w:t>Business Segments</w:t>
      </w:r>
      <w:r>
        <w:rPr>
          <w:rFonts w:ascii="Times New Roman" w:cs="Times New Roman" w:eastAsia="Times New Roman" w:hAnsi="Times New Roman"/>
          <w:sz w:val="18"/>
          <w:szCs w:val="18"/>
          <w:color w:val="auto"/>
        </w:rPr>
        <w:t>, for additional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 Not Yet Adopted</w:t>
      </w:r>
    </w:p>
    <w:p>
      <w:pPr>
        <w:spacing w:after="0" w:line="11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in December 2023. This ASU requires public business entities (“PBEs”) to disclose additional information in specified categories with respect to the reconciliation of the effective tax rate to the statutory rate (the “rate reconciliation”) for federal, state, and foreign income taxes, requiring greater detail about individual reconciling items in the rate reconciliation to the extent the impact of those items exceeds a specified threshold. The ASU also requires PBEs to disclose income taxes paid disaggregated by federal, state, and foreign taxes. Further disaggregation is also required in jurisdictions where income taxes paid exceeds a certain threshold. ASU 2023-09 is effective for fiscal years beginning after December 15, 2024. The Company is currently evaluating the disclosure requirements of this standard and the impact on its condensed consolidated financial statements.</w:t>
      </w:r>
    </w:p>
    <w:p>
      <w:pPr>
        <w:spacing w:after="0" w:line="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FASB issued ASU 2024-03, </w:t>
      </w:r>
      <w:r>
        <w:rPr>
          <w:rFonts w:ascii="Times New Roman" w:cs="Times New Roman" w:eastAsia="Times New Roman" w:hAnsi="Times New Roman"/>
          <w:sz w:val="18"/>
          <w:szCs w:val="18"/>
          <w:i w:val="1"/>
          <w:iCs w:val="1"/>
          <w:color w:val="auto"/>
        </w:rPr>
        <w:t>Income Statement- Reporting Comprehensive Income- Expense Disaggregation Disclosures (Subtopic 220-40):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of Income Statement Expenses </w:t>
      </w:r>
      <w:r>
        <w:rPr>
          <w:rFonts w:ascii="Times New Roman" w:cs="Times New Roman" w:eastAsia="Times New Roman" w:hAnsi="Times New Roman"/>
          <w:sz w:val="18"/>
          <w:szCs w:val="18"/>
          <w:color w:val="auto"/>
        </w:rPr>
        <w:t>in November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ASU requires PBEs to disclose, in interim and annual reporting periods,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certain expenses in the notes to the financial statements, including disclosing the amounts of purchases of inventory, employee compensation, depreciation, and intangible asset amortization in each relevant expense caption. It also requires PBEs to disclose a qualitative description of the amounts remaining in relevant expense captions that are not separately disaggregated quantitatively and to disclose the total amount of selling expenses, and in the annual reporting periods, an entity’s definition of selling expenses. ASU 2024-03 is effective for fiscal years beginning after December 15, 2026, with early adoption permitted. The Company is currently evaluating the disclosure requirements of this standard and the impact on its condensed consolidated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Segments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operating segments, which are consistent with its reportable segments, reflect the structure of the Company’s internal organization and the manner by which the CODM, which is the Company’s Chief Executive Officer, allocates resources and assesses performance.</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CODM evaluates performance for the Company’s operating segments based on segment operating earnings. Segment operating earnings for each of the Company’s reportable segments are comprised of the segment’s net sales less directly related product costs and other operating expenses. Operating expenses not directly attributable to the net sales of each respective segment, such as certain corporate and administrative costs and restructuring charges, are not included in segment operating earnings. Other items not specifically identified with the Company’s reportable segments include Interest expense and Other (expense) income, net.</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CODM uses segment operating earnings to allocate resources for each segment predominantly in the annual budget and forecasting process. The CODM considers budget-to-actual variances on a monthly basis for segment operating earnings when making decisions about allocating capital and personnel to the segments. The CODM also uses segment operating earnings to assess the performance for each segment and in the compensation of certain employees.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Segment asset information is not regularly provided to or reviewed by the CODM. Therefore, the Company does not disclose segment asset information for each reportable segment.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ind w:left="2620" w:right="2280" w:firstLine="406"/>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Continued </w:t>
      </w: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5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performance of the Company’s reportable segments for the three and six months ended June 30, 2025 and 2024: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EMEA</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Asia/Pacific</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Totals</w:t>
            </w:r>
          </w:p>
        </w:tc>
      </w:tr>
      <w:tr>
        <w:trPr>
          <w:trHeight w:val="27"/>
        </w:trPr>
        <w:tc>
          <w:tcPr>
            <w:tcW w:w="5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right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right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right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221,062</w:t>
            </w:r>
          </w:p>
        </w:tc>
        <w:tc>
          <w:tcPr>
            <w:tcW w:w="60" w:type="dxa"/>
            <w:vAlign w:val="bottom"/>
          </w:tcPr>
          <w:p>
            <w:pPr>
              <w:spacing w:after="0"/>
              <w:rPr>
                <w:sz w:val="21"/>
                <w:szCs w:val="21"/>
                <w:color w:val="auto"/>
              </w:rPr>
            </w:pP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139,923</w:t>
            </w:r>
          </w:p>
        </w:tc>
        <w:tc>
          <w:tcPr>
            <w:tcW w:w="60" w:type="dxa"/>
            <w:vAlign w:val="bottom"/>
          </w:tcPr>
          <w:p>
            <w:pPr>
              <w:spacing w:after="0"/>
              <w:rPr>
                <w:sz w:val="21"/>
                <w:szCs w:val="21"/>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122,415</w:t>
            </w:r>
          </w:p>
        </w:tc>
        <w:tc>
          <w:tcPr>
            <w:tcW w:w="60" w:type="dxa"/>
            <w:vAlign w:val="bottom"/>
          </w:tcPr>
          <w:p>
            <w:pPr>
              <w:spacing w:after="0"/>
              <w:rPr>
                <w:sz w:val="21"/>
                <w:szCs w:val="21"/>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483,400</w:t>
            </w:r>
          </w:p>
        </w:tc>
      </w:tr>
      <w:tr>
        <w:trPr>
          <w:trHeight w:val="27"/>
        </w:trPr>
        <w:tc>
          <w:tcPr>
            <w:tcW w:w="5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Significant segment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7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Product costs </w:t>
            </w:r>
            <w:r>
              <w:rPr>
                <w:rFonts w:ascii="Times New Roman" w:cs="Times New Roman" w:eastAsia="Times New Roman" w:hAnsi="Times New Roman"/>
                <w:sz w:val="23"/>
                <w:szCs w:val="23"/>
                <w:color w:val="auto"/>
                <w:vertAlign w:val="superscript"/>
              </w:rPr>
              <w:t>(1) (3) (4)</w:t>
            </w:r>
          </w:p>
        </w:tc>
        <w:tc>
          <w:tcPr>
            <w:tcW w:w="220" w:type="dxa"/>
            <w:vAlign w:val="bottom"/>
          </w:tcPr>
          <w:p>
            <w:pPr>
              <w:spacing w:after="0"/>
              <w:rPr>
                <w:sz w:val="23"/>
                <w:szCs w:val="23"/>
                <w:color w:val="auto"/>
              </w:rPr>
            </w:pPr>
          </w:p>
        </w:tc>
        <w:tc>
          <w:tcPr>
            <w:tcW w:w="11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109,500</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74,739</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67,731</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251,970</w:t>
            </w:r>
          </w:p>
        </w:tc>
      </w:tr>
      <w:tr>
        <w:trPr>
          <w:trHeight w:val="27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Other operating expenses </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right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52,586</w:t>
            </w:r>
          </w:p>
        </w:tc>
        <w:tc>
          <w:tcPr>
            <w:tcW w:w="6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40,189</w:t>
            </w:r>
          </w:p>
        </w:tc>
        <w:tc>
          <w:tcPr>
            <w:tcW w:w="6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25,969</w:t>
            </w:r>
          </w:p>
        </w:tc>
        <w:tc>
          <w:tcPr>
            <w:tcW w:w="6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118,744</w:t>
            </w:r>
          </w:p>
        </w:tc>
      </w:tr>
      <w:tr>
        <w:trPr>
          <w:trHeight w:val="237"/>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earnings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58,976</w:t>
            </w:r>
          </w:p>
        </w:tc>
        <w:tc>
          <w:tcPr>
            <w:tcW w:w="60" w:type="dxa"/>
            <w:vAlign w:val="bottom"/>
          </w:tcPr>
          <w:p>
            <w:pPr>
              <w:spacing w:after="0"/>
              <w:rPr>
                <w:sz w:val="20"/>
                <w:szCs w:val="20"/>
                <w:color w:val="auto"/>
              </w:rPr>
            </w:pP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24,995</w:t>
            </w:r>
          </w:p>
        </w:tc>
        <w:tc>
          <w:tcPr>
            <w:tcW w:w="60" w:type="dxa"/>
            <w:vAlign w:val="bottom"/>
          </w:tcPr>
          <w:p>
            <w:pPr>
              <w:spacing w:after="0"/>
              <w:rPr>
                <w:sz w:val="20"/>
                <w:szCs w:val="20"/>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28,715</w:t>
            </w:r>
          </w:p>
        </w:tc>
        <w:tc>
          <w:tcPr>
            <w:tcW w:w="60" w:type="dxa"/>
            <w:vAlign w:val="bottom"/>
          </w:tcPr>
          <w:p>
            <w:pPr>
              <w:spacing w:after="0"/>
              <w:rPr>
                <w:sz w:val="20"/>
                <w:szCs w:val="20"/>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112,686</w:t>
            </w:r>
          </w:p>
        </w:tc>
      </w:tr>
      <w:tr>
        <w:trPr>
          <w:trHeight w:val="27"/>
        </w:trPr>
        <w:tc>
          <w:tcPr>
            <w:tcW w:w="5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5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right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434,773</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269,201</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222,340</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926,314</w:t>
            </w: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Significant segment expenses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Product costs </w:t>
            </w:r>
            <w:r>
              <w:rPr>
                <w:rFonts w:ascii="Times New Roman" w:cs="Times New Roman" w:eastAsia="Times New Roman" w:hAnsi="Times New Roman"/>
                <w:sz w:val="23"/>
                <w:szCs w:val="23"/>
                <w:color w:val="auto"/>
                <w:vertAlign w:val="superscript"/>
              </w:rPr>
              <w:t>(1) (3) (4)</w:t>
            </w:r>
          </w:p>
        </w:tc>
        <w:tc>
          <w:tcPr>
            <w:tcW w:w="220" w:type="dxa"/>
            <w:vAlign w:val="bottom"/>
            <w:shd w:val="clear" w:color="auto" w:fill="CCEEFF"/>
          </w:tcPr>
          <w:p>
            <w:pPr>
              <w:spacing w:after="0"/>
              <w:rPr>
                <w:sz w:val="23"/>
                <w:szCs w:val="23"/>
                <w:color w:val="auto"/>
              </w:rPr>
            </w:pPr>
          </w:p>
        </w:tc>
        <w:tc>
          <w:tcPr>
            <w:tcW w:w="1160" w:type="dxa"/>
            <w:vAlign w:val="bottom"/>
            <w:tcBorders>
              <w:right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214,005</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144,841</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120,829</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479,675</w:t>
            </w:r>
          </w:p>
        </w:tc>
      </w:tr>
      <w:tr>
        <w:trPr>
          <w:trHeight w:val="270"/>
        </w:trPr>
        <w:tc>
          <w:tcPr>
            <w:tcW w:w="5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 xml:space="preserve">Other operating expenses </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103,330</w:t>
            </w:r>
          </w:p>
        </w:tc>
        <w:tc>
          <w:tcPr>
            <w:tcW w:w="6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75,972</w:t>
            </w:r>
          </w:p>
        </w:tc>
        <w:tc>
          <w:tcPr>
            <w:tcW w:w="6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46,866</w:t>
            </w:r>
          </w:p>
        </w:tc>
        <w:tc>
          <w:tcPr>
            <w:tcW w:w="6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226,168</w:t>
            </w:r>
          </w:p>
        </w:tc>
      </w:tr>
      <w:tr>
        <w:trPr>
          <w:trHeight w:val="263"/>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earnings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right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117,438</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48,388</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54,645</w:t>
            </w:r>
          </w:p>
        </w:tc>
        <w:tc>
          <w:tcPr>
            <w:tcW w:w="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220,471</w:t>
            </w:r>
          </w:p>
        </w:tc>
      </w:tr>
      <w:tr>
        <w:trPr>
          <w:trHeight w:val="466"/>
        </w:trPr>
        <w:tc>
          <w:tcPr>
            <w:tcW w:w="54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EMEA</w:t>
            </w:r>
          </w:p>
        </w:tc>
        <w:tc>
          <w:tcPr>
            <w:tcW w:w="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Asia/Pacific</w:t>
            </w:r>
          </w:p>
        </w:tc>
        <w:tc>
          <w:tcPr>
            <w:tcW w:w="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Totals</w:t>
            </w:r>
          </w:p>
        </w:tc>
      </w:tr>
      <w:tr>
        <w:trPr>
          <w:trHeight w:val="27"/>
        </w:trPr>
        <w:tc>
          <w:tcPr>
            <w:tcW w:w="5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right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right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right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223,517</w:t>
            </w:r>
          </w:p>
        </w:tc>
        <w:tc>
          <w:tcPr>
            <w:tcW w:w="60" w:type="dxa"/>
            <w:vAlign w:val="bottom"/>
          </w:tcPr>
          <w:p>
            <w:pPr>
              <w:spacing w:after="0"/>
              <w:rPr>
                <w:sz w:val="21"/>
                <w:szCs w:val="21"/>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138,001</w:t>
            </w:r>
          </w:p>
        </w:tc>
        <w:tc>
          <w:tcPr>
            <w:tcW w:w="60" w:type="dxa"/>
            <w:vAlign w:val="bottom"/>
          </w:tcPr>
          <w:p>
            <w:pPr>
              <w:spacing w:after="0"/>
              <w:rPr>
                <w:sz w:val="21"/>
                <w:szCs w:val="21"/>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102,049</w:t>
            </w:r>
          </w:p>
        </w:tc>
        <w:tc>
          <w:tcPr>
            <w:tcW w:w="60" w:type="dxa"/>
            <w:vAlign w:val="bottom"/>
          </w:tcPr>
          <w:p>
            <w:pPr>
              <w:spacing w:after="0"/>
              <w:rPr>
                <w:sz w:val="21"/>
                <w:szCs w:val="21"/>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463,567</w:t>
            </w:r>
          </w:p>
        </w:tc>
      </w:tr>
      <w:tr>
        <w:trPr>
          <w:trHeight w:val="27"/>
        </w:trPr>
        <w:tc>
          <w:tcPr>
            <w:tcW w:w="5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Significant segment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7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Product costs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3"/>
                <w:szCs w:val="23"/>
                <w:color w:val="auto"/>
              </w:rPr>
            </w:pPr>
          </w:p>
        </w:tc>
        <w:tc>
          <w:tcPr>
            <w:tcW w:w="1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107,973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72,391</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231,791</w:t>
            </w:r>
          </w:p>
        </w:tc>
      </w:tr>
      <w:tr>
        <w:trPr>
          <w:trHeight w:val="27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Other operating expenses </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right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51,407</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38,958</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19,622</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109,987</w:t>
            </w:r>
          </w:p>
        </w:tc>
      </w:tr>
      <w:tr>
        <w:trPr>
          <w:trHeight w:val="237"/>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earnings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64,137</w:t>
            </w:r>
          </w:p>
        </w:tc>
        <w:tc>
          <w:tcPr>
            <w:tcW w:w="60" w:type="dxa"/>
            <w:vAlign w:val="bottom"/>
          </w:tcPr>
          <w:p>
            <w:pPr>
              <w:spacing w:after="0"/>
              <w:rPr>
                <w:sz w:val="20"/>
                <w:szCs w:val="20"/>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26,652</w:t>
            </w:r>
          </w:p>
        </w:tc>
        <w:tc>
          <w:tcPr>
            <w:tcW w:w="60" w:type="dxa"/>
            <w:vAlign w:val="bottom"/>
          </w:tcPr>
          <w:p>
            <w:pPr>
              <w:spacing w:after="0"/>
              <w:rPr>
                <w:sz w:val="20"/>
                <w:szCs w:val="20"/>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60" w:type="dxa"/>
            <w:vAlign w:val="bottom"/>
          </w:tcPr>
          <w:p>
            <w:pPr>
              <w:spacing w:after="0"/>
              <w:rPr>
                <w:sz w:val="20"/>
                <w:szCs w:val="20"/>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121,789</w:t>
            </w:r>
          </w:p>
        </w:tc>
      </w:tr>
      <w:tr>
        <w:trPr>
          <w:trHeight w:val="27"/>
        </w:trPr>
        <w:tc>
          <w:tcPr>
            <w:tcW w:w="5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5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right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453,271</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276,423</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203,632</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933,326</w:t>
            </w: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Significant segment expenses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Product costs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23"/>
                <w:szCs w:val="23"/>
                <w:color w:val="auto"/>
              </w:rPr>
            </w:pPr>
          </w:p>
        </w:tc>
        <w:tc>
          <w:tcPr>
            <w:tcW w:w="1160" w:type="dxa"/>
            <w:vAlign w:val="bottom"/>
            <w:tcBorders>
              <w:right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219,048</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143,763</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102,802</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465,613</w:t>
            </w:r>
          </w:p>
        </w:tc>
      </w:tr>
      <w:tr>
        <w:trPr>
          <w:trHeight w:val="270"/>
        </w:trPr>
        <w:tc>
          <w:tcPr>
            <w:tcW w:w="5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 xml:space="preserve">Other operating expenses </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103,317</w:t>
            </w:r>
          </w:p>
        </w:tc>
        <w:tc>
          <w:tcPr>
            <w:tcW w:w="6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76,437</w:t>
            </w:r>
          </w:p>
        </w:tc>
        <w:tc>
          <w:tcPr>
            <w:tcW w:w="6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39,453</w:t>
            </w:r>
          </w:p>
        </w:tc>
        <w:tc>
          <w:tcPr>
            <w:tcW w:w="6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219,207</w:t>
            </w:r>
          </w:p>
        </w:tc>
      </w:tr>
      <w:tr>
        <w:trPr>
          <w:trHeight w:val="244"/>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earnings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right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130,906</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56,223</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61,377</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248,506</w:t>
            </w:r>
          </w:p>
        </w:tc>
      </w:tr>
      <w:tr>
        <w:trPr>
          <w:trHeight w:val="20"/>
        </w:trPr>
        <w:tc>
          <w:tcPr>
            <w:tcW w:w="5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171" w:lineRule="exact"/>
        <w:rPr>
          <w:sz w:val="20"/>
          <w:szCs w:val="20"/>
          <w:color w:val="auto"/>
        </w:rPr>
      </w:pPr>
    </w:p>
    <w:p>
      <w:pPr>
        <w:ind w:firstLine="8"/>
        <w:spacing w:after="0" w:line="229" w:lineRule="auto"/>
        <w:tabs>
          <w:tab w:leader="none" w:pos="192"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Product costs include the costs of raw materials and are recorded in Cost of goods sold in the Company’s Condensed Consolidated Statements of Operations.</w:t>
      </w:r>
    </w:p>
    <w:p>
      <w:pPr>
        <w:spacing w:after="0" w:line="90" w:lineRule="exact"/>
        <w:rPr>
          <w:rFonts w:ascii="Times New Roman" w:cs="Times New Roman" w:eastAsia="Times New Roman" w:hAnsi="Times New Roman"/>
          <w:sz w:val="23"/>
          <w:szCs w:val="23"/>
          <w:color w:val="auto"/>
          <w:vertAlign w:val="superscript"/>
        </w:rPr>
      </w:pPr>
    </w:p>
    <w:p>
      <w:pPr>
        <w:ind w:right="20" w:firstLine="8"/>
        <w:spacing w:after="0" w:line="229" w:lineRule="auto"/>
        <w:tabs>
          <w:tab w:leader="none" w:pos="192"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operating expenses include overhead costs of operating the Company’s production facilities and providing chemical management services to customers and direct SG&amp;A.</w:t>
      </w:r>
    </w:p>
    <w:p>
      <w:pPr>
        <w:spacing w:after="0" w:line="90" w:lineRule="exact"/>
        <w:rPr>
          <w:rFonts w:ascii="Times New Roman" w:cs="Times New Roman" w:eastAsia="Times New Roman" w:hAnsi="Times New Roman"/>
          <w:sz w:val="23"/>
          <w:szCs w:val="23"/>
          <w:color w:val="auto"/>
          <w:vertAlign w:val="superscript"/>
        </w:rPr>
      </w:pPr>
    </w:p>
    <w:p>
      <w:pPr>
        <w:ind w:right="160" w:firstLine="8"/>
        <w:spacing w:after="0" w:line="287" w:lineRule="auto"/>
        <w:tabs>
          <w:tab w:leader="none" w:pos="165"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Product costs includes the $6.0 million amortization of the fair value step-up in Dipsol's inventories as a result of the acquisition, which is comprised of approximately $2.6 million in the Americas segment, $3.0 million in the Asia/Pacific segment, and $0.4 million in the EMEA segment.</w:t>
      </w:r>
    </w:p>
    <w:p>
      <w:pPr>
        <w:spacing w:after="0" w:line="44" w:lineRule="exact"/>
        <w:rPr>
          <w:rFonts w:ascii="Times New Roman" w:cs="Times New Roman" w:eastAsia="Times New Roman" w:hAnsi="Times New Roman"/>
          <w:sz w:val="20"/>
          <w:szCs w:val="20"/>
          <w:color w:val="auto"/>
          <w:vertAlign w:val="superscript"/>
        </w:rPr>
      </w:pPr>
    </w:p>
    <w:p>
      <w:pPr>
        <w:ind w:right="500" w:firstLine="8"/>
        <w:spacing w:after="0" w:line="287" w:lineRule="auto"/>
        <w:tabs>
          <w:tab w:leader="none" w:pos="165"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Product costs includes a $3.6 million gain related to immaterial out-of-period adjustments for inventory, which is comprised of approximately $1.4 million in the Americas segment and $2.2 million in the EMEA segment.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ind w:left="2620" w:right="2280" w:firstLine="406"/>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Continued </w:t>
      </w: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5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Company’s segment operating earnings to (loss) income before taxes and equity in net income of associated companies in the Company’s Condensed Consolidated Statements of Operations for the three and six months ended June 30, 2025 and 2024: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 w:type="dxa"/>
            <w:vAlign w:val="bottom"/>
          </w:tcPr>
          <w:p>
            <w:pPr>
              <w:spacing w:after="0"/>
              <w:rPr>
                <w:sz w:val="20"/>
                <w:szCs w:val="20"/>
                <w:color w:val="auto"/>
              </w:rPr>
            </w:pPr>
          </w:p>
        </w:tc>
        <w:tc>
          <w:tcPr>
            <w:tcW w:w="266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earnings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121,789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220,471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248,506</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related charges, net</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(88,840)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Non-operating and administrative expenses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(47,584)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(101,577)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(101,760)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of corporate assets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(15,436)</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(31,557)</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(30,594)</w:t>
            </w:r>
          </w:p>
        </w:tc>
        <w:tc>
          <w:tcPr>
            <w:tcW w:w="0" w:type="dxa"/>
            <w:vAlign w:val="bottom"/>
          </w:tcPr>
          <w:p>
            <w:pPr>
              <w:spacing w:after="0"/>
              <w:rPr>
                <w:sz w:val="1"/>
                <w:szCs w:val="1"/>
                <w:color w:val="auto"/>
              </w:rPr>
            </w:pPr>
          </w:p>
        </w:tc>
      </w:tr>
      <w:tr>
        <w:trPr>
          <w:trHeight w:val="237"/>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(52,510)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58,449</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(24,886)</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113,975</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(21,578)</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240" w:type="dxa"/>
            <w:vAlign w:val="bottom"/>
            <w:shd w:val="clear" w:color="auto" w:fill="CCEEFF"/>
          </w:tcPr>
          <w:p>
            <w:pPr>
              <w:ind w:left="80"/>
              <w:spacing w:after="0" w:line="201" w:lineRule="exact"/>
              <w:rPr>
                <w:sz w:val="20"/>
                <w:szCs w:val="20"/>
                <w:color w:val="auto"/>
              </w:rPr>
            </w:pPr>
            <w:r>
              <w:rPr>
                <w:rFonts w:ascii="Times New Roman" w:cs="Times New Roman" w:eastAsia="Times New Roman" w:hAnsi="Times New Roman"/>
                <w:sz w:val="18"/>
                <w:szCs w:val="18"/>
                <w:b w:val="1"/>
                <w:bCs w:val="1"/>
                <w:color w:val="auto"/>
              </w:rPr>
              <w:t>(Loss) income before taxes and equity in net income of associated</w:t>
            </w: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(65,942)</w:t>
            </w:r>
          </w:p>
        </w:tc>
        <w:tc>
          <w:tcPr>
            <w:tcW w:w="10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48,117</w:t>
            </w:r>
          </w:p>
        </w:tc>
        <w:tc>
          <w:tcPr>
            <w:tcW w:w="8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(48,572)</w:t>
            </w:r>
          </w:p>
        </w:tc>
        <w:tc>
          <w:tcPr>
            <w:tcW w:w="8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93,899</w:t>
            </w:r>
          </w:p>
        </w:tc>
        <w:tc>
          <w:tcPr>
            <w:tcW w:w="0" w:type="dxa"/>
            <w:vAlign w:val="bottom"/>
          </w:tcPr>
          <w:p>
            <w:pPr>
              <w:spacing w:after="0"/>
              <w:rPr>
                <w:sz w:val="1"/>
                <w:szCs w:val="1"/>
                <w:color w:val="auto"/>
              </w:rPr>
            </w:pPr>
          </w:p>
        </w:tc>
      </w:tr>
      <w:tr>
        <w:trPr>
          <w:trHeight w:val="258"/>
        </w:trPr>
        <w:tc>
          <w:tcPr>
            <w:tcW w:w="5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companies</w:t>
            </w:r>
          </w:p>
        </w:tc>
        <w:tc>
          <w:tcPr>
            <w:tcW w:w="200" w:type="dxa"/>
            <w:vAlign w:val="bottom"/>
            <w:tcBorders>
              <w:bottom w:val="single" w:sz="8" w:color="auto"/>
            </w:tcBorders>
            <w:vMerge w:val="continue"/>
            <w:shd w:val="clear" w:color="auto" w:fill="CCEEFF"/>
          </w:tcPr>
          <w:p>
            <w:pPr>
              <w:spacing w:after="0"/>
              <w:rPr>
                <w:sz w:val="22"/>
                <w:szCs w:val="22"/>
                <w:color w:val="auto"/>
              </w:rPr>
            </w:pPr>
          </w:p>
        </w:tc>
        <w:tc>
          <w:tcPr>
            <w:tcW w:w="120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vMerge w:val="continue"/>
            <w:shd w:val="clear" w:color="auto" w:fill="CCEEFF"/>
          </w:tcPr>
          <w:p>
            <w:pPr>
              <w:spacing w:after="0"/>
              <w:rPr>
                <w:sz w:val="22"/>
                <w:szCs w:val="22"/>
                <w:color w:val="auto"/>
              </w:rPr>
            </w:pPr>
          </w:p>
        </w:tc>
        <w:tc>
          <w:tcPr>
            <w:tcW w:w="110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vMerge w:val="continue"/>
            <w:shd w:val="clear" w:color="auto" w:fill="CCEEFF"/>
          </w:tcPr>
          <w:p>
            <w:pPr>
              <w:spacing w:after="0"/>
              <w:rPr>
                <w:sz w:val="22"/>
                <w:szCs w:val="22"/>
                <w:color w:val="auto"/>
              </w:rPr>
            </w:pPr>
          </w:p>
        </w:tc>
        <w:tc>
          <w:tcPr>
            <w:tcW w:w="116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vMerge w:val="continue"/>
            <w:shd w:val="clear" w:color="auto" w:fill="CCEEFF"/>
          </w:tcPr>
          <w:p>
            <w:pPr>
              <w:spacing w:after="0"/>
              <w:rPr>
                <w:sz w:val="22"/>
                <w:szCs w:val="22"/>
                <w:color w:val="auto"/>
              </w:rPr>
            </w:pPr>
          </w:p>
        </w:tc>
        <w:tc>
          <w:tcPr>
            <w:tcW w:w="110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the Company’s reportable segments’ depreciation for the three and six months ended June 30, 2025 and 2024: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6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 w:type="dxa"/>
            <w:vAlign w:val="bottom"/>
          </w:tcPr>
          <w:p>
            <w:pPr>
              <w:spacing w:after="0"/>
              <w:rPr>
                <w:sz w:val="20"/>
                <w:szCs w:val="20"/>
                <w:color w:val="auto"/>
              </w:rPr>
            </w:pPr>
          </w:p>
        </w:tc>
        <w:tc>
          <w:tcPr>
            <w:tcW w:w="276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5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2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 segment depreciation</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6,975</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12,721</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Net Sales and Revenue Recognition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significant portion of the Company’s revenues are realized from the sale of process fluids and services to manufacturers of steel, aluminum, automotive, aerospace, industrial and agricultural equipment, and durable goods. As previously disclosed in the Company’s 2024 Form 10-K, the Company’s five largest customers combined (each composed of multiple subsidiaries or divisions with semiautonomous purchasing authority) accounted for approximately 12% of consolidated net sales for 2024, with its largest customer accounting for approximately 3% of consolidated net sales.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had no material contract assets recorded on its Condensed Consolidated Balance Sheets as of June 30, 2025 or December 31, 2024.</w:t>
      </w:r>
    </w:p>
    <w:p>
      <w:pPr>
        <w:spacing w:after="0" w:line="11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had approximately $2.3 million and $4.2 million of deferred revenue as of June 30, 2025 and December 31, 2024, respectively. For the six months ended June 30, 2025, the Company satisfied materially all of the associated performance obligations and recognized into revenue materially all advance payments received and recorded as of December 31, 2024.</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sells its industrial process fluids, specialty chemicals and technical expertise as a global product portfolio. The Company generally manages and evaluates its performance by reportable segment first, and then by customer industries. Net sales of each of the Company’s major product lines are generally spread throughout all three of the Company’s reportable segments, and in most cases, are approximately proportionate to the level of total sales in each reportable segment.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ind w:left="2620" w:right="2280" w:firstLine="406"/>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Continued </w:t>
      </w: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disaggregate the Company’s net sales by segment and customer industry.</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4"/>
        </w:trPr>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38"/>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Industries</w:t>
            </w:r>
          </w:p>
        </w:tc>
        <w:tc>
          <w:tcPr>
            <w:tcW w:w="20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26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EMEA</w:t>
            </w:r>
          </w:p>
        </w:tc>
        <w:tc>
          <w:tcPr>
            <w:tcW w:w="18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Asia/Pacific</w:t>
            </w:r>
          </w:p>
        </w:tc>
        <w:tc>
          <w:tcPr>
            <w:tcW w:w="12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154,955</w:t>
            </w:r>
          </w:p>
        </w:tc>
      </w:tr>
      <w:tr>
        <w:trPr>
          <w:trHeight w:val="243"/>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Metalworking and other</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158,237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103,575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328,445</w:t>
            </w:r>
          </w:p>
        </w:tc>
      </w:tr>
      <w:tr>
        <w:trPr>
          <w:trHeight w:val="27"/>
        </w:trPr>
        <w:tc>
          <w:tcPr>
            <w:tcW w:w="5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5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221,062</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139,923</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122,415</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483,400</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4"/>
        </w:trPr>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38"/>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Industries</w:t>
            </w:r>
          </w:p>
        </w:tc>
        <w:tc>
          <w:tcPr>
            <w:tcW w:w="20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100" w:type="dxa"/>
            <w:vAlign w:val="bottom"/>
          </w:tcPr>
          <w:p>
            <w:pPr>
              <w:spacing w:after="0"/>
              <w:rPr>
                <w:sz w:val="20"/>
                <w:szCs w:val="20"/>
                <w:color w:val="auto"/>
              </w:rPr>
            </w:pP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EMEA</w:t>
            </w:r>
          </w:p>
        </w:tc>
        <w:tc>
          <w:tcPr>
            <w:tcW w:w="18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Asia/Pacific</w:t>
            </w:r>
          </w:p>
        </w:tc>
        <w:tc>
          <w:tcPr>
            <w:tcW w:w="12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127,121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105,649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302,078</w:t>
            </w:r>
          </w:p>
        </w:tc>
      </w:tr>
      <w:tr>
        <w:trPr>
          <w:trHeight w:val="243"/>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Metalworking and other</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307,652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199,893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116,691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624,236</w:t>
            </w:r>
          </w:p>
        </w:tc>
      </w:tr>
      <w:tr>
        <w:trPr>
          <w:trHeight w:val="27"/>
        </w:trPr>
        <w:tc>
          <w:tcPr>
            <w:tcW w:w="5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9"/>
        </w:trPr>
        <w:tc>
          <w:tcPr>
            <w:tcW w:w="5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434,773</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269,201</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222,340</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926,314</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4"/>
        </w:trPr>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38"/>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Industries</w:t>
            </w:r>
          </w:p>
        </w:tc>
        <w:tc>
          <w:tcPr>
            <w:tcW w:w="20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26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EMEA</w:t>
            </w:r>
          </w:p>
        </w:tc>
        <w:tc>
          <w:tcPr>
            <w:tcW w:w="18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Asia/Pacific</w:t>
            </w:r>
          </w:p>
        </w:tc>
        <w:tc>
          <w:tcPr>
            <w:tcW w:w="12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149,210</w:t>
            </w:r>
          </w:p>
        </w:tc>
      </w:tr>
      <w:tr>
        <w:trPr>
          <w:trHeight w:val="243"/>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Metalworking and other</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159,764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102,694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314,357</w:t>
            </w:r>
          </w:p>
        </w:tc>
      </w:tr>
      <w:tr>
        <w:trPr>
          <w:trHeight w:val="27"/>
        </w:trPr>
        <w:tc>
          <w:tcPr>
            <w:tcW w:w="5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5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223,517</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138,001</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102,049</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463,567</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4"/>
        </w:trPr>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38"/>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Industries</w:t>
            </w:r>
          </w:p>
        </w:tc>
        <w:tc>
          <w:tcPr>
            <w:tcW w:w="20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100" w:type="dxa"/>
            <w:vAlign w:val="bottom"/>
          </w:tcPr>
          <w:p>
            <w:pPr>
              <w:spacing w:after="0"/>
              <w:rPr>
                <w:sz w:val="20"/>
                <w:szCs w:val="20"/>
                <w:color w:val="auto"/>
              </w:rPr>
            </w:pP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EMEA</w:t>
            </w:r>
          </w:p>
        </w:tc>
        <w:tc>
          <w:tcPr>
            <w:tcW w:w="18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Asia/Pacific</w:t>
            </w:r>
          </w:p>
        </w:tc>
        <w:tc>
          <w:tcPr>
            <w:tcW w:w="12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129,779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101,061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298,967</w:t>
            </w:r>
          </w:p>
        </w:tc>
      </w:tr>
      <w:tr>
        <w:trPr>
          <w:trHeight w:val="243"/>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Metalworking and other</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323,492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208,296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102,571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634,359</w:t>
            </w:r>
          </w:p>
        </w:tc>
      </w:tr>
      <w:tr>
        <w:trPr>
          <w:trHeight w:val="27"/>
        </w:trPr>
        <w:tc>
          <w:tcPr>
            <w:tcW w:w="5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5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453,271</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276,423</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203,632</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933,326</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Leases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operating leases for certain facilities, vehicles, and machinery and equipment with remaining lease terms up to 10 years. Operating lease expense is recognized on a straight-line basis over the lease term. In addition, the Company has certain land use leases with remaining lease terms up to 90 years.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had no material variable lease costs, sublease income, or finance leases for the three and six months ended June 30, 2025 and 2024. The components of the Company’s lease expense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60" w:type="dxa"/>
            <w:vAlign w:val="bottom"/>
            <w:gridSpan w:val="4"/>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60" w:type="dxa"/>
            <w:vAlign w:val="bottom"/>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36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0" w:type="dxa"/>
            <w:vAlign w:val="bottom"/>
            <w:gridSpan w:val="3"/>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60" w:type="dxa"/>
            <w:vAlign w:val="bottom"/>
          </w:tcPr>
          <w:p>
            <w:pPr>
              <w:spacing w:after="0"/>
              <w:rPr>
                <w:sz w:val="20"/>
                <w:szCs w:val="20"/>
                <w:color w:val="auto"/>
              </w:rPr>
            </w:pPr>
          </w:p>
        </w:tc>
      </w:tr>
      <w:tr>
        <w:trPr>
          <w:trHeight w:val="27"/>
        </w:trPr>
        <w:tc>
          <w:tcPr>
            <w:tcW w:w="36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3680" w:type="dxa"/>
            <w:vAlign w:val="bottom"/>
          </w:tcPr>
          <w:p>
            <w:pPr>
              <w:spacing w:after="0"/>
              <w:rPr>
                <w:sz w:val="20"/>
                <w:szCs w:val="20"/>
                <w:color w:val="auto"/>
              </w:rPr>
            </w:pP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368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2820" w:type="dxa"/>
            <w:vAlign w:val="bottom"/>
            <w:tcBorders>
              <w:bottom w:val="single" w:sz="8" w:color="CCEEFF"/>
            </w:tcBorders>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4,302</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3,727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w:t>
            </w: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1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756"/>
        </w:trPr>
        <w:tc>
          <w:tcPr>
            <w:tcW w:w="3680" w:type="dxa"/>
            <w:vAlign w:val="bottom"/>
          </w:tcPr>
          <w:p>
            <w:pPr>
              <w:spacing w:after="0"/>
              <w:rPr>
                <w:sz w:val="24"/>
                <w:szCs w:val="24"/>
                <w:color w:val="auto"/>
              </w:rPr>
            </w:pPr>
          </w:p>
        </w:tc>
        <w:tc>
          <w:tcPr>
            <w:tcW w:w="282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14</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3"/>
        </w:trPr>
        <w:tc>
          <w:tcPr>
            <w:tcW w:w="3680" w:type="dxa"/>
            <w:vAlign w:val="bottom"/>
            <w:tcBorders>
              <w:bottom w:val="single" w:sz="8" w:color="9A9A9A"/>
            </w:tcBorders>
          </w:tcPr>
          <w:p>
            <w:pPr>
              <w:spacing w:after="0"/>
              <w:rPr>
                <w:sz w:val="19"/>
                <w:szCs w:val="19"/>
                <w:color w:val="auto"/>
              </w:rPr>
            </w:pPr>
          </w:p>
        </w:tc>
        <w:tc>
          <w:tcPr>
            <w:tcW w:w="1960" w:type="dxa"/>
            <w:vAlign w:val="bottom"/>
            <w:tcBorders>
              <w:bottom w:val="single" w:sz="8" w:color="9A9A9A"/>
            </w:tcBorders>
          </w:tcPr>
          <w:p>
            <w:pPr>
              <w:spacing w:after="0"/>
              <w:rPr>
                <w:sz w:val="19"/>
                <w:szCs w:val="19"/>
                <w:color w:val="auto"/>
              </w:rPr>
            </w:pPr>
          </w:p>
        </w:tc>
        <w:tc>
          <w:tcPr>
            <w:tcW w:w="86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5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9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ind w:left="2620" w:right="2280" w:firstLine="406"/>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Continued </w:t>
      </w: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3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leases is as follows: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300" w:type="dxa"/>
            <w:vAlign w:val="bottom"/>
            <w:gridSpan w:val="4"/>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8"/>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6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40" w:type="dxa"/>
            <w:vAlign w:val="bottom"/>
            <w:gridSpan w:val="3"/>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60" w:type="dxa"/>
            <w:vAlign w:val="bottom"/>
          </w:tcPr>
          <w:p>
            <w:pPr>
              <w:spacing w:after="0"/>
              <w:rPr>
                <w:sz w:val="2"/>
                <w:szCs w:val="2"/>
                <w:color w:val="auto"/>
              </w:rPr>
            </w:pPr>
          </w:p>
        </w:tc>
        <w:tc>
          <w:tcPr>
            <w:tcW w:w="54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0"/>
                <w:szCs w:val="20"/>
                <w:color w:val="auto"/>
              </w:rPr>
            </w:pPr>
          </w:p>
        </w:tc>
      </w:tr>
      <w:tr>
        <w:trPr>
          <w:trHeight w:val="27"/>
        </w:trPr>
        <w:tc>
          <w:tcPr>
            <w:tcW w:w="60" w:type="dxa"/>
            <w:vAlign w:val="bottom"/>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1"/>
        </w:trPr>
        <w:tc>
          <w:tcPr>
            <w:tcW w:w="60" w:type="dxa"/>
            <w:vAlign w:val="bottom"/>
          </w:tcPr>
          <w:p>
            <w:pPr>
              <w:spacing w:after="0"/>
              <w:rPr>
                <w:sz w:val="17"/>
                <w:szCs w:val="17"/>
                <w:color w:val="auto"/>
              </w:rPr>
            </w:pPr>
          </w:p>
        </w:tc>
        <w:tc>
          <w:tcPr>
            <w:tcW w:w="54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45"/>
        </w:trPr>
        <w:tc>
          <w:tcPr>
            <w:tcW w:w="60" w:type="dxa"/>
            <w:vAlign w:val="bottom"/>
          </w:tcPr>
          <w:p>
            <w:pPr>
              <w:spacing w:after="0"/>
              <w:rPr>
                <w:sz w:val="21"/>
                <w:szCs w:val="21"/>
                <w:color w:val="auto"/>
              </w:rPr>
            </w:pPr>
          </w:p>
        </w:tc>
        <w:tc>
          <w:tcPr>
            <w:tcW w:w="5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4,261</w:t>
            </w:r>
          </w:p>
        </w:tc>
        <w:tc>
          <w:tcPr>
            <w:tcW w:w="80" w:type="dxa"/>
            <w:vAlign w:val="bottom"/>
          </w:tcPr>
          <w:p>
            <w:pPr>
              <w:spacing w:after="0"/>
              <w:rPr>
                <w:sz w:val="21"/>
                <w:szCs w:val="21"/>
                <w:color w:val="auto"/>
              </w:rPr>
            </w:pP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3,736</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7,845</w:t>
            </w:r>
          </w:p>
        </w:tc>
        <w:tc>
          <w:tcPr>
            <w:tcW w:w="80" w:type="dxa"/>
            <w:vAlign w:val="bottom"/>
          </w:tcPr>
          <w:p>
            <w:pPr>
              <w:spacing w:after="0"/>
              <w:rPr>
                <w:sz w:val="21"/>
                <w:szCs w:val="21"/>
                <w:color w:val="auto"/>
              </w:rPr>
            </w:pP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4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5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7"/>
        </w:trPr>
        <w:tc>
          <w:tcPr>
            <w:tcW w:w="60" w:type="dxa"/>
            <w:vAlign w:val="bottom"/>
          </w:tcPr>
          <w:p>
            <w:pPr>
              <w:spacing w:after="0"/>
              <w:rPr>
                <w:sz w:val="22"/>
                <w:szCs w:val="22"/>
                <w:color w:val="auto"/>
              </w:rPr>
            </w:pPr>
          </w:p>
        </w:tc>
        <w:tc>
          <w:tcPr>
            <w:tcW w:w="54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r>
      <w:tr>
        <w:trPr>
          <w:trHeight w:val="243"/>
        </w:trPr>
        <w:tc>
          <w:tcPr>
            <w:tcW w:w="60" w:type="dxa"/>
            <w:vAlign w:val="bottom"/>
          </w:tcPr>
          <w:p>
            <w:pPr>
              <w:spacing w:after="0"/>
              <w:rPr>
                <w:sz w:val="21"/>
                <w:szCs w:val="21"/>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lease liabilities activity:</w:t>
            </w: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5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54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Leased assets obtained in exchange for new operating lease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6,605</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2,130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10,482</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40" w:type="dxa"/>
            <w:vAlign w:val="bottom"/>
          </w:tcPr>
          <w:p>
            <w:pPr>
              <w:spacing w:after="0"/>
              <w:rPr>
                <w:sz w:val="21"/>
                <w:szCs w:val="21"/>
                <w:color w:val="auto"/>
              </w:rPr>
            </w:pPr>
          </w:p>
        </w:tc>
      </w:tr>
      <w:tr>
        <w:trPr>
          <w:trHeight w:val="418"/>
        </w:trPr>
        <w:tc>
          <w:tcPr>
            <w:tcW w:w="60" w:type="dxa"/>
            <w:vAlign w:val="bottom"/>
          </w:tcPr>
          <w:p>
            <w:pPr>
              <w:spacing w:after="0"/>
              <w:rPr>
                <w:sz w:val="24"/>
                <w:szCs w:val="24"/>
                <w:color w:val="auto"/>
              </w:rPr>
            </w:pPr>
          </w:p>
        </w:tc>
        <w:tc>
          <w:tcPr>
            <w:tcW w:w="68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leases is as follows: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6"/>
        </w:trPr>
        <w:tc>
          <w:tcPr>
            <w:tcW w:w="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0"/>
                <w:szCs w:val="20"/>
                <w:color w:val="auto"/>
              </w:rPr>
            </w:pPr>
          </w:p>
        </w:tc>
      </w:tr>
      <w:tr>
        <w:trPr>
          <w:trHeight w:val="27"/>
        </w:trPr>
        <w:tc>
          <w:tcPr>
            <w:tcW w:w="60" w:type="dxa"/>
            <w:vAlign w:val="bottom"/>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60" w:type="dxa"/>
            <w:vAlign w:val="bottom"/>
          </w:tcPr>
          <w:p>
            <w:pPr>
              <w:spacing w:after="0"/>
              <w:rPr>
                <w:sz w:val="21"/>
                <w:szCs w:val="21"/>
                <w:color w:val="auto"/>
              </w:rPr>
            </w:pPr>
          </w:p>
        </w:tc>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lease assets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40,610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34,120</w:t>
            </w:r>
          </w:p>
        </w:tc>
        <w:tc>
          <w:tcPr>
            <w:tcW w:w="40" w:type="dxa"/>
            <w:vAlign w:val="bottom"/>
          </w:tcPr>
          <w:p>
            <w:pPr>
              <w:spacing w:after="0"/>
              <w:rPr>
                <w:sz w:val="21"/>
                <w:szCs w:val="21"/>
                <w:color w:val="auto"/>
              </w:rPr>
            </w:pPr>
          </w:p>
        </w:tc>
      </w:tr>
      <w:tr>
        <w:trPr>
          <w:trHeight w:val="257"/>
        </w:trPr>
        <w:tc>
          <w:tcPr>
            <w:tcW w:w="60" w:type="dxa"/>
            <w:vAlign w:val="bottom"/>
          </w:tcPr>
          <w:p>
            <w:pPr>
              <w:spacing w:after="0"/>
              <w:rPr>
                <w:sz w:val="22"/>
                <w:szCs w:val="22"/>
                <w:color w:val="auto"/>
              </w:rPr>
            </w:pPr>
          </w:p>
        </w:tc>
        <w:tc>
          <w:tcPr>
            <w:tcW w:w="5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0"/>
        </w:trPr>
        <w:tc>
          <w:tcPr>
            <w:tcW w:w="60" w:type="dxa"/>
            <w:vAlign w:val="bottom"/>
          </w:tcPr>
          <w:p>
            <w:pPr>
              <w:spacing w:after="0"/>
              <w:rPr>
                <w:sz w:val="21"/>
                <w:szCs w:val="21"/>
                <w:color w:val="auto"/>
              </w:rPr>
            </w:pPr>
          </w:p>
        </w:tc>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12,830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10,619</w:t>
            </w:r>
          </w:p>
        </w:tc>
        <w:tc>
          <w:tcPr>
            <w:tcW w:w="4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24,315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20,028</w:t>
            </w:r>
          </w:p>
        </w:tc>
        <w:tc>
          <w:tcPr>
            <w:tcW w:w="4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84"/>
        </w:trPr>
        <w:tc>
          <w:tcPr>
            <w:tcW w:w="60" w:type="dxa"/>
            <w:vAlign w:val="bottom"/>
          </w:tcPr>
          <w:p>
            <w:pPr>
              <w:spacing w:after="0"/>
              <w:rPr>
                <w:sz w:val="24"/>
                <w:szCs w:val="24"/>
                <w:color w:val="auto"/>
              </w:rPr>
            </w:pPr>
          </w:p>
        </w:tc>
        <w:tc>
          <w:tcPr>
            <w:tcW w:w="5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8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37,145</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30,647</w:t>
            </w:r>
          </w:p>
        </w:tc>
        <w:tc>
          <w:tcPr>
            <w:tcW w:w="4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60" w:type="dxa"/>
            <w:vAlign w:val="bottom"/>
          </w:tcPr>
          <w:p>
            <w:pPr>
              <w:spacing w:after="0"/>
              <w:rPr>
                <w:sz w:val="21"/>
                <w:szCs w:val="21"/>
                <w:color w:val="auto"/>
              </w:rPr>
            </w:pPr>
          </w:p>
        </w:tc>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6.16 %</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5.63 %</w:t>
            </w:r>
          </w:p>
        </w:tc>
        <w:tc>
          <w:tcPr>
            <w:tcW w:w="40" w:type="dxa"/>
            <w:vAlign w:val="bottom"/>
          </w:tcPr>
          <w:p>
            <w:pPr>
              <w:spacing w:after="0"/>
              <w:rPr>
                <w:sz w:val="21"/>
                <w:szCs w:val="21"/>
                <w:color w:val="auto"/>
              </w:rPr>
            </w:pPr>
          </w:p>
        </w:tc>
      </w:tr>
      <w:tr>
        <w:trPr>
          <w:trHeight w:val="432"/>
        </w:trPr>
        <w:tc>
          <w:tcPr>
            <w:tcW w:w="60" w:type="dxa"/>
            <w:vAlign w:val="bottom"/>
          </w:tcPr>
          <w:p>
            <w:pPr>
              <w:spacing w:after="0"/>
              <w:rPr>
                <w:sz w:val="24"/>
                <w:szCs w:val="24"/>
                <w:color w:val="auto"/>
              </w:rPr>
            </w:pPr>
          </w:p>
        </w:tc>
        <w:tc>
          <w:tcPr>
            <w:tcW w:w="6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Maturities of operating lease liabilities as of June 30, 2025 were as follows:</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5"/>
        </w:trPr>
        <w:tc>
          <w:tcPr>
            <w:tcW w:w="5480" w:type="dxa"/>
            <w:vAlign w:val="bottom"/>
            <w:gridSpan w:val="2"/>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50"/>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remainder of 2025</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8,028</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 2026</w:t>
            </w: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12,475</w:t>
            </w:r>
          </w:p>
        </w:tc>
        <w:tc>
          <w:tcPr>
            <w:tcW w:w="40" w:type="dxa"/>
            <w:vAlign w:val="bottom"/>
          </w:tcPr>
          <w:p>
            <w:pPr>
              <w:spacing w:after="0"/>
              <w:rPr>
                <w:sz w:val="21"/>
                <w:szCs w:val="21"/>
                <w:color w:val="auto"/>
              </w:rPr>
            </w:pPr>
          </w:p>
        </w:tc>
      </w:tr>
      <w:tr>
        <w:trPr>
          <w:trHeight w:val="27"/>
        </w:trPr>
        <w:tc>
          <w:tcPr>
            <w:tcW w:w="548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 2027</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7,905</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 2028</w:t>
            </w: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40" w:type="dxa"/>
            <w:vAlign w:val="bottom"/>
          </w:tcPr>
          <w:p>
            <w:pPr>
              <w:spacing w:after="0"/>
              <w:rPr>
                <w:sz w:val="21"/>
                <w:szCs w:val="21"/>
                <w:color w:val="auto"/>
              </w:rPr>
            </w:pPr>
          </w:p>
        </w:tc>
      </w:tr>
      <w:tr>
        <w:trPr>
          <w:trHeight w:val="27"/>
        </w:trPr>
        <w:tc>
          <w:tcPr>
            <w:tcW w:w="548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 2029</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 2030 and beyond</w:t>
            </w: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6,707</w:t>
            </w:r>
          </w:p>
        </w:tc>
        <w:tc>
          <w:tcPr>
            <w:tcW w:w="40" w:type="dxa"/>
            <w:vAlign w:val="bottom"/>
          </w:tcPr>
          <w:p>
            <w:pPr>
              <w:spacing w:after="0"/>
              <w:rPr>
                <w:sz w:val="21"/>
                <w:szCs w:val="2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lease payments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43,801</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imputed interest</w:t>
            </w: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(6,656)</w:t>
            </w:r>
          </w:p>
        </w:tc>
      </w:tr>
      <w:tr>
        <w:trPr>
          <w:trHeight w:val="27"/>
        </w:trPr>
        <w:tc>
          <w:tcPr>
            <w:tcW w:w="60" w:type="dxa"/>
            <w:vAlign w:val="bottom"/>
            <w:tcBorders>
              <w:bottom w:val="single" w:sz="8" w:color="CCEEFF"/>
            </w:tcBorders>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83"/>
        </w:trPr>
        <w:tc>
          <w:tcPr>
            <w:tcW w:w="60" w:type="dxa"/>
            <w:vAlign w:val="bottom"/>
            <w:shd w:val="clear" w:color="auto" w:fill="CCEEFF"/>
          </w:tcPr>
          <w:p>
            <w:pPr>
              <w:spacing w:after="0"/>
              <w:rPr>
                <w:sz w:val="24"/>
                <w:szCs w:val="24"/>
                <w:color w:val="auto"/>
              </w:rPr>
            </w:pPr>
          </w:p>
        </w:tc>
        <w:tc>
          <w:tcPr>
            <w:tcW w:w="5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xml:space="preserve">Present value of lease liabilities </w:t>
            </w:r>
            <w:r>
              <w:rPr>
                <w:rFonts w:ascii="Times New Roman" w:cs="Times New Roman" w:eastAsia="Times New Roman" w:hAnsi="Times New Roman"/>
                <w:sz w:val="23"/>
                <w:szCs w:val="23"/>
                <w:color w:val="auto"/>
                <w:vertAlign w:val="superscript"/>
              </w:rPr>
              <w:t>(1)</w:t>
            </w:r>
          </w:p>
        </w:tc>
        <w:tc>
          <w:tcPr>
            <w:tcW w:w="8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37,145</w:t>
            </w:r>
          </w:p>
        </w:tc>
        <w:tc>
          <w:tcPr>
            <w:tcW w:w="40" w:type="dxa"/>
            <w:vAlign w:val="bottom"/>
            <w:shd w:val="clear" w:color="auto" w:fill="CCEEFF"/>
          </w:tcPr>
          <w:p>
            <w:pPr>
              <w:spacing w:after="0"/>
              <w:rPr>
                <w:sz w:val="24"/>
                <w:szCs w:val="24"/>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60" w:firstLine="8"/>
        <w:spacing w:after="0" w:line="238" w:lineRule="auto"/>
        <w:tabs>
          <w:tab w:leader="none" w:pos="181"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During the year ended December 31, 2024, the Company entered into a new lease agreement for office and laboratory space in Radnor, Pennsylvania for the purposes of relocating its global headquarters. The lease is expected to commence in the third quarter of 2025 with a total lease commitment of $79.7 million. The $79.7 million of future lease commitments relating to this lease were not included in the lease liabilities balance as of June 30, 2025.</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Restructuring and Related Activities</w:t>
      </w:r>
    </w:p>
    <w:p>
      <w:pPr>
        <w:spacing w:after="0" w:line="12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2022, the Company initiated a global cost and optimization program to improve its cost structure and drive a more profitable and productive organization. As of June 30, 2025, the program included restructuring and associated severance costs to reduce headcount by approximately 380 positions globally. These actions are expected to be substantially complete by the end of 2025.</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Employee separation benefits vary depending on local regulations across countries. The timing to finalize costs associated with all actions will depend on a number of factors and is subject to change. In addition to the global cost and optimization program described above, the Company continues to take actions to optimize its facility footprint. Restructuring costs incurred during the three and six months ended June 30, 2025 and 2024 include employee severance and asset-related and facility closure costs, including non-cash asset write-offs, which are recorded in Restructuring and related charges, net in the Company’s Condensed Consolidated Statements of Operations.</w:t>
      </w:r>
    </w:p>
    <w:p>
      <w:pPr>
        <w:sectPr>
          <w:pgSz w:w="11900" w:h="16838" w:orient="portrait"/>
          <w:cols w:equalWidth="0" w:num="1">
            <w:col w:w="11240"/>
          </w:cols>
          <w:pgMar w:left="320" w:top="121"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3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Activity in the Company’s accrual for its restructuring program and facility closure actions are as follows: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Accrued restructuring as of December 31, 2024</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r>
      <w:tr>
        <w:trPr>
          <w:trHeight w:val="243"/>
        </w:trPr>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Severance costs</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20,922</w:t>
            </w:r>
          </w:p>
        </w:tc>
      </w:tr>
      <w:tr>
        <w:trPr>
          <w:trHeight w:val="27"/>
        </w:trPr>
        <w:tc>
          <w:tcPr>
            <w:tcW w:w="9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Asset-related and facility closure charges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w:t>
            </w:r>
          </w:p>
        </w:tc>
      </w:tr>
      <w:tr>
        <w:trPr>
          <w:trHeight w:val="243"/>
        </w:trPr>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payments</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(15,946)</w:t>
            </w:r>
          </w:p>
        </w:tc>
      </w:tr>
      <w:tr>
        <w:trPr>
          <w:trHeight w:val="27"/>
        </w:trPr>
        <w:tc>
          <w:tcPr>
            <w:tcW w:w="9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Reductions against the reserve</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r>
      <w:tr>
        <w:trPr>
          <w:trHeight w:val="243"/>
        </w:trPr>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7"/>
        </w:trPr>
        <w:tc>
          <w:tcPr>
            <w:tcW w:w="98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Accrued restructuring as of June 30, 2025</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7,646</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the Company completed the sale of certain property previously classified as held for sale for a gain of $2.2 million, which is recorded in Other (expense) income, net in the Company’s Condensed Consolidated Statements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Share-Based Compensation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recognized $3.7 million and $6.9 million, respectively, of share-based compensation expense in its Condensed Consolidated Statements of Operations for the three and six months ended June 30, 2025, compared to $4.2 million and $8.1 million, respectively, for the three and six months ended June 30, 2024.</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2025, unrecognized compensation expense related to non-vested restricted shares was $0.4 million, to be recognized over a weighted average remaining period of 0.6 years.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2025, the Company granted 67,319 restricted stock units under its LTIP, which are subject to time-based vesting, generally over one to three years. The fair value of these grants is based on the closing price of the Company’s common stock on the date of grant. As of June 30, 2025, unrecognized compensation expense related to non-vested restricted stock units was $12.1 million, to be recognized over a weighted average remaining period of 1.7 years.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component of its LTIP, the Company grants performance-based stock unit awards (“PSUs”). The number of shares that may ultimately be issued as settlement for each award may range from 0% up to 200% of the target award, subject to the achievement of the Company’s market-based total shareholder return (“TSR”) metric relative to the performance of a selected peer group, and separately the achievement of a performance-based return on invested capital (“ROIC”) measure. The service vesting period required for the PSUs is generally three years and the measurement period of the market-based and performance objectives is generally from January 1 of the year of grant through December 31 of the year prior to issuance of the shares.</w:t>
      </w:r>
    </w:p>
    <w:p>
      <w:pPr>
        <w:spacing w:after="0" w:line="75"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As mentioned above, a portion of the Company’s PSUs are subject to the achievement of the Company’s TSR relative to the performance of a selected peer group. For PSUs subject to relative TSR performance granted in 2025 and 2024, the Company’s peer group was the S&amp;P Composite 1500 Chemicals index.</w:t>
      </w:r>
    </w:p>
    <w:p>
      <w:pPr>
        <w:spacing w:after="0" w:line="8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Compensation expense for PSUs is measured based on the grant date fair value and is recognized on a straight-line vesting method basis over the applicable vesting period. During the six months ended June 30, 2025, the Company granted 26,389 PSUs with a ROIC condition. The fair value of these grants is based on the closing trading price of the Company’s common stock on the date of grant. During the six months ended June 30, 2025, the Company granted 26,343 PSUs with a relative TSR condition. These PSUs are valued using a Monte Carlo simulation on the grant date and had a grant-date fair value of $150.90 per unit, which was developed based on the assumptions set forth in the table below:</w:t>
      </w:r>
    </w:p>
    <w:p>
      <w:pPr>
        <w:spacing w:after="0" w:line="12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780" w:type="dxa"/>
            <w:vAlign w:val="bottom"/>
          </w:tcPr>
          <w:p>
            <w:pPr>
              <w:spacing w:after="0"/>
              <w:rPr>
                <w:sz w:val="18"/>
                <w:szCs w:val="18"/>
                <w:color w:val="auto"/>
              </w:rPr>
            </w:pP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8"/>
        </w:trPr>
        <w:tc>
          <w:tcPr>
            <w:tcW w:w="9780" w:type="dxa"/>
            <w:vAlign w:val="bottom"/>
          </w:tcPr>
          <w:p>
            <w:pPr>
              <w:spacing w:after="0"/>
              <w:rPr>
                <w:sz w:val="20"/>
                <w:szCs w:val="20"/>
                <w:color w:val="auto"/>
              </w:rPr>
            </w:pP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Grants</w:t>
            </w:r>
          </w:p>
        </w:tc>
      </w:tr>
      <w:tr>
        <w:trPr>
          <w:trHeight w:val="27"/>
        </w:trPr>
        <w:tc>
          <w:tcPr>
            <w:tcW w:w="97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7"/>
        </w:trPr>
        <w:tc>
          <w:tcPr>
            <w:tcW w:w="9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97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June 30, 2025, there was approximately $9.4 million of total unrecognized compensation cost related to PSUs, which the Company expects to recognize over a weighted-average period of 2.3 years.</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ind w:left="2620" w:right="2280" w:firstLine="406"/>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Continued </w:t>
      </w: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Note 9 – Pension and Other Postretirement Benefits</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24"/>
        </w:trPr>
        <w:tc>
          <w:tcPr>
            <w:tcW w:w="5960" w:type="dxa"/>
            <w:vAlign w:val="bottom"/>
            <w:gridSpan w:val="10"/>
          </w:tcPr>
          <w:p>
            <w:pPr>
              <w:jc w:val="center"/>
              <w:ind w:right="340"/>
              <w:spacing w:after="0"/>
              <w:rPr>
                <w:sz w:val="20"/>
                <w:szCs w:val="20"/>
                <w:color w:val="auto"/>
              </w:rPr>
            </w:pPr>
            <w:r>
              <w:rPr>
                <w:rFonts w:ascii="Times New Roman" w:cs="Times New Roman" w:eastAsia="Times New Roman" w:hAnsi="Times New Roman"/>
                <w:sz w:val="18"/>
                <w:szCs w:val="18"/>
                <w:color w:val="auto"/>
                <w:w w:val="99"/>
              </w:rPr>
              <w:t>The components of net periodic benefit cost (income) are as follows:</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78"/>
        </w:trPr>
        <w:tc>
          <w:tcPr>
            <w:tcW w:w="2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80" w:type="dxa"/>
            <w:vAlign w:val="bottom"/>
            <w:gridSpan w:val="9"/>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2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7"/>
        </w:trPr>
        <w:tc>
          <w:tcPr>
            <w:tcW w:w="2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4"/>
          </w:tcPr>
          <w:p>
            <w:pPr>
              <w:spacing w:after="0"/>
              <w:rPr>
                <w:sz w:val="2"/>
                <w:szCs w:val="2"/>
                <w:color w:val="auto"/>
              </w:rPr>
            </w:pPr>
          </w:p>
        </w:tc>
      </w:tr>
      <w:tr>
        <w:trPr>
          <w:trHeight w:val="214"/>
        </w:trPr>
        <w:tc>
          <w:tcPr>
            <w:tcW w:w="2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Other Postretirement</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Other Postretirement</w:t>
            </w:r>
          </w:p>
        </w:tc>
      </w:tr>
      <w:tr>
        <w:trPr>
          <w:trHeight w:val="238"/>
        </w:trPr>
        <w:tc>
          <w:tcPr>
            <w:tcW w:w="2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160" w:type="dxa"/>
            <w:vAlign w:val="bottom"/>
          </w:tcPr>
          <w:p>
            <w:pPr>
              <w:spacing w:after="0"/>
              <w:rPr>
                <w:sz w:val="20"/>
                <w:szCs w:val="20"/>
                <w:color w:val="auto"/>
              </w:rPr>
            </w:pPr>
          </w:p>
        </w:tc>
        <w:tc>
          <w:tcPr>
            <w:tcW w:w="120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160" w:type="dxa"/>
            <w:vAlign w:val="bottom"/>
          </w:tcPr>
          <w:p>
            <w:pPr>
              <w:spacing w:after="0"/>
              <w:rPr>
                <w:sz w:val="20"/>
                <w:szCs w:val="20"/>
                <w:color w:val="auto"/>
              </w:rPr>
            </w:pPr>
          </w:p>
        </w:tc>
        <w:tc>
          <w:tcPr>
            <w:tcW w:w="122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700" w:type="dxa"/>
            <w:vAlign w:val="bottom"/>
          </w:tcPr>
          <w:p>
            <w:pPr>
              <w:spacing w:after="0"/>
              <w:rPr>
                <w:sz w:val="20"/>
                <w:szCs w:val="20"/>
                <w:color w:val="auto"/>
              </w:rPr>
            </w:pPr>
          </w:p>
        </w:tc>
      </w:tr>
      <w:tr>
        <w:trPr>
          <w:trHeight w:val="27"/>
        </w:trPr>
        <w:tc>
          <w:tcPr>
            <w:tcW w:w="2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2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7"/>
        </w:trPr>
        <w:tc>
          <w:tcPr>
            <w:tcW w:w="2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3"/>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2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loss (gain) amortization</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2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service cost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periodic benefit cost (income)</w:t>
            </w:r>
          </w:p>
        </w:tc>
        <w:tc>
          <w:tcPr>
            <w:tcW w:w="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
        </w:trPr>
        <w:tc>
          <w:tcPr>
            <w:tcW w:w="2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Employer Contributions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2025, $2.6 million of contributions have been made to the Company’s U.S. and foreign pension plans. Contributions to other postretirement benefit plans were $0.2 million. Taking into consideration current minimum cash contribution requirements, the Company currently expects to make full year cash contributions of approximately $7.0 million to its U.S. and foreign pension plans and approximately $0.2 million to its other postretirement benefit plans.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 Other (Expense) Income, net</w:t>
            </w: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24"/>
        </w:trPr>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components of Other (expense) income, net are as follows:</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56"/>
        </w:trPr>
        <w:tc>
          <w:tcPr>
            <w:tcW w:w="5820" w:type="dxa"/>
            <w:vAlign w:val="bottom"/>
          </w:tcPr>
          <w:p>
            <w:pPr>
              <w:spacing w:after="0"/>
              <w:rPr>
                <w:sz w:val="24"/>
                <w:szCs w:val="24"/>
                <w:color w:val="auto"/>
              </w:rPr>
            </w:pPr>
          </w:p>
        </w:tc>
        <w:tc>
          <w:tcPr>
            <w:tcW w:w="22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6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58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Non-income tax refunds and other related credits</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gain on disposals of property, plant, equipment and other assets, net</w:t>
            </w: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r>
      <w:tr>
        <w:trPr>
          <w:trHeight w:val="27"/>
        </w:trPr>
        <w:tc>
          <w:tcPr>
            <w:tcW w:w="58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losses, net</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 costs, non-service components</w:t>
            </w: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r>
      <w:tr>
        <w:trPr>
          <w:trHeight w:val="27"/>
        </w:trPr>
        <w:tc>
          <w:tcPr>
            <w:tcW w:w="5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liability claim costs, net</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liability adjustment</w:t>
            </w: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income, net</w:t>
            </w: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7"/>
        </w:trPr>
        <w:tc>
          <w:tcPr>
            <w:tcW w:w="58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5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(Loss) gain on disposals of property, plant, equipment and other assets, net, includes the gain of $2.2 million recognized for the sale of certain property previously classified as held for sale during the six months ended June 30, 2025. See Note 7, </w:t>
      </w:r>
      <w:r>
        <w:rPr>
          <w:rFonts w:ascii="Times New Roman" w:cs="Times New Roman" w:eastAsia="Times New Roman" w:hAnsi="Times New Roman"/>
          <w:sz w:val="18"/>
          <w:szCs w:val="18"/>
          <w:i w:val="1"/>
          <w:iCs w:val="1"/>
          <w:color w:val="auto"/>
        </w:rPr>
        <w:t>Restructuring and Related Activities</w:t>
      </w:r>
      <w:r>
        <w:rPr>
          <w:rFonts w:ascii="Times New Roman" w:cs="Times New Roman" w:eastAsia="Times New Roman" w:hAnsi="Times New Roman"/>
          <w:sz w:val="18"/>
          <w:szCs w:val="18"/>
          <w:color w:val="auto"/>
        </w:rPr>
        <w:t>, for more information.</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Foreign exchange losses, net includes a $0.6 million foreign exchange gain and a $1.4 million foreign exchange loss, respectively, during the three and six months ended June 30, 2025 relating to the change in fair value of the foreign exchange forward contracts entered into in connection with the acquisition of Dipsol. See Note 17, </w:t>
      </w:r>
      <w:r>
        <w:rPr>
          <w:rFonts w:ascii="Times New Roman" w:cs="Times New Roman" w:eastAsia="Times New Roman" w:hAnsi="Times New Roman"/>
          <w:sz w:val="18"/>
          <w:szCs w:val="18"/>
          <w:i w:val="1"/>
          <w:iCs w:val="1"/>
          <w:color w:val="auto"/>
        </w:rPr>
        <w:t>Hedging Activities</w:t>
      </w:r>
      <w:r>
        <w:rPr>
          <w:rFonts w:ascii="Times New Roman" w:cs="Times New Roman" w:eastAsia="Times New Roman" w:hAnsi="Times New Roman"/>
          <w:sz w:val="18"/>
          <w:szCs w:val="18"/>
          <w:color w:val="auto"/>
        </w:rPr>
        <w:t>, for more information.</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Product liability claim costs, net represents expense related to payments to the Company in connection with a product liability dispute with a customer, net of insurance recoveries during the six months ended June 30,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ind w:left="2620" w:right="2280" w:firstLine="406"/>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Continued </w:t>
      </w: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effective tax rates for the three and six months ended June 30, 2025 were (8.3)% and (26.8)%, respectively, compared to 32.8% and 30.1%, respectively, for the three and six months ended June 30, 2024. The Company’s effective tax rate for the three months ended June 30, 2025 was largely driven by our mix of pre-tax earnings, goodwill impairment and withholding taxes offset by return to provision adjustments and net favorable reductions in uncertain tax positions. The Company’s effective tax rate for the six months ended June 30, 2025 was largely driven by our mix of pre-tax earnings, goodwill impairment, return to provision adjustments and withholding taxes offset by net favorable reductions in uncertain tax positions. Comparatively, the effective tax rates for the three and six months ended June 30, 2024 were largely driven by the mix of pre-tax earnings, certain one-time charges related to an intercompany intangible asset transfer, and withholding taxes, offset by changes in uncertain tax positions.</w:t>
      </w:r>
    </w:p>
    <w:p>
      <w:pPr>
        <w:spacing w:after="0" w:line="8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July 4, 2025, H.R. 1, commonly known as the One Big Beautiful Bill Act (the “OBBB”), was signed into law. This includes significant changes to the federal corporate tax provisions and extends certain otherwise expiring provisions of the 2017 Tax Cuts and Jobs Act. Among other things, the legislation restores 100% bonus depreciation for eligible property, reinstates expensing for domestic research and experimental expenditures, imposes new limitations on interest expense deductibility, and expands disallowed deductions for certain employee remuneration. The OBBB also includes provisions that could impact our international business and which are still being evaluated. ASU 2023-09 Income Taxes (Topic 740) requires the effects of changes in tax rates and laws on deferred tax balances to be recognized in the period in which the relevant legislation is enacted. The OBBB was passed subsequent to the date of our financial statements and may affect the Company’s tax assets and liabilities in future periods. The legislation has multiple effective dates, with certain provisions effective in 2025 and other provisions implemented through 2027. The Company continues to assess the potential impact of the OBBB on our Condensed Consolidated Financial Statements.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 Earnings Per Share</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24"/>
        </w:trPr>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earnings (loss) per share calculations: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6"/>
        </w:trPr>
        <w:tc>
          <w:tcPr>
            <w:tcW w:w="5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4"/>
                <w:szCs w:val="24"/>
                <w:color w:val="auto"/>
              </w:rPr>
            </w:pPr>
          </w:p>
        </w:tc>
        <w:tc>
          <w:tcPr>
            <w:tcW w:w="24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Pr>
          <w:p>
            <w:pPr>
              <w:spacing w:after="0"/>
              <w:rPr>
                <w:sz w:val="20"/>
                <w:szCs w:val="20"/>
                <w:color w:val="auto"/>
              </w:rPr>
            </w:pPr>
          </w:p>
        </w:tc>
      </w:tr>
      <w:tr>
        <w:trPr>
          <w:trHeight w:val="27"/>
        </w:trPr>
        <w:tc>
          <w:tcPr>
            <w:tcW w:w="5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5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 attributable to Quaker Chemical Corporation</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(66,580)</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34,885</w:t>
            </w:r>
          </w:p>
        </w:tc>
        <w:tc>
          <w:tcPr>
            <w:tcW w:w="8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(53,658)</w:t>
            </w:r>
          </w:p>
        </w:tc>
        <w:tc>
          <w:tcPr>
            <w:tcW w:w="8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70,112</w:t>
            </w:r>
          </w:p>
        </w:tc>
      </w:tr>
      <w:tr>
        <w:trPr>
          <w:trHeight w:val="27"/>
        </w:trPr>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loss (income) allocated to participating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37"/>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 available to common shareholders</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(66,498)</w:t>
            </w:r>
          </w:p>
        </w:tc>
        <w:tc>
          <w:tcPr>
            <w:tcW w:w="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34,767</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(53,567)</w:t>
            </w:r>
          </w:p>
        </w:tc>
        <w:tc>
          <w:tcPr>
            <w:tcW w:w="8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69,836</w:t>
            </w:r>
          </w:p>
        </w:tc>
      </w:tr>
      <w:tr>
        <w:trPr>
          <w:trHeight w:val="27"/>
        </w:trPr>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17,572,447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17,921,395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17,605,920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17,915,104</w:t>
            </w: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(loss) earnings per common share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7"/>
        </w:trPr>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6"/>
        </w:trPr>
        <w:tc>
          <w:tcPr>
            <w:tcW w:w="57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income attributable to Quaker Chemical Corporation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70,112</w:t>
            </w:r>
          </w:p>
        </w:tc>
      </w:tr>
      <w:tr>
        <w:trPr>
          <w:trHeight w:val="243"/>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loss (income) allocated to participating securities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7"/>
        </w:trPr>
        <w:tc>
          <w:tcPr>
            <w:tcW w:w="5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5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income available to common shareholders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(66,498)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69,836</w:t>
            </w:r>
          </w:p>
        </w:tc>
      </w:tr>
      <w:tr>
        <w:trPr>
          <w:trHeight w:val="243"/>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17,572,447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17,921,395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17,605,920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17,915,104</w:t>
            </w:r>
          </w:p>
        </w:tc>
      </w:tr>
      <w:tr>
        <w:trPr>
          <w:trHeight w:val="27"/>
        </w:trPr>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20,524</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18,761</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24,621</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19,846</w:t>
            </w:r>
          </w:p>
        </w:tc>
      </w:tr>
      <w:tr>
        <w:trPr>
          <w:trHeight w:val="237"/>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17,592,971</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17,940,156</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17,630,541</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17,934,950</w:t>
            </w:r>
          </w:p>
        </w:tc>
      </w:tr>
      <w:tr>
        <w:trPr>
          <w:trHeight w:val="27"/>
        </w:trPr>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(loss) earnings per common share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7"/>
        </w:trPr>
        <w:tc>
          <w:tcPr>
            <w:tcW w:w="5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stock options, restricted stock units, and PSUs are not included in the diluted earnings per share calculation when the effect would be anti-dilutive. The number of anti-dilutive shares were 60,117 and 67,575, respectively, for the three and six months ended June 30, 2025, compared to 16,098 and 31,000, respectively, for the three and six months ended June 30,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ind w:left="2620" w:right="2280" w:firstLine="406"/>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Continued </w:t>
      </w: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13 – Goodwill and Other Intangible Assets</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854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Changes in the carrying amount of goodwill for the six months ended June 30, 2025 were as follows: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240" w:type="dxa"/>
            <w:vAlign w:val="bottom"/>
          </w:tcPr>
          <w:p>
            <w:pPr>
              <w:spacing w:after="0"/>
              <w:rPr>
                <w:sz w:val="24"/>
                <w:szCs w:val="24"/>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EMEA</w:t>
            </w:r>
          </w:p>
        </w:tc>
        <w:tc>
          <w:tcPr>
            <w:tcW w:w="14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Asia/Pacific</w:t>
            </w:r>
          </w:p>
        </w:tc>
        <w:tc>
          <w:tcPr>
            <w:tcW w:w="280" w:type="dxa"/>
            <w:vAlign w:val="bottom"/>
          </w:tcPr>
          <w:p>
            <w:pPr>
              <w:spacing w:after="0"/>
              <w:rPr>
                <w:sz w:val="24"/>
                <w:szCs w:val="24"/>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0" w:type="dxa"/>
            <w:vAlign w:val="bottom"/>
          </w:tcPr>
          <w:p>
            <w:pPr>
              <w:spacing w:after="0"/>
              <w:rPr>
                <w:sz w:val="2"/>
                <w:szCs w:val="2"/>
                <w:color w:val="auto"/>
              </w:rPr>
            </w:pPr>
          </w:p>
        </w:tc>
        <w:tc>
          <w:tcPr>
            <w:tcW w:w="5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276,875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518,894</w:t>
            </w:r>
          </w:p>
        </w:tc>
      </w:tr>
      <w:tr>
        <w:trPr>
          <w:trHeight w:val="243"/>
        </w:trPr>
        <w:tc>
          <w:tcPr>
            <w:tcW w:w="20" w:type="dxa"/>
            <w:vAlign w:val="bottom"/>
          </w:tcPr>
          <w:p>
            <w:pPr>
              <w:spacing w:after="0"/>
              <w:rPr>
                <w:sz w:val="21"/>
                <w:szCs w:val="21"/>
                <w:color w:val="auto"/>
              </w:rPr>
            </w:pP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 recognized for Dipsol acquisition</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52,862</w:t>
            </w:r>
          </w:p>
        </w:tc>
      </w:tr>
      <w:tr>
        <w:trPr>
          <w:trHeight w:val="27"/>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 recognized for Natech acquisition</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r>
      <w:tr>
        <w:trPr>
          <w:trHeight w:val="243"/>
        </w:trPr>
        <w:tc>
          <w:tcPr>
            <w:tcW w:w="20" w:type="dxa"/>
            <w:vAlign w:val="bottom"/>
          </w:tcPr>
          <w:p>
            <w:pPr>
              <w:spacing w:after="0"/>
              <w:rPr>
                <w:sz w:val="21"/>
                <w:szCs w:val="21"/>
                <w:color w:val="auto"/>
              </w:rPr>
            </w:pP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 recognized for CSI acquisition</w:t>
            </w:r>
          </w:p>
        </w:tc>
        <w:tc>
          <w:tcPr>
            <w:tcW w:w="20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r>
      <w:tr>
        <w:trPr>
          <w:trHeight w:val="27"/>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Goodwill recognized for Sutai acquisition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43"/>
        </w:trPr>
        <w:tc>
          <w:tcPr>
            <w:tcW w:w="20" w:type="dxa"/>
            <w:vAlign w:val="bottom"/>
          </w:tcPr>
          <w:p>
            <w:pPr>
              <w:spacing w:after="0"/>
              <w:rPr>
                <w:sz w:val="21"/>
                <w:szCs w:val="21"/>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15,409</w:t>
            </w:r>
          </w:p>
        </w:tc>
      </w:tr>
      <w:tr>
        <w:trPr>
          <w:trHeight w:val="27"/>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(88,840)</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(88,840)</w:t>
            </w:r>
          </w:p>
        </w:tc>
      </w:tr>
      <w:tr>
        <w:trPr>
          <w:trHeight w:val="263"/>
        </w:trPr>
        <w:tc>
          <w:tcPr>
            <w:tcW w:w="20" w:type="dxa"/>
            <w:vAlign w:val="bottom"/>
          </w:tcPr>
          <w:p>
            <w:pPr>
              <w:spacing w:after="0"/>
              <w:rPr>
                <w:sz w:val="22"/>
                <w:szCs w:val="22"/>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285,605</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216,833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502,438</w:t>
            </w: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 w:firstLine="332"/>
        <w:spacing w:after="0" w:line="242" w:lineRule="auto"/>
        <w:tabs>
          <w:tab w:leader="none" w:pos="505"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During the six months ended June 30, 2025, the Company finalized the working capital settlements which impacted the goodwill recorded. See Note 2, </w:t>
      </w:r>
      <w:r>
        <w:rPr>
          <w:rFonts w:ascii="Times New Roman" w:cs="Times New Roman" w:eastAsia="Times New Roman" w:hAnsi="Times New Roman"/>
          <w:sz w:val="17"/>
          <w:szCs w:val="17"/>
          <w:i w:val="1"/>
          <w:iCs w:val="1"/>
          <w:color w:val="auto"/>
        </w:rPr>
        <w:t>Business Acquisitions</w:t>
      </w:r>
      <w:r>
        <w:rPr>
          <w:rFonts w:ascii="Times New Roman" w:cs="Times New Roman" w:eastAsia="Times New Roman" w:hAnsi="Times New Roman"/>
          <w:sz w:val="17"/>
          <w:szCs w:val="17"/>
          <w:color w:val="auto"/>
        </w:rPr>
        <w:t>, for additional information.</w:t>
      </w: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Jun 30, 2025</w:t>
            </w:r>
          </w:p>
        </w:tc>
        <w:tc>
          <w:tcPr>
            <w:tcW w:w="380" w:type="dxa"/>
            <w:vAlign w:val="bottom"/>
          </w:tcPr>
          <w:p>
            <w:pPr>
              <w:spacing w:after="0"/>
              <w:rPr>
                <w:sz w:val="20"/>
                <w:szCs w:val="20"/>
                <w:color w:val="auto"/>
              </w:rPr>
            </w:pPr>
          </w:p>
        </w:tc>
        <w:tc>
          <w:tcPr>
            <w:tcW w:w="19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Dec 31, 2024</w:t>
            </w:r>
          </w:p>
        </w:tc>
      </w:tr>
      <w:tr>
        <w:trPr>
          <w:trHeight w:val="27"/>
        </w:trPr>
        <w:tc>
          <w:tcPr>
            <w:tcW w:w="6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43"/>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gross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CCEEFF"/>
            </w:tcBorders>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9"/>
              </w:rPr>
              <w:t>694,922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CCEEFF"/>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611,498</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7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Accumulated impairment losses </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center"/>
              <w:ind w:left="1010"/>
              <w:spacing w:after="0"/>
              <w:rPr>
                <w:sz w:val="20"/>
                <w:szCs w:val="20"/>
                <w:color w:val="auto"/>
              </w:rPr>
            </w:pPr>
            <w:r>
              <w:rPr>
                <w:rFonts w:ascii="Times New Roman" w:cs="Times New Roman" w:eastAsia="Times New Roman" w:hAnsi="Times New Roman"/>
                <w:sz w:val="18"/>
                <w:szCs w:val="18"/>
                <w:color w:val="auto"/>
                <w:w w:val="99"/>
              </w:rPr>
              <w:t>(192,484)</w:t>
            </w:r>
          </w:p>
        </w:tc>
        <w:tc>
          <w:tcPr>
            <w:tcW w:w="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(92,604)</w:t>
            </w:r>
          </w:p>
        </w:tc>
        <w:tc>
          <w:tcPr>
            <w:tcW w:w="80" w:type="dxa"/>
            <w:vAlign w:val="bottom"/>
            <w:tcBorders>
              <w:bottom w:val="single" w:sz="8" w:color="CCEEFF"/>
            </w:tcBorders>
          </w:tcPr>
          <w:p>
            <w:pPr>
              <w:spacing w:after="0"/>
              <w:rPr>
                <w:sz w:val="23"/>
                <w:szCs w:val="23"/>
                <w:color w:val="auto"/>
              </w:rPr>
            </w:pPr>
          </w:p>
        </w:tc>
      </w:tr>
      <w:tr>
        <w:trPr>
          <w:trHeight w:val="289"/>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9"/>
              </w:rPr>
              <w:t>502,438</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518,894</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jc w:val="both"/>
        <w:ind w:firstLine="332"/>
        <w:spacing w:after="0" w:line="235" w:lineRule="auto"/>
        <w:tabs>
          <w:tab w:leader="none" w:pos="514"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Accumulated impairment losses are attributable to the non-cash impairment charges of $88.8 million and $93.0 million to write down the carrying value of the EMEA reporting unit during the second quarter of 2025 and the fourth quarter of 2022, respectively. These amounts include the impact of currency translation.</w:t>
      </w:r>
    </w:p>
    <w:p>
      <w:pPr>
        <w:spacing w:after="0" w:line="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completes its annual goodwill and indefinite-lived intangible asset impairment tests during the fourth quarter of each year, or more frequently if triggering events indicate a possible impairment in one or more of its reporting units. The Company continually evaluates financial performance, economic conditions and other recent developments in assessing if a triggering event indicates that the carrying value of goodwill, indefinite-lived, or long-lived assets might be impaired.</w:t>
      </w:r>
    </w:p>
    <w:p>
      <w:pPr>
        <w:spacing w:after="0" w:line="7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During the second quarter of 2025, the Company concluded that the negative impacts of the lower than projected financial performance, driven by the continuation of soft end market conditions, as well as an increase in the Company’s cost of capital, driven by uncertainty around the potential negative impacts of tariffs, represented a triggering event for the Company’s EMEA reporting unit and the associated goodwill, as well as the related asset group. As a result of this conclusion, the Company completed an interim impairment assessment as of June 30, 2025 for its EMEA reporting unit and the related asset group. The Company concluded that the undiscounted cash flows exceeded the carrying value of the EMEA asset group, and therefore that the long-lived assets are not impaired. In completing a quantitative goodwill impairment test, the Company compares the reporting unit’s fair value, based on future discounted cash flows, to its carrying value in order to determine if an impairment of goodwill exists. The estimates of future discounted cash flows involve considerable judgment and are based upon certain significant assumptions including the weighted average cost of capital (“WACC”) as well as projected EBITDA, which includes assumptions related to revenue growth rates, gross margin levels and operating expenses. As a result of the impact of the uncertainty around tariffs, and continued soft end market conditions driving lower current year EMEA earnings and a decline in projected future EMEA earnings, as well as an increase in the WACC assumption utilized in the Company’s 2024 annual impairment assessment, the Company concluded that the estimated fair value of the EMEA reporting unit was less than its carrying value. As a result, a pre-tax, non-cash impairment charge of $88.8 million ($86.7 million after-tax) to write down the remaining carrying value amount of the EMEA reporting unit Goodwill was recorded in the second quarter of 2025, reflected in “Impairment charges” in the Consolidated Statements of Operations for the three and six months ended June 30, 2025.</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ind w:left="2620" w:right="2280" w:firstLine="406"/>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Continued </w:t>
      </w: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carrying amounts and accumulated amortization for definite-lived intangible assets were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Customer lists and rights to sell</w:t>
      </w:r>
    </w:p>
    <w:p>
      <w:pPr>
        <w:spacing w:after="0" w:line="77" w:lineRule="exact"/>
        <w:rPr>
          <w:sz w:val="20"/>
          <w:szCs w:val="20"/>
          <w:color w:val="auto"/>
        </w:rPr>
      </w:pPr>
    </w:p>
    <w:p>
      <w:pPr>
        <w:ind w:left="60" w:right="140"/>
        <w:spacing w:after="0" w:line="281" w:lineRule="auto"/>
        <w:rPr>
          <w:sz w:val="20"/>
          <w:szCs w:val="20"/>
          <w:color w:val="auto"/>
        </w:rPr>
      </w:pPr>
      <w:r>
        <w:rPr>
          <w:rFonts w:ascii="Times New Roman" w:cs="Times New Roman" w:eastAsia="Times New Roman" w:hAnsi="Times New Roman"/>
          <w:sz w:val="18"/>
          <w:szCs w:val="18"/>
          <w:color w:val="auto"/>
        </w:rPr>
        <w:t>Trademarks, formulations and product technology</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w:t>
      </w:r>
    </w:p>
    <w:p>
      <w:pPr>
        <w:spacing w:after="0" w:line="63" w:lineRule="exact"/>
        <w:rPr>
          <w:sz w:val="20"/>
          <w:szCs w:val="20"/>
          <w:color w:val="auto"/>
        </w:rPr>
      </w:pPr>
    </w:p>
    <w:p>
      <w:pPr>
        <w:ind w:left="220"/>
        <w:spacing w:after="0" w:line="282" w:lineRule="auto"/>
        <w:rPr>
          <w:sz w:val="20"/>
          <w:szCs w:val="20"/>
          <w:color w:val="auto"/>
        </w:rPr>
      </w:pPr>
      <w:r>
        <w:rPr>
          <w:rFonts w:ascii="Times New Roman" w:cs="Times New Roman" w:eastAsia="Times New Roman" w:hAnsi="Times New Roman"/>
          <w:sz w:val="18"/>
          <w:szCs w:val="18"/>
          <w:color w:val="auto"/>
        </w:rPr>
        <w:t>Total definite-lived intangible assets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270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4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27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0" w:type="dxa"/>
            <w:vAlign w:val="bottom"/>
          </w:tcPr>
          <w:p>
            <w:pPr>
              <w:spacing w:after="0"/>
              <w:rPr>
                <w:sz w:val="1"/>
                <w:szCs w:val="1"/>
                <w:color w:val="auto"/>
              </w:rPr>
            </w:pPr>
          </w:p>
        </w:tc>
      </w:tr>
      <w:tr>
        <w:trPr>
          <w:trHeight w:val="27"/>
        </w:trPr>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20" w:type="dxa"/>
            <w:vAlign w:val="bottom"/>
          </w:tcPr>
          <w:p>
            <w:pPr>
              <w:spacing w:after="0"/>
              <w:rPr>
                <w:sz w:val="18"/>
                <w:szCs w:val="18"/>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18"/>
                <w:szCs w:val="18"/>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130"/>
        </w:trPr>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901,686</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829,255</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324,711</w:t>
            </w:r>
          </w:p>
        </w:tc>
        <w:tc>
          <w:tcPr>
            <w:tcW w:w="8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285,450</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576,975</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543,805</w:t>
            </w: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201,453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160,257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71,439</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62,373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130,014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97,884</w:t>
            </w: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5,769</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7"/>
        </w:trPr>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1,108,995</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995,271</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401,919</w:t>
            </w:r>
          </w:p>
        </w:tc>
        <w:tc>
          <w:tcPr>
            <w:tcW w:w="80" w:type="dxa"/>
            <w:vAlign w:val="bottom"/>
          </w:tcPr>
          <w:p>
            <w:pPr>
              <w:spacing w:after="0"/>
              <w:rPr>
                <w:sz w:val="24"/>
                <w:szCs w:val="24"/>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353,486</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707,076</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641,785</w:t>
            </w:r>
          </w:p>
        </w:tc>
        <w:tc>
          <w:tcPr>
            <w:tcW w:w="0" w:type="dxa"/>
            <w:vAlign w:val="bottom"/>
          </w:tcPr>
          <w:p>
            <w:pPr>
              <w:spacing w:after="0"/>
              <w:rPr>
                <w:sz w:val="1"/>
                <w:szCs w:val="1"/>
                <w:color w:val="auto"/>
              </w:rPr>
            </w:pPr>
          </w:p>
        </w:tc>
      </w:tr>
      <w:tr>
        <w:trPr>
          <w:trHeight w:val="122"/>
        </w:trPr>
        <w:tc>
          <w:tcPr>
            <w:tcW w:w="1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-1717040</wp:posOffset>
            </wp:positionH>
            <wp:positionV relativeFrom="paragraph">
              <wp:posOffset>-985520</wp:posOffset>
            </wp:positionV>
            <wp:extent cx="709803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98030" cy="179705"/>
                    </a:xfrm>
                    <a:prstGeom prst="rect">
                      <a:avLst/>
                    </a:prstGeom>
                    <a:noFill/>
                  </pic:spPr>
                </pic:pic>
              </a:graphicData>
            </a:graphic>
          </wp:anchor>
        </w:drawing>
        <w:drawing>
          <wp:anchor simplePos="0" relativeHeight="251657728" behindDoc="1" locked="0" layoutInCell="0" allowOverlap="1">
            <wp:simplePos x="0" y="0"/>
            <wp:positionH relativeFrom="column">
              <wp:posOffset>-1717040</wp:posOffset>
            </wp:positionH>
            <wp:positionV relativeFrom="paragraph">
              <wp:posOffset>-496570</wp:posOffset>
            </wp:positionV>
            <wp:extent cx="709803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2360" w:space="380"/>
            <w:col w:w="8500"/>
          </w:cols>
          <w:pgMar w:left="320" w:top="121" w:right="339" w:bottom="1440" w:gutter="0" w:footer="0" w:header="0"/>
          <w:type w:val="continuous"/>
        </w:sect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amortizes definite-lived intangible assets on a straight-line basis over their useful lives. The Company recorded amortization expense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18"/>
                <w:szCs w:val="18"/>
                <w:color w:val="auto"/>
              </w:rPr>
            </w:pPr>
          </w:p>
        </w:tc>
        <w:tc>
          <w:tcPr>
            <w:tcW w:w="24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30,325</w:t>
            </w:r>
          </w:p>
        </w:tc>
        <w:tc>
          <w:tcPr>
            <w:tcW w:w="4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405"/>
        </w:trPr>
        <w:tc>
          <w:tcPr>
            <w:tcW w:w="20" w:type="dxa"/>
            <w:vAlign w:val="bottom"/>
          </w:tcPr>
          <w:p>
            <w:pPr>
              <w:spacing w:after="0"/>
              <w:rPr>
                <w:sz w:val="24"/>
                <w:szCs w:val="24"/>
                <w:color w:val="auto"/>
              </w:rPr>
            </w:pPr>
          </w:p>
        </w:tc>
        <w:tc>
          <w:tcPr>
            <w:tcW w:w="846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Estimated annual aggregate amortization expense for the current year and subsequent five years is as follows: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2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80" w:type="dxa"/>
            <w:vAlign w:val="bottom"/>
            <w:gridSpan w:val="2"/>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50"/>
        </w:trPr>
        <w:tc>
          <w:tcPr>
            <w:tcW w:w="20" w:type="dxa"/>
            <w:vAlign w:val="bottom"/>
          </w:tcPr>
          <w:p>
            <w:pPr>
              <w:spacing w:after="0"/>
              <w:rPr>
                <w:sz w:val="21"/>
                <w:szCs w:val="21"/>
                <w:color w:val="auto"/>
              </w:rPr>
            </w:pPr>
          </w:p>
        </w:tc>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 the remainder of 2025</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33,109</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 2026</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63,917</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 2027</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63,577</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 2028</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63,105</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 2029</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61,969</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 2030</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59,665</w:t>
            </w:r>
          </w:p>
        </w:tc>
        <w:tc>
          <w:tcPr>
            <w:tcW w:w="20" w:type="dxa"/>
            <w:vAlign w:val="bottom"/>
          </w:tcPr>
          <w:p>
            <w:pPr>
              <w:spacing w:after="0"/>
              <w:rPr>
                <w:sz w:val="21"/>
                <w:szCs w:val="21"/>
                <w:color w:val="auto"/>
              </w:rPr>
            </w:pPr>
          </w:p>
        </w:tc>
      </w:tr>
    </w:tbl>
    <w:p>
      <w:pPr>
        <w:spacing w:after="0" w:line="21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the Company had indefinite-lived intangible assets for trademarks and tradenames totaling $201.2 million and $185.3 million, respectively.</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14 – Debt</w:t>
            </w: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2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the Company’s debt:</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82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As of June 30, 2025</w:t>
            </w:r>
          </w:p>
        </w:tc>
        <w:tc>
          <w:tcPr>
            <w:tcW w:w="80" w:type="dxa"/>
            <w:vAlign w:val="bottom"/>
          </w:tcPr>
          <w:p>
            <w:pPr>
              <w:spacing w:after="0"/>
              <w:rPr>
                <w:sz w:val="24"/>
                <w:szCs w:val="24"/>
                <w:color w:val="auto"/>
              </w:rPr>
            </w:pPr>
          </w:p>
        </w:tc>
        <w:tc>
          <w:tcPr>
            <w:tcW w:w="280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14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80" w:type="dxa"/>
            <w:vAlign w:val="bottom"/>
          </w:tcPr>
          <w:p>
            <w:pPr>
              <w:spacing w:after="0"/>
              <w:rPr>
                <w:sz w:val="18"/>
                <w:szCs w:val="18"/>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6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Outstanding</w:t>
            </w:r>
          </w:p>
        </w:tc>
      </w:tr>
      <w:tr>
        <w:trPr>
          <w:trHeight w:val="238"/>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4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40" w:type="dxa"/>
            <w:vAlign w:val="bottom"/>
          </w:tcPr>
          <w:p>
            <w:pPr>
              <w:spacing w:after="0"/>
              <w:rPr>
                <w:sz w:val="20"/>
                <w:szCs w:val="20"/>
                <w:color w:val="auto"/>
              </w:rPr>
            </w:pP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80" w:type="dxa"/>
            <w:vAlign w:val="bottom"/>
          </w:tcPr>
          <w:p>
            <w:pPr>
              <w:spacing w:after="0"/>
              <w:rPr>
                <w:sz w:val="20"/>
                <w:szCs w:val="20"/>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60" w:type="dxa"/>
            <w:vAlign w:val="bottom"/>
          </w:tcPr>
          <w:p>
            <w:pPr>
              <w:spacing w:after="0"/>
              <w:rPr>
                <w:sz w:val="20"/>
                <w:szCs w:val="20"/>
                <w:color w:val="auto"/>
              </w:rPr>
            </w:pPr>
          </w:p>
        </w:tc>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7"/>
        </w:trPr>
        <w:tc>
          <w:tcPr>
            <w:tcW w:w="20" w:type="dxa"/>
            <w:vAlign w:val="bottom"/>
          </w:tcPr>
          <w:p>
            <w:pPr>
              <w:spacing w:after="0"/>
              <w:rPr>
                <w:sz w:val="2"/>
                <w:szCs w:val="2"/>
                <w:color w:val="auto"/>
              </w:rPr>
            </w:pPr>
          </w:p>
        </w:tc>
        <w:tc>
          <w:tcPr>
            <w:tcW w:w="5500" w:type="dxa"/>
            <w:vAlign w:val="bottom"/>
            <w:tcBorders>
              <w:bottom w:val="single" w:sz="8" w:color="CCED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550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Credit Facilities:</w:t>
            </w:r>
          </w:p>
        </w:tc>
        <w:tc>
          <w:tcPr>
            <w:tcW w:w="1380" w:type="dxa"/>
            <w:vAlign w:val="bottom"/>
            <w:tcBorders>
              <w:bottom w:val="single" w:sz="8" w:color="CCEDFF"/>
            </w:tcBorders>
            <w:shd w:val="clear" w:color="auto" w:fill="CCEDFF"/>
          </w:tcPr>
          <w:p>
            <w:pPr>
              <w:spacing w:after="0"/>
              <w:rPr>
                <w:sz w:val="20"/>
                <w:szCs w:val="20"/>
                <w:color w:val="auto"/>
              </w:rPr>
            </w:pPr>
          </w:p>
        </w:tc>
        <w:tc>
          <w:tcPr>
            <w:tcW w:w="80" w:type="dxa"/>
            <w:vAlign w:val="bottom"/>
            <w:tcBorders>
              <w:bottom w:val="single" w:sz="8" w:color="CCEDFF"/>
            </w:tcBorders>
            <w:shd w:val="clear" w:color="auto" w:fill="CCEDFF"/>
          </w:tcPr>
          <w:p>
            <w:pPr>
              <w:spacing w:after="0"/>
              <w:rPr>
                <w:sz w:val="20"/>
                <w:szCs w:val="20"/>
                <w:color w:val="auto"/>
              </w:rPr>
            </w:pPr>
          </w:p>
        </w:tc>
        <w:tc>
          <w:tcPr>
            <w:tcW w:w="140" w:type="dxa"/>
            <w:vAlign w:val="bottom"/>
            <w:tcBorders>
              <w:bottom w:val="single" w:sz="8" w:color="CCEDFF"/>
            </w:tcBorders>
            <w:shd w:val="clear" w:color="auto" w:fill="CCEDFF"/>
          </w:tcPr>
          <w:p>
            <w:pPr>
              <w:spacing w:after="0"/>
              <w:rPr>
                <w:sz w:val="20"/>
                <w:szCs w:val="20"/>
                <w:color w:val="auto"/>
              </w:rPr>
            </w:pPr>
          </w:p>
        </w:tc>
        <w:tc>
          <w:tcPr>
            <w:tcW w:w="1220" w:type="dxa"/>
            <w:vAlign w:val="bottom"/>
            <w:tcBorders>
              <w:bottom w:val="single" w:sz="8" w:color="CCEDFF"/>
            </w:tcBorders>
            <w:shd w:val="clear" w:color="auto" w:fill="CCEDFF"/>
          </w:tcPr>
          <w:p>
            <w:pPr>
              <w:spacing w:after="0"/>
              <w:rPr>
                <w:sz w:val="20"/>
                <w:szCs w:val="20"/>
                <w:color w:val="auto"/>
              </w:rPr>
            </w:pPr>
          </w:p>
        </w:tc>
        <w:tc>
          <w:tcPr>
            <w:tcW w:w="80" w:type="dxa"/>
            <w:vAlign w:val="bottom"/>
            <w:tcBorders>
              <w:bottom w:val="single" w:sz="8" w:color="CCEDFF"/>
            </w:tcBorders>
            <w:shd w:val="clear" w:color="auto" w:fill="CCEDFF"/>
          </w:tcPr>
          <w:p>
            <w:pPr>
              <w:spacing w:after="0"/>
              <w:rPr>
                <w:sz w:val="20"/>
                <w:szCs w:val="20"/>
                <w:color w:val="auto"/>
              </w:rPr>
            </w:pPr>
          </w:p>
        </w:tc>
        <w:tc>
          <w:tcPr>
            <w:tcW w:w="1360" w:type="dxa"/>
            <w:vAlign w:val="bottom"/>
            <w:tcBorders>
              <w:bottom w:val="single" w:sz="8" w:color="CCEDFF"/>
            </w:tcBorders>
            <w:shd w:val="clear" w:color="auto" w:fill="CCEDFF"/>
          </w:tcPr>
          <w:p>
            <w:pPr>
              <w:spacing w:after="0"/>
              <w:rPr>
                <w:sz w:val="20"/>
                <w:szCs w:val="20"/>
                <w:color w:val="auto"/>
              </w:rPr>
            </w:pPr>
          </w:p>
        </w:tc>
        <w:tc>
          <w:tcPr>
            <w:tcW w:w="80" w:type="dxa"/>
            <w:vAlign w:val="bottom"/>
            <w:tcBorders>
              <w:bottom w:val="single" w:sz="8" w:color="CCEDFF"/>
            </w:tcBorders>
            <w:shd w:val="clear" w:color="auto" w:fill="CCEDFF"/>
          </w:tcPr>
          <w:p>
            <w:pPr>
              <w:spacing w:after="0"/>
              <w:rPr>
                <w:sz w:val="20"/>
                <w:szCs w:val="20"/>
                <w:color w:val="auto"/>
              </w:rPr>
            </w:pPr>
          </w:p>
        </w:tc>
        <w:tc>
          <w:tcPr>
            <w:tcW w:w="160" w:type="dxa"/>
            <w:vAlign w:val="bottom"/>
            <w:tcBorders>
              <w:bottom w:val="single" w:sz="8" w:color="CCEDFF"/>
            </w:tcBorders>
            <w:shd w:val="clear" w:color="auto" w:fill="CCEDFF"/>
          </w:tcPr>
          <w:p>
            <w:pPr>
              <w:spacing w:after="0"/>
              <w:rPr>
                <w:sz w:val="20"/>
                <w:szCs w:val="20"/>
                <w:color w:val="auto"/>
              </w:rPr>
            </w:pPr>
          </w:p>
        </w:tc>
        <w:tc>
          <w:tcPr>
            <w:tcW w:w="1200" w:type="dxa"/>
            <w:vAlign w:val="bottom"/>
            <w:tcBorders>
              <w:bottom w:val="single" w:sz="8" w:color="CCEDFF"/>
            </w:tcBorders>
            <w:shd w:val="clear" w:color="auto" w:fill="CCED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Revolver</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4.93%</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277,063</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48,820</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DFF"/>
            </w:tcBorders>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U.S. Term Loan</w:t>
            </w:r>
          </w:p>
        </w:tc>
        <w:tc>
          <w:tcPr>
            <w:tcW w:w="1380" w:type="dxa"/>
            <w:vAlign w:val="bottom"/>
            <w:tcBorders>
              <w:bottom w:val="single" w:sz="8" w:color="CCEDFF"/>
            </w:tcBorders>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8"/>
              </w:rPr>
              <w:t>5.54%</w:t>
            </w: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spacing w:after="0"/>
              <w:rPr>
                <w:sz w:val="21"/>
                <w:szCs w:val="21"/>
                <w:color w:val="auto"/>
              </w:rPr>
            </w:pP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495,504</w:t>
            </w:r>
          </w:p>
        </w:tc>
        <w:tc>
          <w:tcPr>
            <w:tcW w:w="1440" w:type="dxa"/>
            <w:vAlign w:val="bottom"/>
            <w:tcBorders>
              <w:bottom w:val="single" w:sz="8" w:color="CCEDFF"/>
            </w:tcBorders>
            <w:gridSpan w:val="2"/>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5.62%</w:t>
            </w:r>
          </w:p>
        </w:tc>
        <w:tc>
          <w:tcPr>
            <w:tcW w:w="80" w:type="dxa"/>
            <w:vAlign w:val="bottom"/>
            <w:tcBorders>
              <w:bottom w:val="single" w:sz="8" w:color="CCEDFF"/>
            </w:tcBorders>
            <w:shd w:val="clear" w:color="auto" w:fill="CCEDFF"/>
          </w:tcPr>
          <w:p>
            <w:pPr>
              <w:spacing w:after="0"/>
              <w:rPr>
                <w:sz w:val="21"/>
                <w:szCs w:val="21"/>
                <w:color w:val="auto"/>
              </w:rPr>
            </w:pPr>
          </w:p>
        </w:tc>
        <w:tc>
          <w:tcPr>
            <w:tcW w:w="160" w:type="dxa"/>
            <w:vAlign w:val="bottom"/>
            <w:tcBorders>
              <w:bottom w:val="single" w:sz="8" w:color="CCEDFF"/>
            </w:tcBorders>
            <w:shd w:val="clear" w:color="auto" w:fill="CCEDFF"/>
          </w:tcPr>
          <w:p>
            <w:pPr>
              <w:spacing w:after="0"/>
              <w:rPr>
                <w:sz w:val="21"/>
                <w:szCs w:val="21"/>
                <w:color w:val="auto"/>
              </w:rPr>
            </w:pP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508,863</w:t>
            </w:r>
          </w:p>
        </w:tc>
      </w:tr>
      <w:tr>
        <w:trPr>
          <w:trHeight w:val="243"/>
        </w:trPr>
        <w:tc>
          <w:tcPr>
            <w:tcW w:w="20" w:type="dxa"/>
            <w:vAlign w:val="bottom"/>
          </w:tcPr>
          <w:p>
            <w:pPr>
              <w:spacing w:after="0"/>
              <w:rPr>
                <w:sz w:val="21"/>
                <w:szCs w:val="21"/>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Euro Term Loan</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152,694</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138,767</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Industrial development bonds</w:t>
            </w:r>
          </w:p>
        </w:tc>
        <w:tc>
          <w:tcPr>
            <w:tcW w:w="1380" w:type="dxa"/>
            <w:vAlign w:val="bottom"/>
            <w:tcBorders>
              <w:bottom w:val="single" w:sz="8" w:color="CCEDFF"/>
            </w:tcBorders>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8"/>
              </w:rPr>
              <w:t>5.26%</w:t>
            </w: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spacing w:after="0"/>
              <w:rPr>
                <w:sz w:val="21"/>
                <w:szCs w:val="21"/>
                <w:color w:val="auto"/>
              </w:rPr>
            </w:pP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40" w:type="dxa"/>
            <w:vAlign w:val="bottom"/>
            <w:tcBorders>
              <w:bottom w:val="single" w:sz="8" w:color="CCEDFF"/>
            </w:tcBorders>
            <w:gridSpan w:val="2"/>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Borders>
              <w:bottom w:val="single" w:sz="8" w:color="CCEDFF"/>
            </w:tcBorders>
            <w:shd w:val="clear" w:color="auto" w:fill="CCEDFF"/>
          </w:tcPr>
          <w:p>
            <w:pPr>
              <w:spacing w:after="0"/>
              <w:rPr>
                <w:sz w:val="21"/>
                <w:szCs w:val="21"/>
                <w:color w:val="auto"/>
              </w:rPr>
            </w:pPr>
          </w:p>
        </w:tc>
        <w:tc>
          <w:tcPr>
            <w:tcW w:w="160" w:type="dxa"/>
            <w:vAlign w:val="bottom"/>
            <w:tcBorders>
              <w:bottom w:val="single" w:sz="8" w:color="CCEDFF"/>
            </w:tcBorders>
            <w:shd w:val="clear" w:color="auto" w:fill="CCEDFF"/>
          </w:tcPr>
          <w:p>
            <w:pPr>
              <w:spacing w:after="0"/>
              <w:rPr>
                <w:sz w:val="21"/>
                <w:szCs w:val="21"/>
                <w:color w:val="auto"/>
              </w:rPr>
            </w:pP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lines of credit and other debt obligations</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4"/>
              </w:rPr>
              <w:t>Various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80" w:type="dxa"/>
            <w:vAlign w:val="bottom"/>
          </w:tcPr>
          <w:p>
            <w:pPr>
              <w:spacing w:after="0"/>
              <w:rPr>
                <w:sz w:val="21"/>
                <w:szCs w:val="21"/>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Various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r>
      <w:tr>
        <w:trPr>
          <w:trHeight w:val="27"/>
        </w:trPr>
        <w:tc>
          <w:tcPr>
            <w:tcW w:w="20" w:type="dxa"/>
            <w:vAlign w:val="bottom"/>
          </w:tcPr>
          <w:p>
            <w:pPr>
              <w:spacing w:after="0"/>
              <w:rPr>
                <w:sz w:val="2"/>
                <w:szCs w:val="2"/>
                <w:color w:val="auto"/>
              </w:rPr>
            </w:pPr>
          </w:p>
        </w:tc>
        <w:tc>
          <w:tcPr>
            <w:tcW w:w="5500" w:type="dxa"/>
            <w:vAlign w:val="bottom"/>
            <w:tcBorders>
              <w:bottom w:val="single" w:sz="8" w:color="CCEDFF"/>
            </w:tcBorders>
          </w:tcPr>
          <w:p>
            <w:pPr>
              <w:spacing w:after="0"/>
              <w:rPr>
                <w:sz w:val="2"/>
                <w:szCs w:val="2"/>
                <w:color w:val="auto"/>
              </w:rPr>
            </w:pPr>
          </w:p>
        </w:tc>
        <w:tc>
          <w:tcPr>
            <w:tcW w:w="1380" w:type="dxa"/>
            <w:vAlign w:val="bottom"/>
            <w:tcBorders>
              <w:bottom w:val="single" w:sz="8" w:color="CCEDFF"/>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360" w:type="dxa"/>
            <w:vAlign w:val="bottom"/>
            <w:tcBorders>
              <w:bottom w:val="single" w:sz="8" w:color="CCEDFF"/>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550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38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936,695</w:t>
            </w:r>
          </w:p>
        </w:tc>
        <w:tc>
          <w:tcPr>
            <w:tcW w:w="80" w:type="dxa"/>
            <w:vAlign w:val="bottom"/>
            <w:tcBorders>
              <w:bottom w:val="single" w:sz="8" w:color="CCEDFF"/>
            </w:tcBorders>
            <w:shd w:val="clear" w:color="auto" w:fill="CCEDFF"/>
          </w:tcPr>
          <w:p>
            <w:pPr>
              <w:spacing w:after="0"/>
              <w:rPr>
                <w:sz w:val="21"/>
                <w:szCs w:val="21"/>
                <w:color w:val="auto"/>
              </w:rPr>
            </w:pPr>
          </w:p>
        </w:tc>
        <w:tc>
          <w:tcPr>
            <w:tcW w:w="136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1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708,267</w:t>
            </w:r>
          </w:p>
        </w:tc>
      </w:tr>
      <w:tr>
        <w:trPr>
          <w:trHeight w:val="243"/>
        </w:trPr>
        <w:tc>
          <w:tcPr>
            <w:tcW w:w="20" w:type="dxa"/>
            <w:vAlign w:val="bottom"/>
          </w:tcPr>
          <w:p>
            <w:pPr>
              <w:spacing w:after="0"/>
              <w:rPr>
                <w:sz w:val="21"/>
                <w:szCs w:val="21"/>
                <w:color w:val="auto"/>
              </w:rPr>
            </w:pPr>
          </w:p>
        </w:tc>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debt issuance costs</w:t>
            </w: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500" w:type="dxa"/>
            <w:vAlign w:val="bottom"/>
            <w:tcBorders>
              <w:bottom w:val="single" w:sz="8" w:color="CCEDFF"/>
            </w:tcBorders>
            <w:shd w:val="clear" w:color="auto" w:fill="CCEDFF"/>
          </w:tcPr>
          <w:p>
            <w:pPr>
              <w:ind w:left="180"/>
              <w:spacing w:after="0"/>
              <w:rPr>
                <w:sz w:val="20"/>
                <w:szCs w:val="20"/>
                <w:color w:val="auto"/>
              </w:rPr>
            </w:pPr>
            <w:r>
              <w:rPr>
                <w:rFonts w:ascii="Times New Roman" w:cs="Times New Roman" w:eastAsia="Times New Roman" w:hAnsi="Times New Roman"/>
                <w:sz w:val="18"/>
                <w:szCs w:val="18"/>
                <w:color w:val="auto"/>
              </w:rPr>
              <w:t>Less: short-term and current portion of long-term debts</w:t>
            </w:r>
          </w:p>
        </w:tc>
        <w:tc>
          <w:tcPr>
            <w:tcW w:w="1380" w:type="dxa"/>
            <w:vAlign w:val="bottom"/>
            <w:tcBorders>
              <w:bottom w:val="single" w:sz="8" w:color="CCEDFF"/>
            </w:tcBorders>
            <w:shd w:val="clear" w:color="auto" w:fill="CCEDFF"/>
          </w:tcPr>
          <w:p>
            <w:pPr>
              <w:spacing w:after="0"/>
              <w:rPr>
                <w:sz w:val="23"/>
                <w:szCs w:val="23"/>
                <w:color w:val="auto"/>
              </w:rPr>
            </w:pPr>
          </w:p>
        </w:tc>
        <w:tc>
          <w:tcPr>
            <w:tcW w:w="80" w:type="dxa"/>
            <w:vAlign w:val="bottom"/>
            <w:tcBorders>
              <w:bottom w:val="single" w:sz="8" w:color="CCEDFF"/>
            </w:tcBorders>
            <w:shd w:val="clear" w:color="auto" w:fill="CCEDFF"/>
          </w:tcPr>
          <w:p>
            <w:pPr>
              <w:spacing w:after="0"/>
              <w:rPr>
                <w:sz w:val="23"/>
                <w:szCs w:val="23"/>
                <w:color w:val="auto"/>
              </w:rPr>
            </w:pPr>
          </w:p>
        </w:tc>
        <w:tc>
          <w:tcPr>
            <w:tcW w:w="140" w:type="dxa"/>
            <w:vAlign w:val="bottom"/>
            <w:tcBorders>
              <w:bottom w:val="single" w:sz="8" w:color="CCEDFF"/>
            </w:tcBorders>
            <w:shd w:val="clear" w:color="auto" w:fill="CCEDFF"/>
          </w:tcPr>
          <w:p>
            <w:pPr>
              <w:spacing w:after="0"/>
              <w:rPr>
                <w:sz w:val="23"/>
                <w:szCs w:val="23"/>
                <w:color w:val="auto"/>
              </w:rPr>
            </w:pP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(37,867)</w:t>
            </w:r>
          </w:p>
        </w:tc>
        <w:tc>
          <w:tcPr>
            <w:tcW w:w="80" w:type="dxa"/>
            <w:vAlign w:val="bottom"/>
            <w:tcBorders>
              <w:bottom w:val="single" w:sz="8" w:color="CCEDFF"/>
            </w:tcBorders>
            <w:shd w:val="clear" w:color="auto" w:fill="CCEDFF"/>
          </w:tcPr>
          <w:p>
            <w:pPr>
              <w:spacing w:after="0"/>
              <w:rPr>
                <w:sz w:val="23"/>
                <w:szCs w:val="23"/>
                <w:color w:val="auto"/>
              </w:rPr>
            </w:pPr>
          </w:p>
        </w:tc>
        <w:tc>
          <w:tcPr>
            <w:tcW w:w="1360" w:type="dxa"/>
            <w:vAlign w:val="bottom"/>
            <w:tcBorders>
              <w:bottom w:val="single" w:sz="8" w:color="CCEDFF"/>
            </w:tcBorders>
            <w:shd w:val="clear" w:color="auto" w:fill="CCEDFF"/>
          </w:tcPr>
          <w:p>
            <w:pPr>
              <w:spacing w:after="0"/>
              <w:rPr>
                <w:sz w:val="23"/>
                <w:szCs w:val="23"/>
                <w:color w:val="auto"/>
              </w:rPr>
            </w:pPr>
          </w:p>
        </w:tc>
        <w:tc>
          <w:tcPr>
            <w:tcW w:w="80" w:type="dxa"/>
            <w:vAlign w:val="bottom"/>
            <w:tcBorders>
              <w:bottom w:val="single" w:sz="8" w:color="CCEDFF"/>
            </w:tcBorders>
            <w:shd w:val="clear" w:color="auto" w:fill="CCEDFF"/>
          </w:tcPr>
          <w:p>
            <w:pPr>
              <w:spacing w:after="0"/>
              <w:rPr>
                <w:sz w:val="23"/>
                <w:szCs w:val="23"/>
                <w:color w:val="auto"/>
              </w:rPr>
            </w:pPr>
          </w:p>
        </w:tc>
        <w:tc>
          <w:tcPr>
            <w:tcW w:w="160" w:type="dxa"/>
            <w:vAlign w:val="bottom"/>
            <w:tcBorders>
              <w:bottom w:val="single" w:sz="8" w:color="CCEDFF"/>
            </w:tcBorders>
            <w:shd w:val="clear" w:color="auto" w:fill="CCEDFF"/>
          </w:tcPr>
          <w:p>
            <w:pPr>
              <w:spacing w:after="0"/>
              <w:rPr>
                <w:sz w:val="23"/>
                <w:szCs w:val="23"/>
                <w:color w:val="auto"/>
              </w:rPr>
            </w:pP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(37,554)</w:t>
            </w:r>
          </w:p>
        </w:tc>
      </w:tr>
      <w:tr>
        <w:trPr>
          <w:trHeight w:val="264"/>
        </w:trPr>
        <w:tc>
          <w:tcPr>
            <w:tcW w:w="20" w:type="dxa"/>
            <w:vAlign w:val="bottom"/>
          </w:tcPr>
          <w:p>
            <w:pPr>
              <w:spacing w:after="0"/>
              <w:rPr>
                <w:sz w:val="22"/>
                <w:szCs w:val="22"/>
                <w:color w:val="auto"/>
              </w:rPr>
            </w:pPr>
          </w:p>
        </w:tc>
        <w:tc>
          <w:tcPr>
            <w:tcW w:w="5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long-term debt</w:t>
            </w: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897,953</w:t>
            </w: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669,614</w:t>
            </w: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ind w:left="2620" w:right="2280" w:firstLine="406"/>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Continued </w:t>
      </w: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June 2022, the Company, and its wholly owned subsidiary, Quaker Houghton B.V., as borrowers, Bank of America, N.A., as administrative agent, U.S. dollar swing line lender and letter of credit issuer, Bank of America Europe Designated Active Company, as Euro Swing Line Lender, certain guarantors and other lenders entered into an amendment to its primary credit facility. The amended credit facility (the “Credit Facility”) established (A) a $150.0 million Euro equivalent senior secured term loan (the “Euro Term Loan”), (B) a $600.0 million senior secured term loan (the “U.S. Term Loan”), and (C) a $500.0 million senior secured revolving credit facility (the “Revolver”), each maturing in June 2027. The Company has the right to increase the amount of the Credit Facility by an aggregate amount not to exceed the greater of $300.0 million or 100% of Consolidated EBITDA, subject to certain conditions including the agreement to provide financing by any lender providing such increase.</w:t>
      </w:r>
    </w:p>
    <w:p>
      <w:pPr>
        <w:spacing w:after="0" w:line="79"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As of June 30, 2025, the Company was in compliance with all of the Credit Facility covenants. See Note 19,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to Consolidated Financial Statements in the Company’s 2024 Form 10-K.</w:t>
      </w:r>
    </w:p>
    <w:p>
      <w:pPr>
        <w:spacing w:after="0" w:line="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weighted average variable interest rate incurred on the outstanding borrowings under the Credit Facility during the three and six months ended June 30, 2025 was approximately 5.2% for both periods. As of June 30, 2025, the interest rate on the outstanding borrowings under the Credit Facility was approximately 4.9%. As part of the Credit Facility, in addition to paying interest on outstanding principal, the Company is also required to pay an annual commitment fee ranging from 0.150% to 0.275% related to unutilized commitments under the Revolver, depending on the Company’s consolidated net leverage ratio. The Company had unused capacity under the Revolver of approximately $220 million, which is net of bank letters of credit of approximately $2 million, as of June 30, 2025.</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order to manage the Company’s exposure to variable interest rate risk associated with the Credit Facility, in the first quarter of 2023, the Company entered into $300.0 million notional amounts of three-year interest rate swaps to convert a portion of the Company’s variable rate borrowings to an average fixed rate of 3.64% plus an applicable margin as provided in the Credit Facility based on the Company’s consolidated net leverage ratio. As of June 30, 2025, the aggregate interest rate on the swaps, including the fixed base rate plus the applicable margin, was 4.9%. See Note 17, </w:t>
      </w:r>
      <w:r>
        <w:rPr>
          <w:rFonts w:ascii="Times New Roman" w:cs="Times New Roman" w:eastAsia="Times New Roman" w:hAnsi="Times New Roman"/>
          <w:sz w:val="18"/>
          <w:szCs w:val="18"/>
          <w:i w:val="1"/>
          <w:iCs w:val="1"/>
          <w:color w:val="auto"/>
        </w:rPr>
        <w:t>Hedging Activities</w:t>
      </w:r>
      <w:r>
        <w:rPr>
          <w:rFonts w:ascii="Times New Roman" w:cs="Times New Roman" w:eastAsia="Times New Roman" w:hAnsi="Times New Roman"/>
          <w:sz w:val="18"/>
          <w:szCs w:val="18"/>
          <w:color w:val="auto"/>
        </w:rPr>
        <w:t>, for more information.</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capitalized third-party and credit debt issuance costs attributed to the Euro Term Loan, U.S. Term Loan and Revolver during the second quarter of 2022. Capitalized costs attributed to the Euro Term Loan and U.S. Term Loan are recorded as a direct offset to Long-term debt on the Condensed Consolidated Balance Sheets. Capitalized costs attributed to the Revolver are recorded within Other assets on the Condensed Consolidated Balance Sheets. These capitalized costs are amortized into Interest expense over the five-year term of the Credit Facility. As of June 30, 2025 and December 31, 2024, the Company had $0.9 million and $1.1 million, respectively, of debt issuance costs recorded as a reduction of Long-term debt and $1.9 million and $2.4 million, respectively, of debt issuance costs recorded within Other assets.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Industrial development bonds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the Company had fixed rate, industrial development authority bonds totaling $10.0 million in principal amount due in 2028. These bonds have similar covenants to the Credit Facility noted above.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 lines of credit and other debt obligations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certain unsecured bank lines of credit and discounting facilities in certain foreign subsidiaries, which are not collateralized. The Company’s other debt obligations primarily consist of certain domestic and foreign low interest rate or interest-free municipality-related loans, local credit facilities of certain foreign subsidiaries, and finance lease obligations. Total unused capacity under these arrangements as of June 30, 2025 was approximately $40 million.</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bank letters of credit described in the “Credit facilities” subsection above, the Company’s other off-balance sheet arrangements include certain financial and other guarantees. The Company’s total bank letters of credit and guarantees outstanding as of June 30, 2025 were approximately $7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ind w:left="2620" w:right="2280" w:firstLine="406"/>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Continued </w:t>
      </w: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incurred the following debt related expenses included within Interest expense in the Condensed Consolidated Statements of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8"/>
                <w:szCs w:val="18"/>
                <w:color w:val="auto"/>
              </w:rPr>
            </w:pPr>
          </w:p>
        </w:tc>
        <w:tc>
          <w:tcPr>
            <w:tcW w:w="24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Pr>
          <w:p>
            <w:pPr>
              <w:spacing w:after="0"/>
              <w:rPr>
                <w:sz w:val="20"/>
                <w:szCs w:val="20"/>
                <w:color w:val="auto"/>
              </w:rPr>
            </w:pPr>
          </w:p>
        </w:tc>
      </w:tr>
      <w:tr>
        <w:trPr>
          <w:trHeight w:val="27"/>
        </w:trPr>
        <w:tc>
          <w:tcPr>
            <w:tcW w:w="5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5700" w:type="dxa"/>
            <w:vAlign w:val="bottom"/>
            <w:tcBorders>
              <w:bottom w:val="single" w:sz="8" w:color="CCED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570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CCEDFF"/>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12,426</w:t>
            </w:r>
          </w:p>
        </w:tc>
        <w:tc>
          <w:tcPr>
            <w:tcW w:w="80" w:type="dxa"/>
            <w:vAlign w:val="bottom"/>
            <w:tcBorders>
              <w:bottom w:val="single" w:sz="8" w:color="CCEDFF"/>
            </w:tcBorders>
            <w:shd w:val="clear" w:color="auto" w:fill="CCEDFF"/>
          </w:tcPr>
          <w:p>
            <w:pPr>
              <w:spacing w:after="0"/>
              <w:rPr>
                <w:sz w:val="21"/>
                <w:szCs w:val="21"/>
                <w:color w:val="auto"/>
              </w:rPr>
            </w:pPr>
          </w:p>
        </w:tc>
        <w:tc>
          <w:tcPr>
            <w:tcW w:w="380" w:type="dxa"/>
            <w:vAlign w:val="bottom"/>
            <w:tcBorders>
              <w:bottom w:val="single" w:sz="8" w:color="CCEDFF"/>
            </w:tcBorders>
            <w:shd w:val="clear" w:color="auto" w:fill="CCED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11,530</w:t>
            </w:r>
          </w:p>
        </w:tc>
        <w:tc>
          <w:tcPr>
            <w:tcW w:w="80" w:type="dxa"/>
            <w:vAlign w:val="bottom"/>
            <w:tcBorders>
              <w:bottom w:val="single" w:sz="8" w:color="CCEDFF"/>
            </w:tcBorders>
            <w:shd w:val="clear" w:color="auto" w:fill="CCEDFF"/>
          </w:tcPr>
          <w:p>
            <w:pPr>
              <w:spacing w:after="0"/>
              <w:rPr>
                <w:sz w:val="21"/>
                <w:szCs w:val="21"/>
                <w:color w:val="auto"/>
              </w:rPr>
            </w:pPr>
          </w:p>
        </w:tc>
        <w:tc>
          <w:tcPr>
            <w:tcW w:w="280" w:type="dxa"/>
            <w:vAlign w:val="bottom"/>
            <w:tcBorders>
              <w:bottom w:val="single" w:sz="8" w:color="CCEDFF"/>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21,618</w:t>
            </w:r>
          </w:p>
        </w:tc>
        <w:tc>
          <w:tcPr>
            <w:tcW w:w="80" w:type="dxa"/>
            <w:vAlign w:val="bottom"/>
            <w:tcBorders>
              <w:bottom w:val="single" w:sz="8" w:color="CCEDFF"/>
            </w:tcBorders>
            <w:shd w:val="clear" w:color="auto" w:fill="CCEDFF"/>
          </w:tcPr>
          <w:p>
            <w:pPr>
              <w:spacing w:after="0"/>
              <w:rPr>
                <w:sz w:val="21"/>
                <w:szCs w:val="21"/>
                <w:color w:val="auto"/>
              </w:rPr>
            </w:pPr>
          </w:p>
        </w:tc>
        <w:tc>
          <w:tcPr>
            <w:tcW w:w="380" w:type="dxa"/>
            <w:vAlign w:val="bottom"/>
            <w:tcBorders>
              <w:bottom w:val="single" w:sz="8" w:color="CCEDFF"/>
            </w:tcBorders>
            <w:shd w:val="clear" w:color="auto" w:fill="CCED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22,812</w:t>
            </w: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7"/>
        </w:trPr>
        <w:tc>
          <w:tcPr>
            <w:tcW w:w="5700" w:type="dxa"/>
            <w:vAlign w:val="bottom"/>
            <w:tcBorders>
              <w:bottom w:val="single" w:sz="8" w:color="CCED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8"/>
        </w:trPr>
        <w:tc>
          <w:tcPr>
            <w:tcW w:w="5700" w:type="dxa"/>
            <w:vAlign w:val="bottom"/>
            <w:tcBorders>
              <w:bottom w:val="single" w:sz="8" w:color="CCEDFF"/>
            </w:tcBorders>
            <w:shd w:val="clear" w:color="auto" w:fill="CCED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12,779</w:t>
            </w:r>
          </w:p>
        </w:tc>
        <w:tc>
          <w:tcPr>
            <w:tcW w:w="80" w:type="dxa"/>
            <w:vAlign w:val="bottom"/>
            <w:tcBorders>
              <w:bottom w:val="single" w:sz="8" w:color="CCEDFF"/>
            </w:tcBorders>
            <w:shd w:val="clear" w:color="auto" w:fill="CCEDFF"/>
          </w:tcPr>
          <w:p>
            <w:pPr>
              <w:spacing w:after="0"/>
              <w:rPr>
                <w:sz w:val="24"/>
                <w:szCs w:val="24"/>
                <w:color w:val="auto"/>
              </w:rPr>
            </w:pPr>
          </w:p>
        </w:tc>
        <w:tc>
          <w:tcPr>
            <w:tcW w:w="380" w:type="dxa"/>
            <w:vAlign w:val="bottom"/>
            <w:tcBorders>
              <w:bottom w:val="single" w:sz="8" w:color="auto"/>
            </w:tcBorders>
            <w:shd w:val="clear" w:color="auto" w:fill="CCED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11,883</w:t>
            </w:r>
          </w:p>
        </w:tc>
        <w:tc>
          <w:tcPr>
            <w:tcW w:w="80" w:type="dxa"/>
            <w:vAlign w:val="bottom"/>
            <w:tcBorders>
              <w:bottom w:val="single" w:sz="8" w:color="CCEDFF"/>
            </w:tcBorders>
            <w:shd w:val="clear" w:color="auto" w:fill="CCEDFF"/>
          </w:tcPr>
          <w:p>
            <w:pPr>
              <w:spacing w:after="0"/>
              <w:rPr>
                <w:sz w:val="24"/>
                <w:szCs w:val="24"/>
                <w:color w:val="auto"/>
              </w:rPr>
            </w:pPr>
          </w:p>
        </w:tc>
        <w:tc>
          <w:tcPr>
            <w:tcW w:w="280" w:type="dxa"/>
            <w:vAlign w:val="bottom"/>
            <w:tcBorders>
              <w:bottom w:val="single" w:sz="8" w:color="auto"/>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22,324</w:t>
            </w:r>
          </w:p>
        </w:tc>
        <w:tc>
          <w:tcPr>
            <w:tcW w:w="80" w:type="dxa"/>
            <w:vAlign w:val="bottom"/>
            <w:tcBorders>
              <w:bottom w:val="single" w:sz="8" w:color="CCEDFF"/>
            </w:tcBorders>
            <w:shd w:val="clear" w:color="auto" w:fill="CCEDFF"/>
          </w:tcPr>
          <w:p>
            <w:pPr>
              <w:spacing w:after="0"/>
              <w:rPr>
                <w:sz w:val="24"/>
                <w:szCs w:val="24"/>
                <w:color w:val="auto"/>
              </w:rPr>
            </w:pPr>
          </w:p>
        </w:tc>
        <w:tc>
          <w:tcPr>
            <w:tcW w:w="380" w:type="dxa"/>
            <w:vAlign w:val="bottom"/>
            <w:tcBorders>
              <w:bottom w:val="single" w:sz="8" w:color="auto"/>
            </w:tcBorders>
            <w:shd w:val="clear" w:color="auto" w:fill="CCED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23,518</w:t>
            </w:r>
          </w:p>
        </w:tc>
      </w:tr>
      <w:tr>
        <w:trPr>
          <w:trHeight w:val="20"/>
        </w:trPr>
        <w:tc>
          <w:tcPr>
            <w:tcW w:w="570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CCEDFF"/>
              <w:bottom w:val="single" w:sz="8" w:color="auto"/>
            </w:tcBorders>
          </w:tcPr>
          <w:p>
            <w:pPr>
              <w:spacing w:after="0" w:line="20" w:lineRule="exact"/>
              <w:rPr>
                <w:sz w:val="1"/>
                <w:szCs w:val="1"/>
                <w:color w:val="auto"/>
              </w:rPr>
            </w:pPr>
          </w:p>
        </w:tc>
        <w:tc>
          <w:tcPr>
            <w:tcW w:w="102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380" w:type="dxa"/>
            <w:vAlign w:val="bottom"/>
            <w:tcBorders>
              <w:top w:val="single" w:sz="8" w:color="CCEDFF"/>
              <w:bottom w:val="single" w:sz="8" w:color="auto"/>
            </w:tcBorders>
          </w:tcPr>
          <w:p>
            <w:pPr>
              <w:spacing w:after="0" w:line="20" w:lineRule="exact"/>
              <w:rPr>
                <w:sz w:val="1"/>
                <w:szCs w:val="1"/>
                <w:color w:val="auto"/>
              </w:rPr>
            </w:pPr>
          </w:p>
        </w:tc>
        <w:tc>
          <w:tcPr>
            <w:tcW w:w="96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80" w:type="dxa"/>
            <w:vAlign w:val="bottom"/>
            <w:tcBorders>
              <w:top w:val="single" w:sz="8" w:color="CCEDFF"/>
              <w:bottom w:val="single" w:sz="8" w:color="auto"/>
            </w:tcBorders>
          </w:tcPr>
          <w:p>
            <w:pPr>
              <w:spacing w:after="0" w:line="20" w:lineRule="exact"/>
              <w:rPr>
                <w:sz w:val="1"/>
                <w:szCs w:val="1"/>
                <w:color w:val="auto"/>
              </w:rPr>
            </w:pPr>
          </w:p>
        </w:tc>
        <w:tc>
          <w:tcPr>
            <w:tcW w:w="104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380" w:type="dxa"/>
            <w:vAlign w:val="bottom"/>
            <w:tcBorders>
              <w:top w:val="single" w:sz="8" w:color="CCEDFF"/>
              <w:bottom w:val="single" w:sz="8" w:color="auto"/>
            </w:tcBorders>
          </w:tcPr>
          <w:p>
            <w:pPr>
              <w:spacing w:after="0" w:line="20" w:lineRule="exact"/>
              <w:rPr>
                <w:sz w:val="1"/>
                <w:szCs w:val="1"/>
                <w:color w:val="auto"/>
              </w:rPr>
            </w:pPr>
          </w:p>
        </w:tc>
        <w:tc>
          <w:tcPr>
            <w:tcW w:w="940" w:type="dxa"/>
            <w:vAlign w:val="bottom"/>
            <w:tcBorders>
              <w:top w:val="single" w:sz="8" w:color="CCED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Based on the variable interest rates associated with the Credit Facility, as of June 30, 2025 and as of December 31, 2024, the amounts at which the Company’s total debt were recorded are not materially different from their fair market value.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Accumulated Other Comprehensive Income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show the reclassifications from and resulting balances of accumulated other comprehensive income (“AOCI”):</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Defined</w:t>
            </w:r>
          </w:p>
        </w:tc>
        <w:tc>
          <w:tcPr>
            <w:tcW w:w="14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Unrealized Gain</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2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(Loss) in</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5"/>
        </w:trPr>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24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Pension</w:t>
            </w: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Available-for-</w:t>
            </w:r>
          </w:p>
        </w:tc>
        <w:tc>
          <w:tcPr>
            <w:tcW w:w="16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Derivative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67"/>
        </w:trPr>
        <w:tc>
          <w:tcPr>
            <w:tcW w:w="3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 xml:space="preserve">Adjustments </w:t>
            </w:r>
            <w:r>
              <w:rPr>
                <w:rFonts w:ascii="Times New Roman" w:cs="Times New Roman" w:eastAsia="Times New Roman" w:hAnsi="Times New Roman"/>
                <w:sz w:val="23"/>
                <w:szCs w:val="23"/>
                <w:b w:val="1"/>
                <w:bCs w:val="1"/>
                <w:color w:val="auto"/>
                <w:w w:val="96"/>
                <w:vertAlign w:val="superscript"/>
              </w:rPr>
              <w:t>(1)</w:t>
            </w:r>
          </w:p>
        </w:tc>
        <w:tc>
          <w:tcPr>
            <w:tcW w:w="240" w:type="dxa"/>
            <w:vAlign w:val="bottom"/>
          </w:tcPr>
          <w:p>
            <w:pPr>
              <w:spacing w:after="0"/>
              <w:rPr>
                <w:sz w:val="23"/>
                <w:szCs w:val="23"/>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120" w:type="dxa"/>
            <w:vAlign w:val="bottom"/>
          </w:tcPr>
          <w:p>
            <w:pPr>
              <w:spacing w:after="0"/>
              <w:rPr>
                <w:sz w:val="23"/>
                <w:szCs w:val="23"/>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Sale Securities</w:t>
            </w:r>
          </w:p>
        </w:tc>
        <w:tc>
          <w:tcPr>
            <w:tcW w:w="160" w:type="dxa"/>
            <w:vAlign w:val="bottom"/>
          </w:tcPr>
          <w:p>
            <w:pPr>
              <w:spacing w:after="0"/>
              <w:rPr>
                <w:sz w:val="23"/>
                <w:szCs w:val="2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c>
          <w:tcPr>
            <w:tcW w:w="300" w:type="dxa"/>
            <w:vAlign w:val="bottom"/>
          </w:tcPr>
          <w:p>
            <w:pPr>
              <w:spacing w:after="0"/>
              <w:rPr>
                <w:sz w:val="23"/>
                <w:szCs w:val="23"/>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3"/>
        </w:trPr>
        <w:tc>
          <w:tcPr>
            <w:tcW w:w="3980" w:type="dxa"/>
            <w:vAlign w:val="bottom"/>
            <w:tcBorders>
              <w:top w:val="single" w:sz="8" w:color="CCEDFF"/>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140" w:type="dxa"/>
            <w:vAlign w:val="bottom"/>
            <w:tcBorders>
              <w:top w:val="single" w:sz="8" w:color="auto"/>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(165,716)</w:t>
            </w:r>
          </w:p>
        </w:tc>
        <w:tc>
          <w:tcPr>
            <w:tcW w:w="80" w:type="dxa"/>
            <w:vAlign w:val="bottom"/>
            <w:tcBorders>
              <w:top w:val="single" w:sz="8" w:color="CCEDFF"/>
              <w:bottom w:val="single" w:sz="8" w:color="CCEDFF"/>
            </w:tcBorders>
            <w:shd w:val="clear" w:color="auto" w:fill="CCEDFF"/>
          </w:tcPr>
          <w:p>
            <w:pPr>
              <w:spacing w:after="0"/>
              <w:rPr>
                <w:sz w:val="21"/>
                <w:szCs w:val="21"/>
                <w:color w:val="auto"/>
              </w:rPr>
            </w:pPr>
          </w:p>
        </w:tc>
        <w:tc>
          <w:tcPr>
            <w:tcW w:w="240" w:type="dxa"/>
            <w:vAlign w:val="bottom"/>
            <w:tcBorders>
              <w:top w:val="single" w:sz="8" w:color="auto"/>
              <w:bottom w:val="single" w:sz="8" w:color="CCEDFF"/>
            </w:tcBorders>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(10,578)</w:t>
            </w:r>
          </w:p>
        </w:tc>
        <w:tc>
          <w:tcPr>
            <w:tcW w:w="80" w:type="dxa"/>
            <w:vAlign w:val="bottom"/>
            <w:tcBorders>
              <w:top w:val="single" w:sz="8" w:color="CCEDFF"/>
              <w:bottom w:val="single" w:sz="8" w:color="CCEDFF"/>
            </w:tcBorders>
            <w:shd w:val="clear" w:color="auto" w:fill="CCEDFF"/>
          </w:tcPr>
          <w:p>
            <w:pPr>
              <w:spacing w:after="0"/>
              <w:rPr>
                <w:sz w:val="21"/>
                <w:szCs w:val="21"/>
                <w:color w:val="auto"/>
              </w:rPr>
            </w:pPr>
          </w:p>
        </w:tc>
        <w:tc>
          <w:tcPr>
            <w:tcW w:w="120" w:type="dxa"/>
            <w:vAlign w:val="bottom"/>
            <w:tcBorders>
              <w:top w:val="single" w:sz="8" w:color="auto"/>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top w:val="single" w:sz="8" w:color="CCEDFF"/>
              <w:bottom w:val="single" w:sz="8" w:color="CCEDFF"/>
            </w:tcBorders>
            <w:shd w:val="clear" w:color="auto" w:fill="CCEDFF"/>
          </w:tcPr>
          <w:p>
            <w:pPr>
              <w:spacing w:after="0"/>
              <w:rPr>
                <w:sz w:val="21"/>
                <w:szCs w:val="21"/>
                <w:color w:val="auto"/>
              </w:rPr>
            </w:pPr>
          </w:p>
        </w:tc>
        <w:tc>
          <w:tcPr>
            <w:tcW w:w="160" w:type="dxa"/>
            <w:vAlign w:val="bottom"/>
            <w:tcBorders>
              <w:top w:val="single" w:sz="8" w:color="auto"/>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80" w:type="dxa"/>
            <w:vAlign w:val="bottom"/>
            <w:tcBorders>
              <w:top w:val="single" w:sz="8" w:color="CCEDFF"/>
              <w:bottom w:val="single" w:sz="8" w:color="CCEDFF"/>
            </w:tcBorders>
            <w:shd w:val="clear" w:color="auto" w:fill="CCEDFF"/>
          </w:tcPr>
          <w:p>
            <w:pPr>
              <w:spacing w:after="0"/>
              <w:rPr>
                <w:sz w:val="21"/>
                <w:szCs w:val="21"/>
                <w:color w:val="auto"/>
              </w:rPr>
            </w:pPr>
          </w:p>
        </w:tc>
        <w:tc>
          <w:tcPr>
            <w:tcW w:w="300" w:type="dxa"/>
            <w:vAlign w:val="bottom"/>
            <w:tcBorders>
              <w:top w:val="single" w:sz="8" w:color="auto"/>
              <w:bottom w:val="single" w:sz="8" w:color="CCEDFF"/>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(175,655)</w:t>
            </w:r>
          </w:p>
        </w:tc>
      </w:tr>
      <w:tr>
        <w:trPr>
          <w:trHeight w:val="225"/>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3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Reclassifications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62,129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60,131</w:t>
            </w:r>
          </w:p>
        </w:tc>
      </w:tr>
      <w:tr>
        <w:trPr>
          <w:trHeight w:val="27"/>
        </w:trPr>
        <w:tc>
          <w:tcPr>
            <w:tcW w:w="3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98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40" w:type="dxa"/>
            <w:vAlign w:val="bottom"/>
            <w:tcBorders>
              <w:bottom w:val="single" w:sz="8" w:color="CCEDFF"/>
            </w:tcBorders>
            <w:shd w:val="clear" w:color="auto" w:fill="CCEDFF"/>
          </w:tcPr>
          <w:p>
            <w:pPr>
              <w:spacing w:after="0"/>
              <w:rPr>
                <w:sz w:val="21"/>
                <w:szCs w:val="21"/>
                <w:color w:val="auto"/>
              </w:rPr>
            </w:pPr>
          </w:p>
        </w:tc>
        <w:tc>
          <w:tcPr>
            <w:tcW w:w="1440" w:type="dxa"/>
            <w:vAlign w:val="bottom"/>
            <w:tcBorders>
              <w:bottom w:val="single" w:sz="8" w:color="CCEDFF"/>
            </w:tcBorders>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DFF"/>
            </w:tcBorders>
            <w:shd w:val="clear" w:color="auto" w:fill="CCEDFF"/>
          </w:tcPr>
          <w:p>
            <w:pPr>
              <w:spacing w:after="0"/>
              <w:rPr>
                <w:sz w:val="21"/>
                <w:szCs w:val="21"/>
                <w:color w:val="auto"/>
              </w:rPr>
            </w:pPr>
          </w:p>
        </w:tc>
        <w:tc>
          <w:tcPr>
            <w:tcW w:w="11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spacing w:after="0"/>
              <w:rPr>
                <w:sz w:val="21"/>
                <w:szCs w:val="21"/>
                <w:color w:val="auto"/>
              </w:rPr>
            </w:pPr>
          </w:p>
        </w:tc>
        <w:tc>
          <w:tcPr>
            <w:tcW w:w="12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DFF"/>
            </w:tcBorders>
            <w:shd w:val="clear" w:color="auto" w:fill="CCEDFF"/>
          </w:tcPr>
          <w:p>
            <w:pPr>
              <w:spacing w:after="0"/>
              <w:rPr>
                <w:sz w:val="21"/>
                <w:szCs w:val="21"/>
                <w:color w:val="auto"/>
              </w:rPr>
            </w:pPr>
          </w:p>
        </w:tc>
        <w:tc>
          <w:tcPr>
            <w:tcW w:w="160" w:type="dxa"/>
            <w:vAlign w:val="bottom"/>
            <w:tcBorders>
              <w:bottom w:val="single" w:sz="8" w:color="CCEDFF"/>
            </w:tcBorders>
            <w:shd w:val="clear" w:color="auto" w:fill="CCEDFF"/>
          </w:tcPr>
          <w:p>
            <w:pPr>
              <w:spacing w:after="0"/>
              <w:rPr>
                <w:sz w:val="21"/>
                <w:szCs w:val="21"/>
                <w:color w:val="auto"/>
              </w:rPr>
            </w:pPr>
          </w:p>
        </w:tc>
        <w:tc>
          <w:tcPr>
            <w:tcW w:w="1280" w:type="dxa"/>
            <w:vAlign w:val="bottom"/>
            <w:tcBorders>
              <w:bottom w:val="single" w:sz="8" w:color="CCEDFF"/>
            </w:tcBorders>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DFF"/>
            </w:tcBorders>
            <w:shd w:val="clear" w:color="auto" w:fill="CCEDFF"/>
          </w:tcPr>
          <w:p>
            <w:pPr>
              <w:spacing w:after="0"/>
              <w:rPr>
                <w:sz w:val="21"/>
                <w:szCs w:val="21"/>
                <w:color w:val="auto"/>
              </w:rPr>
            </w:pP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43"/>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Related tax amounts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7"/>
        </w:trPr>
        <w:tc>
          <w:tcPr>
            <w:tcW w:w="398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398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1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(103,831)</w:t>
            </w:r>
          </w:p>
        </w:tc>
        <w:tc>
          <w:tcPr>
            <w:tcW w:w="80" w:type="dxa"/>
            <w:vAlign w:val="bottom"/>
            <w:tcBorders>
              <w:bottom w:val="single" w:sz="8" w:color="CCEDFF"/>
            </w:tcBorders>
            <w:shd w:val="clear" w:color="auto" w:fill="CCEDFF"/>
          </w:tcPr>
          <w:p>
            <w:pPr>
              <w:spacing w:after="0"/>
              <w:rPr>
                <w:sz w:val="24"/>
                <w:szCs w:val="24"/>
                <w:color w:val="auto"/>
              </w:rPr>
            </w:pPr>
          </w:p>
        </w:tc>
        <w:tc>
          <w:tcPr>
            <w:tcW w:w="240" w:type="dxa"/>
            <w:vAlign w:val="bottom"/>
            <w:tcBorders>
              <w:bottom w:val="single" w:sz="8" w:color="auto"/>
            </w:tcBorders>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(11,682)</w:t>
            </w:r>
          </w:p>
        </w:tc>
        <w:tc>
          <w:tcPr>
            <w:tcW w:w="80" w:type="dxa"/>
            <w:vAlign w:val="bottom"/>
            <w:tcBorders>
              <w:bottom w:val="single" w:sz="8" w:color="CCEDFF"/>
            </w:tcBorders>
            <w:shd w:val="clear" w:color="auto" w:fill="CCEDFF"/>
          </w:tcPr>
          <w:p>
            <w:pPr>
              <w:spacing w:after="0"/>
              <w:rPr>
                <w:sz w:val="24"/>
                <w:szCs w:val="24"/>
                <w:color w:val="auto"/>
              </w:rPr>
            </w:pPr>
          </w:p>
        </w:tc>
        <w:tc>
          <w:tcPr>
            <w:tcW w:w="1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tcBorders>
              <w:bottom w:val="single" w:sz="8" w:color="CCEDFF"/>
            </w:tcBorders>
            <w:shd w:val="clear" w:color="auto" w:fill="CCEDFF"/>
          </w:tcPr>
          <w:p>
            <w:pPr>
              <w:spacing w:after="0"/>
              <w:rPr>
                <w:sz w:val="24"/>
                <w:szCs w:val="24"/>
                <w:color w:val="auto"/>
              </w:rPr>
            </w:pPr>
          </w:p>
        </w:tc>
        <w:tc>
          <w:tcPr>
            <w:tcW w:w="1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80" w:type="dxa"/>
            <w:vAlign w:val="bottom"/>
            <w:tcBorders>
              <w:bottom w:val="single" w:sz="8" w:color="CCEDFF"/>
            </w:tcBorders>
            <w:shd w:val="clear" w:color="auto" w:fill="CCEDFF"/>
          </w:tcPr>
          <w:p>
            <w:pPr>
              <w:spacing w:after="0"/>
              <w:rPr>
                <w:sz w:val="24"/>
                <w:szCs w:val="24"/>
                <w:color w:val="auto"/>
              </w:rPr>
            </w:pPr>
          </w:p>
        </w:tc>
        <w:tc>
          <w:tcPr>
            <w:tcW w:w="300" w:type="dxa"/>
            <w:vAlign w:val="bottom"/>
            <w:tcBorders>
              <w:bottom w:val="single" w:sz="8" w:color="auto"/>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(115,181)</w:t>
            </w:r>
          </w:p>
        </w:tc>
      </w:tr>
      <w:tr>
        <w:trPr>
          <w:trHeight w:val="20"/>
        </w:trPr>
        <w:tc>
          <w:tcPr>
            <w:tcW w:w="3980" w:type="dxa"/>
            <w:vAlign w:val="bottom"/>
            <w:tcBorders>
              <w:top w:val="single" w:sz="8" w:color="CCEDFF"/>
            </w:tcBorders>
          </w:tcPr>
          <w:p>
            <w:pPr>
              <w:spacing w:after="0" w:line="20" w:lineRule="exact"/>
              <w:rPr>
                <w:sz w:val="1"/>
                <w:szCs w:val="1"/>
                <w:color w:val="auto"/>
              </w:rPr>
            </w:pPr>
          </w:p>
        </w:tc>
        <w:tc>
          <w:tcPr>
            <w:tcW w:w="140" w:type="dxa"/>
            <w:vAlign w:val="bottom"/>
            <w:tcBorders>
              <w:top w:val="single" w:sz="8" w:color="CCEDFF"/>
              <w:bottom w:val="single" w:sz="8" w:color="auto"/>
            </w:tcBorders>
          </w:tcPr>
          <w:p>
            <w:pPr>
              <w:spacing w:after="0" w:line="20" w:lineRule="exact"/>
              <w:rPr>
                <w:sz w:val="1"/>
                <w:szCs w:val="1"/>
                <w:color w:val="auto"/>
              </w:rPr>
            </w:pPr>
          </w:p>
        </w:tc>
        <w:tc>
          <w:tcPr>
            <w:tcW w:w="136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40" w:type="dxa"/>
            <w:vAlign w:val="bottom"/>
            <w:tcBorders>
              <w:top w:val="single" w:sz="8" w:color="CCEDFF"/>
              <w:bottom w:val="single" w:sz="8" w:color="auto"/>
            </w:tcBorders>
          </w:tcPr>
          <w:p>
            <w:pPr>
              <w:spacing w:after="0" w:line="20" w:lineRule="exact"/>
              <w:rPr>
                <w:sz w:val="1"/>
                <w:szCs w:val="1"/>
                <w:color w:val="auto"/>
              </w:rPr>
            </w:pPr>
          </w:p>
        </w:tc>
        <w:tc>
          <w:tcPr>
            <w:tcW w:w="110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20" w:type="dxa"/>
            <w:vAlign w:val="bottom"/>
            <w:tcBorders>
              <w:top w:val="single" w:sz="8" w:color="CCEDFF"/>
              <w:bottom w:val="single" w:sz="8" w:color="auto"/>
            </w:tcBorders>
          </w:tcPr>
          <w:p>
            <w:pPr>
              <w:spacing w:after="0" w:line="20" w:lineRule="exact"/>
              <w:rPr>
                <w:sz w:val="1"/>
                <w:szCs w:val="1"/>
                <w:color w:val="auto"/>
              </w:rPr>
            </w:pPr>
          </w:p>
        </w:tc>
        <w:tc>
          <w:tcPr>
            <w:tcW w:w="126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60" w:type="dxa"/>
            <w:vAlign w:val="bottom"/>
            <w:tcBorders>
              <w:top w:val="single" w:sz="8" w:color="CCEDFF"/>
              <w:bottom w:val="single" w:sz="8" w:color="auto"/>
            </w:tcBorders>
          </w:tcPr>
          <w:p>
            <w:pPr>
              <w:spacing w:after="0" w:line="20" w:lineRule="exact"/>
              <w:rPr>
                <w:sz w:val="1"/>
                <w:szCs w:val="1"/>
                <w:color w:val="auto"/>
              </w:rPr>
            </w:pPr>
          </w:p>
        </w:tc>
        <w:tc>
          <w:tcPr>
            <w:tcW w:w="120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CCEDFF"/>
              <w:bottom w:val="single" w:sz="8" w:color="auto"/>
            </w:tcBorders>
          </w:tcPr>
          <w:p>
            <w:pPr>
              <w:spacing w:after="0" w:line="20" w:lineRule="exact"/>
              <w:rPr>
                <w:sz w:val="1"/>
                <w:szCs w:val="1"/>
                <w:color w:val="auto"/>
              </w:rPr>
            </w:pPr>
          </w:p>
        </w:tc>
        <w:tc>
          <w:tcPr>
            <w:tcW w:w="1060" w:type="dxa"/>
            <w:vAlign w:val="bottom"/>
            <w:tcBorders>
              <w:top w:val="single" w:sz="8" w:color="CCEDFF"/>
              <w:bottom w:val="single" w:sz="8" w:color="auto"/>
            </w:tcBorders>
          </w:tcPr>
          <w:p>
            <w:pPr>
              <w:spacing w:after="0" w:line="20" w:lineRule="exact"/>
              <w:rPr>
                <w:sz w:val="1"/>
                <w:szCs w:val="1"/>
                <w:color w:val="auto"/>
              </w:rPr>
            </w:pPr>
          </w:p>
        </w:tc>
      </w:tr>
      <w:tr>
        <w:trPr>
          <w:trHeight w:val="203"/>
        </w:trPr>
        <w:tc>
          <w:tcPr>
            <w:tcW w:w="3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398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1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(140,733)</w:t>
            </w:r>
          </w:p>
        </w:tc>
        <w:tc>
          <w:tcPr>
            <w:tcW w:w="80" w:type="dxa"/>
            <w:vAlign w:val="bottom"/>
            <w:tcBorders>
              <w:bottom w:val="single" w:sz="8" w:color="CCEDFF"/>
            </w:tcBorders>
            <w:shd w:val="clear" w:color="auto" w:fill="CCEDFF"/>
          </w:tcPr>
          <w:p>
            <w:pPr>
              <w:spacing w:after="0"/>
              <w:rPr>
                <w:sz w:val="21"/>
                <w:szCs w:val="21"/>
                <w:color w:val="auto"/>
              </w:rPr>
            </w:pPr>
          </w:p>
        </w:tc>
        <w:tc>
          <w:tcPr>
            <w:tcW w:w="240" w:type="dxa"/>
            <w:vAlign w:val="bottom"/>
            <w:tcBorders>
              <w:bottom w:val="single" w:sz="8" w:color="CCEDFF"/>
            </w:tcBorders>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(10,384)</w:t>
            </w: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tcBorders>
              <w:bottom w:val="single" w:sz="8" w:color="CCEDFF"/>
            </w:tcBorders>
            <w:shd w:val="clear" w:color="auto" w:fill="CCEDFF"/>
          </w:tcPr>
          <w:p>
            <w:pPr>
              <w:spacing w:after="0"/>
              <w:rPr>
                <w:sz w:val="21"/>
                <w:szCs w:val="21"/>
                <w:color w:val="auto"/>
              </w:rPr>
            </w:pPr>
          </w:p>
        </w:tc>
        <w:tc>
          <w:tcPr>
            <w:tcW w:w="1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80" w:type="dxa"/>
            <w:vAlign w:val="bottom"/>
            <w:tcBorders>
              <w:bottom w:val="single" w:sz="8" w:color="CCEDFF"/>
            </w:tcBorders>
            <w:shd w:val="clear" w:color="auto" w:fill="CCEDFF"/>
          </w:tcPr>
          <w:p>
            <w:pPr>
              <w:spacing w:after="0"/>
              <w:rPr>
                <w:sz w:val="21"/>
                <w:szCs w:val="21"/>
                <w:color w:val="auto"/>
              </w:rPr>
            </w:pPr>
          </w:p>
        </w:tc>
        <w:tc>
          <w:tcPr>
            <w:tcW w:w="300" w:type="dxa"/>
            <w:vAlign w:val="bottom"/>
            <w:tcBorders>
              <w:bottom w:val="single" w:sz="8" w:color="CCEDFF"/>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(146,987)</w:t>
            </w:r>
          </w:p>
        </w:tc>
      </w:tr>
      <w:tr>
        <w:trPr>
          <w:trHeight w:val="225"/>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(loss) income before</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3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Reclassifications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(18,805)</w:t>
            </w:r>
          </w:p>
        </w:tc>
      </w:tr>
      <w:tr>
        <w:trPr>
          <w:trHeight w:val="27"/>
        </w:trPr>
        <w:tc>
          <w:tcPr>
            <w:tcW w:w="3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98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40" w:type="dxa"/>
            <w:vAlign w:val="bottom"/>
            <w:tcBorders>
              <w:bottom w:val="single" w:sz="8" w:color="CCEDFF"/>
            </w:tcBorders>
            <w:shd w:val="clear" w:color="auto" w:fill="CCEDFF"/>
          </w:tcPr>
          <w:p>
            <w:pPr>
              <w:spacing w:after="0"/>
              <w:rPr>
                <w:sz w:val="21"/>
                <w:szCs w:val="21"/>
                <w:color w:val="auto"/>
              </w:rPr>
            </w:pPr>
          </w:p>
        </w:tc>
        <w:tc>
          <w:tcPr>
            <w:tcW w:w="1440" w:type="dxa"/>
            <w:vAlign w:val="bottom"/>
            <w:tcBorders>
              <w:bottom w:val="single" w:sz="8" w:color="CCEDFF"/>
            </w:tcBorders>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DFF"/>
            </w:tcBorders>
            <w:shd w:val="clear" w:color="auto" w:fill="CCEDFF"/>
          </w:tcPr>
          <w:p>
            <w:pPr>
              <w:spacing w:after="0"/>
              <w:rPr>
                <w:sz w:val="21"/>
                <w:szCs w:val="21"/>
                <w:color w:val="auto"/>
              </w:rPr>
            </w:pPr>
          </w:p>
        </w:tc>
        <w:tc>
          <w:tcPr>
            <w:tcW w:w="11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spacing w:after="0"/>
              <w:rPr>
                <w:sz w:val="21"/>
                <w:szCs w:val="21"/>
                <w:color w:val="auto"/>
              </w:rPr>
            </w:pPr>
          </w:p>
        </w:tc>
        <w:tc>
          <w:tcPr>
            <w:tcW w:w="12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DFF"/>
            </w:tcBorders>
            <w:shd w:val="clear" w:color="auto" w:fill="CCEDFF"/>
          </w:tcPr>
          <w:p>
            <w:pPr>
              <w:spacing w:after="0"/>
              <w:rPr>
                <w:sz w:val="21"/>
                <w:szCs w:val="21"/>
                <w:color w:val="auto"/>
              </w:rPr>
            </w:pPr>
          </w:p>
        </w:tc>
        <w:tc>
          <w:tcPr>
            <w:tcW w:w="160" w:type="dxa"/>
            <w:vAlign w:val="bottom"/>
            <w:tcBorders>
              <w:bottom w:val="single" w:sz="8" w:color="CCEDFF"/>
            </w:tcBorders>
            <w:shd w:val="clear" w:color="auto" w:fill="CCEDFF"/>
          </w:tcPr>
          <w:p>
            <w:pPr>
              <w:spacing w:after="0"/>
              <w:rPr>
                <w:sz w:val="21"/>
                <w:szCs w:val="21"/>
                <w:color w:val="auto"/>
              </w:rPr>
            </w:pPr>
          </w:p>
        </w:tc>
        <w:tc>
          <w:tcPr>
            <w:tcW w:w="1280" w:type="dxa"/>
            <w:vAlign w:val="bottom"/>
            <w:tcBorders>
              <w:bottom w:val="single" w:sz="8" w:color="CCEDFF"/>
            </w:tcBorders>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DFF"/>
            </w:tcBorders>
            <w:shd w:val="clear" w:color="auto" w:fill="CCEDFF"/>
          </w:tcPr>
          <w:p>
            <w:pPr>
              <w:spacing w:after="0"/>
              <w:rPr>
                <w:sz w:val="21"/>
                <w:szCs w:val="21"/>
                <w:color w:val="auto"/>
              </w:rPr>
            </w:pP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43"/>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Related tax amounts</w:t>
            </w:r>
          </w:p>
        </w:tc>
        <w:tc>
          <w:tcPr>
            <w:tcW w:w="14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398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9"/>
        </w:trPr>
        <w:tc>
          <w:tcPr>
            <w:tcW w:w="398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1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(159,574)</w:t>
            </w:r>
          </w:p>
        </w:tc>
        <w:tc>
          <w:tcPr>
            <w:tcW w:w="80" w:type="dxa"/>
            <w:vAlign w:val="bottom"/>
            <w:tcBorders>
              <w:bottom w:val="single" w:sz="8" w:color="CCEDFF"/>
            </w:tcBorders>
            <w:shd w:val="clear" w:color="auto" w:fill="CCEDFF"/>
          </w:tcPr>
          <w:p>
            <w:pPr>
              <w:spacing w:after="0"/>
              <w:rPr>
                <w:sz w:val="24"/>
                <w:szCs w:val="24"/>
                <w:color w:val="auto"/>
              </w:rPr>
            </w:pPr>
          </w:p>
        </w:tc>
        <w:tc>
          <w:tcPr>
            <w:tcW w:w="240" w:type="dxa"/>
            <w:vAlign w:val="bottom"/>
            <w:tcBorders>
              <w:bottom w:val="single" w:sz="8" w:color="auto"/>
            </w:tcBorders>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(10,259)</w:t>
            </w:r>
          </w:p>
        </w:tc>
        <w:tc>
          <w:tcPr>
            <w:tcW w:w="80" w:type="dxa"/>
            <w:vAlign w:val="bottom"/>
            <w:tcBorders>
              <w:bottom w:val="single" w:sz="8" w:color="CCEDFF"/>
            </w:tcBorders>
            <w:shd w:val="clear" w:color="auto" w:fill="CCEDFF"/>
          </w:tcPr>
          <w:p>
            <w:pPr>
              <w:spacing w:after="0"/>
              <w:rPr>
                <w:sz w:val="24"/>
                <w:szCs w:val="24"/>
                <w:color w:val="auto"/>
              </w:rPr>
            </w:pPr>
          </w:p>
        </w:tc>
        <w:tc>
          <w:tcPr>
            <w:tcW w:w="1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Borders>
              <w:bottom w:val="single" w:sz="8" w:color="CCEDFF"/>
            </w:tcBorders>
            <w:shd w:val="clear" w:color="auto" w:fill="CCEDFF"/>
          </w:tcPr>
          <w:p>
            <w:pPr>
              <w:spacing w:after="0"/>
              <w:rPr>
                <w:sz w:val="24"/>
                <w:szCs w:val="24"/>
                <w:color w:val="auto"/>
              </w:rPr>
            </w:pPr>
          </w:p>
        </w:tc>
        <w:tc>
          <w:tcPr>
            <w:tcW w:w="1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80" w:type="dxa"/>
            <w:vAlign w:val="bottom"/>
            <w:tcBorders>
              <w:bottom w:val="single" w:sz="8" w:color="CCEDFF"/>
            </w:tcBorders>
            <w:shd w:val="clear" w:color="auto" w:fill="CCEDFF"/>
          </w:tcPr>
          <w:p>
            <w:pPr>
              <w:spacing w:after="0"/>
              <w:rPr>
                <w:sz w:val="24"/>
                <w:szCs w:val="24"/>
                <w:color w:val="auto"/>
              </w:rPr>
            </w:pPr>
          </w:p>
        </w:tc>
        <w:tc>
          <w:tcPr>
            <w:tcW w:w="300" w:type="dxa"/>
            <w:vAlign w:val="bottom"/>
            <w:tcBorders>
              <w:bottom w:val="single" w:sz="8" w:color="auto"/>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(165,762)</w:t>
            </w:r>
          </w:p>
        </w:tc>
      </w:tr>
      <w:tr>
        <w:trPr>
          <w:trHeight w:val="20"/>
        </w:trPr>
        <w:tc>
          <w:tcPr>
            <w:tcW w:w="3980" w:type="dxa"/>
            <w:vAlign w:val="bottom"/>
            <w:tcBorders>
              <w:top w:val="single" w:sz="8" w:color="CCEDFF"/>
            </w:tcBorders>
          </w:tcPr>
          <w:p>
            <w:pPr>
              <w:spacing w:after="0" w:line="20" w:lineRule="exact"/>
              <w:rPr>
                <w:sz w:val="1"/>
                <w:szCs w:val="1"/>
                <w:color w:val="auto"/>
              </w:rPr>
            </w:pPr>
          </w:p>
        </w:tc>
        <w:tc>
          <w:tcPr>
            <w:tcW w:w="140" w:type="dxa"/>
            <w:vAlign w:val="bottom"/>
            <w:tcBorders>
              <w:top w:val="single" w:sz="8" w:color="CCEDFF"/>
              <w:bottom w:val="single" w:sz="8" w:color="auto"/>
            </w:tcBorders>
          </w:tcPr>
          <w:p>
            <w:pPr>
              <w:spacing w:after="0" w:line="20" w:lineRule="exact"/>
              <w:rPr>
                <w:sz w:val="1"/>
                <w:szCs w:val="1"/>
                <w:color w:val="auto"/>
              </w:rPr>
            </w:pPr>
          </w:p>
        </w:tc>
        <w:tc>
          <w:tcPr>
            <w:tcW w:w="136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40" w:type="dxa"/>
            <w:vAlign w:val="bottom"/>
            <w:tcBorders>
              <w:top w:val="single" w:sz="8" w:color="CCEDFF"/>
              <w:bottom w:val="single" w:sz="8" w:color="auto"/>
            </w:tcBorders>
          </w:tcPr>
          <w:p>
            <w:pPr>
              <w:spacing w:after="0" w:line="20" w:lineRule="exact"/>
              <w:rPr>
                <w:sz w:val="1"/>
                <w:szCs w:val="1"/>
                <w:color w:val="auto"/>
              </w:rPr>
            </w:pPr>
          </w:p>
        </w:tc>
        <w:tc>
          <w:tcPr>
            <w:tcW w:w="110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20" w:type="dxa"/>
            <w:vAlign w:val="bottom"/>
            <w:tcBorders>
              <w:top w:val="single" w:sz="8" w:color="CCEDFF"/>
              <w:bottom w:val="single" w:sz="8" w:color="auto"/>
            </w:tcBorders>
          </w:tcPr>
          <w:p>
            <w:pPr>
              <w:spacing w:after="0" w:line="20" w:lineRule="exact"/>
              <w:rPr>
                <w:sz w:val="1"/>
                <w:szCs w:val="1"/>
                <w:color w:val="auto"/>
              </w:rPr>
            </w:pPr>
          </w:p>
        </w:tc>
        <w:tc>
          <w:tcPr>
            <w:tcW w:w="126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60" w:type="dxa"/>
            <w:vAlign w:val="bottom"/>
            <w:tcBorders>
              <w:top w:val="single" w:sz="8" w:color="CCEDFF"/>
              <w:bottom w:val="single" w:sz="8" w:color="auto"/>
            </w:tcBorders>
          </w:tcPr>
          <w:p>
            <w:pPr>
              <w:spacing w:after="0" w:line="20" w:lineRule="exact"/>
              <w:rPr>
                <w:sz w:val="1"/>
                <w:szCs w:val="1"/>
                <w:color w:val="auto"/>
              </w:rPr>
            </w:pPr>
          </w:p>
        </w:tc>
        <w:tc>
          <w:tcPr>
            <w:tcW w:w="120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CCEDFF"/>
              <w:bottom w:val="single" w:sz="8" w:color="auto"/>
            </w:tcBorders>
          </w:tcPr>
          <w:p>
            <w:pPr>
              <w:spacing w:after="0" w:line="20" w:lineRule="exact"/>
              <w:rPr>
                <w:sz w:val="1"/>
                <w:szCs w:val="1"/>
                <w:color w:val="auto"/>
              </w:rPr>
            </w:pPr>
          </w:p>
        </w:tc>
        <w:tc>
          <w:tcPr>
            <w:tcW w:w="1060" w:type="dxa"/>
            <w:vAlign w:val="bottom"/>
            <w:tcBorders>
              <w:top w:val="single" w:sz="8" w:color="CCED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5540" w:right="1500" w:hanging="5208"/>
        <w:spacing w:after="0" w:line="718" w:lineRule="auto"/>
        <w:tabs>
          <w:tab w:leader="none" w:pos="519"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Includes mark-to-market impacts associated with net investment hedges. See Note 17, </w:t>
      </w:r>
      <w:r>
        <w:rPr>
          <w:rFonts w:ascii="Times New Roman" w:cs="Times New Roman" w:eastAsia="Times New Roman" w:hAnsi="Times New Roman"/>
          <w:sz w:val="18"/>
          <w:szCs w:val="18"/>
          <w:i w:val="1"/>
          <w:iCs w:val="1"/>
          <w:color w:val="auto"/>
        </w:rPr>
        <w:t>Hedging Activities</w:t>
      </w:r>
      <w:r>
        <w:rPr>
          <w:rFonts w:ascii="Times New Roman" w:cs="Times New Roman" w:eastAsia="Times New Roman" w:hAnsi="Times New Roman"/>
          <w:sz w:val="18"/>
          <w:szCs w:val="18"/>
          <w:color w:val="auto"/>
        </w:rPr>
        <w:t>, for more information.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ind w:left="2620" w:right="2280" w:firstLine="406"/>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Continued </w:t>
      </w: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Defined</w:t>
            </w: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Unrealized Gain</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Currency</w:t>
            </w:r>
          </w:p>
        </w:tc>
        <w:tc>
          <w:tcPr>
            <w:tcW w:w="24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Benefit</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(Loss) in</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5"/>
        </w:trPr>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24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Pension</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Available-for-</w:t>
            </w:r>
          </w:p>
        </w:tc>
        <w:tc>
          <w:tcPr>
            <w:tcW w:w="16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Derivative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67"/>
        </w:trPr>
        <w:tc>
          <w:tcPr>
            <w:tcW w:w="4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Adjustments</w:t>
            </w:r>
            <w:r>
              <w:rPr>
                <w:rFonts w:ascii="Times New Roman" w:cs="Times New Roman" w:eastAsia="Times New Roman" w:hAnsi="Times New Roman"/>
                <w:sz w:val="23"/>
                <w:szCs w:val="23"/>
                <w:b w:val="1"/>
                <w:bCs w:val="1"/>
                <w:color w:val="auto"/>
                <w:w w:val="98"/>
                <w:vertAlign w:val="superscript"/>
              </w:rPr>
              <w:t>1</w:t>
            </w:r>
          </w:p>
        </w:tc>
        <w:tc>
          <w:tcPr>
            <w:tcW w:w="240" w:type="dxa"/>
            <w:vAlign w:val="bottom"/>
          </w:tcPr>
          <w:p>
            <w:pPr>
              <w:spacing w:after="0"/>
              <w:rPr>
                <w:sz w:val="23"/>
                <w:szCs w:val="23"/>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120" w:type="dxa"/>
            <w:vAlign w:val="bottom"/>
          </w:tcPr>
          <w:p>
            <w:pPr>
              <w:spacing w:after="0"/>
              <w:rPr>
                <w:sz w:val="23"/>
                <w:szCs w:val="23"/>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Sale Securities</w:t>
            </w:r>
          </w:p>
        </w:tc>
        <w:tc>
          <w:tcPr>
            <w:tcW w:w="160" w:type="dxa"/>
            <w:vAlign w:val="bottom"/>
          </w:tcPr>
          <w:p>
            <w:pPr>
              <w:spacing w:after="0"/>
              <w:rPr>
                <w:sz w:val="23"/>
                <w:szCs w:val="23"/>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c>
          <w:tcPr>
            <w:tcW w:w="300" w:type="dxa"/>
            <w:vAlign w:val="bottom"/>
          </w:tcPr>
          <w:p>
            <w:pPr>
              <w:spacing w:after="0"/>
              <w:rPr>
                <w:sz w:val="23"/>
                <w:szCs w:val="23"/>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3"/>
        </w:trPr>
        <w:tc>
          <w:tcPr>
            <w:tcW w:w="4080" w:type="dxa"/>
            <w:vAlign w:val="bottom"/>
            <w:tcBorders>
              <w:top w:val="single" w:sz="8" w:color="CCEDFF"/>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40" w:type="dxa"/>
            <w:vAlign w:val="bottom"/>
            <w:tcBorders>
              <w:top w:val="single" w:sz="8" w:color="auto"/>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(192,841)</w:t>
            </w:r>
          </w:p>
        </w:tc>
        <w:tc>
          <w:tcPr>
            <w:tcW w:w="80" w:type="dxa"/>
            <w:vAlign w:val="bottom"/>
            <w:tcBorders>
              <w:top w:val="single" w:sz="8" w:color="CCEDFF"/>
              <w:bottom w:val="single" w:sz="8" w:color="CCEDFF"/>
            </w:tcBorders>
            <w:shd w:val="clear" w:color="auto" w:fill="CCEDFF"/>
          </w:tcPr>
          <w:p>
            <w:pPr>
              <w:spacing w:after="0"/>
              <w:rPr>
                <w:sz w:val="21"/>
                <w:szCs w:val="21"/>
                <w:color w:val="auto"/>
              </w:rPr>
            </w:pPr>
          </w:p>
        </w:tc>
        <w:tc>
          <w:tcPr>
            <w:tcW w:w="240" w:type="dxa"/>
            <w:vAlign w:val="bottom"/>
            <w:tcBorders>
              <w:top w:val="single" w:sz="8" w:color="auto"/>
              <w:bottom w:val="single" w:sz="8" w:color="CCEDFF"/>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(10,313)</w:t>
            </w:r>
          </w:p>
        </w:tc>
        <w:tc>
          <w:tcPr>
            <w:tcW w:w="80" w:type="dxa"/>
            <w:vAlign w:val="bottom"/>
            <w:tcBorders>
              <w:top w:val="single" w:sz="8" w:color="CCEDFF"/>
              <w:bottom w:val="single" w:sz="8" w:color="CCEDFF"/>
            </w:tcBorders>
            <w:shd w:val="clear" w:color="auto" w:fill="CCEDFF"/>
          </w:tcPr>
          <w:p>
            <w:pPr>
              <w:spacing w:after="0"/>
              <w:rPr>
                <w:sz w:val="21"/>
                <w:szCs w:val="21"/>
                <w:color w:val="auto"/>
              </w:rPr>
            </w:pPr>
          </w:p>
        </w:tc>
        <w:tc>
          <w:tcPr>
            <w:tcW w:w="120" w:type="dxa"/>
            <w:vAlign w:val="bottom"/>
            <w:tcBorders>
              <w:top w:val="single" w:sz="8" w:color="auto"/>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Borders>
              <w:top w:val="single" w:sz="8" w:color="CCEDFF"/>
              <w:bottom w:val="single" w:sz="8" w:color="CCEDFF"/>
            </w:tcBorders>
            <w:shd w:val="clear" w:color="auto" w:fill="CCEDFF"/>
          </w:tcPr>
          <w:p>
            <w:pPr>
              <w:spacing w:after="0"/>
              <w:rPr>
                <w:sz w:val="21"/>
                <w:szCs w:val="21"/>
                <w:color w:val="auto"/>
              </w:rPr>
            </w:pPr>
          </w:p>
        </w:tc>
        <w:tc>
          <w:tcPr>
            <w:tcW w:w="160" w:type="dxa"/>
            <w:vAlign w:val="bottom"/>
            <w:tcBorders>
              <w:top w:val="single" w:sz="8" w:color="auto"/>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80" w:type="dxa"/>
            <w:vAlign w:val="bottom"/>
            <w:tcBorders>
              <w:top w:val="single" w:sz="8" w:color="CCEDFF"/>
              <w:bottom w:val="single" w:sz="8" w:color="CCEDFF"/>
            </w:tcBorders>
            <w:shd w:val="clear" w:color="auto" w:fill="CCEDFF"/>
          </w:tcPr>
          <w:p>
            <w:pPr>
              <w:spacing w:after="0"/>
              <w:rPr>
                <w:sz w:val="21"/>
                <w:szCs w:val="21"/>
                <w:color w:val="auto"/>
              </w:rPr>
            </w:pPr>
          </w:p>
        </w:tc>
        <w:tc>
          <w:tcPr>
            <w:tcW w:w="300" w:type="dxa"/>
            <w:vAlign w:val="bottom"/>
            <w:tcBorders>
              <w:top w:val="single" w:sz="8" w:color="auto"/>
              <w:bottom w:val="single" w:sz="8" w:color="CCEDFF"/>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(201,619)</w:t>
            </w:r>
          </w:p>
        </w:tc>
      </w:tr>
      <w:tr>
        <w:trPr>
          <w:trHeight w:val="225"/>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4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reclassifications</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89,254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85,624</w:t>
            </w:r>
          </w:p>
        </w:tc>
      </w:tr>
      <w:tr>
        <w:trPr>
          <w:trHeight w:val="27"/>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80" w:type="dxa"/>
            <w:vAlign w:val="bottom"/>
            <w:tcBorders>
              <w:bottom w:val="single" w:sz="8" w:color="CCEDFF"/>
            </w:tcBorders>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40" w:type="dxa"/>
            <w:vAlign w:val="bottom"/>
            <w:tcBorders>
              <w:bottom w:val="single" w:sz="8" w:color="CCEDFF"/>
            </w:tcBorders>
            <w:shd w:val="clear" w:color="auto" w:fill="CCEDFF"/>
          </w:tcPr>
          <w:p>
            <w:pPr>
              <w:spacing w:after="0"/>
              <w:rPr>
                <w:sz w:val="21"/>
                <w:szCs w:val="21"/>
                <w:color w:val="auto"/>
              </w:rPr>
            </w:pPr>
          </w:p>
        </w:tc>
        <w:tc>
          <w:tcPr>
            <w:tcW w:w="1300" w:type="dxa"/>
            <w:vAlign w:val="bottom"/>
            <w:tcBorders>
              <w:bottom w:val="single" w:sz="8" w:color="CCEDFF"/>
            </w:tcBorders>
            <w:gridSpan w:val="2"/>
            <w:shd w:val="clear" w:color="auto" w:fill="CCED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DFF"/>
            </w:tcBorders>
            <w:shd w:val="clear" w:color="auto" w:fill="CCEDFF"/>
          </w:tcPr>
          <w:p>
            <w:pPr>
              <w:spacing w:after="0"/>
              <w:rPr>
                <w:sz w:val="21"/>
                <w:szCs w:val="21"/>
                <w:color w:val="auto"/>
              </w:rPr>
            </w:pPr>
          </w:p>
        </w:tc>
        <w:tc>
          <w:tcPr>
            <w:tcW w:w="11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spacing w:after="0"/>
              <w:rPr>
                <w:sz w:val="21"/>
                <w:szCs w:val="21"/>
                <w:color w:val="auto"/>
              </w:rPr>
            </w:pPr>
          </w:p>
        </w:tc>
        <w:tc>
          <w:tcPr>
            <w:tcW w:w="12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DFF"/>
            </w:tcBorders>
            <w:shd w:val="clear" w:color="auto" w:fill="CCEDFF"/>
          </w:tcPr>
          <w:p>
            <w:pPr>
              <w:spacing w:after="0"/>
              <w:rPr>
                <w:sz w:val="21"/>
                <w:szCs w:val="21"/>
                <w:color w:val="auto"/>
              </w:rPr>
            </w:pPr>
          </w:p>
        </w:tc>
        <w:tc>
          <w:tcPr>
            <w:tcW w:w="160" w:type="dxa"/>
            <w:vAlign w:val="bottom"/>
            <w:tcBorders>
              <w:bottom w:val="single" w:sz="8" w:color="CCEDFF"/>
            </w:tcBorders>
            <w:shd w:val="clear" w:color="auto" w:fill="CCEDFF"/>
          </w:tcPr>
          <w:p>
            <w:pPr>
              <w:spacing w:after="0"/>
              <w:rPr>
                <w:sz w:val="21"/>
                <w:szCs w:val="21"/>
                <w:color w:val="auto"/>
              </w:rPr>
            </w:pPr>
          </w:p>
        </w:tc>
        <w:tc>
          <w:tcPr>
            <w:tcW w:w="1280" w:type="dxa"/>
            <w:vAlign w:val="bottom"/>
            <w:tcBorders>
              <w:bottom w:val="single" w:sz="8" w:color="CCEDFF"/>
            </w:tcBorders>
            <w:gridSpan w:val="2"/>
            <w:shd w:val="clear" w:color="auto" w:fill="CCED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DFF"/>
            </w:tcBorders>
            <w:shd w:val="clear" w:color="auto" w:fill="CCEDFF"/>
          </w:tcPr>
          <w:p>
            <w:pPr>
              <w:spacing w:after="0"/>
              <w:rPr>
                <w:sz w:val="21"/>
                <w:szCs w:val="21"/>
                <w:color w:val="auto"/>
              </w:rPr>
            </w:pP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43"/>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Related tax amounts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7"/>
        </w:trPr>
        <w:tc>
          <w:tcPr>
            <w:tcW w:w="408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408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1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(103,831)</w:t>
            </w:r>
          </w:p>
        </w:tc>
        <w:tc>
          <w:tcPr>
            <w:tcW w:w="80" w:type="dxa"/>
            <w:vAlign w:val="bottom"/>
            <w:tcBorders>
              <w:bottom w:val="single" w:sz="8" w:color="CCEDFF"/>
            </w:tcBorders>
            <w:shd w:val="clear" w:color="auto" w:fill="CCEDFF"/>
          </w:tcPr>
          <w:p>
            <w:pPr>
              <w:spacing w:after="0"/>
              <w:rPr>
                <w:sz w:val="24"/>
                <w:szCs w:val="24"/>
                <w:color w:val="auto"/>
              </w:rPr>
            </w:pPr>
          </w:p>
        </w:tc>
        <w:tc>
          <w:tcPr>
            <w:tcW w:w="240" w:type="dxa"/>
            <w:vAlign w:val="bottom"/>
            <w:tcBorders>
              <w:bottom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(11,682)</w:t>
            </w:r>
          </w:p>
        </w:tc>
        <w:tc>
          <w:tcPr>
            <w:tcW w:w="80" w:type="dxa"/>
            <w:vAlign w:val="bottom"/>
            <w:tcBorders>
              <w:bottom w:val="single" w:sz="8" w:color="CCEDFF"/>
            </w:tcBorders>
            <w:shd w:val="clear" w:color="auto" w:fill="CCEDFF"/>
          </w:tcPr>
          <w:p>
            <w:pPr>
              <w:spacing w:after="0"/>
              <w:rPr>
                <w:sz w:val="24"/>
                <w:szCs w:val="24"/>
                <w:color w:val="auto"/>
              </w:rPr>
            </w:pPr>
          </w:p>
        </w:tc>
        <w:tc>
          <w:tcPr>
            <w:tcW w:w="1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tcBorders>
              <w:bottom w:val="single" w:sz="8" w:color="CCEDFF"/>
            </w:tcBorders>
            <w:shd w:val="clear" w:color="auto" w:fill="CCEDFF"/>
          </w:tcPr>
          <w:p>
            <w:pPr>
              <w:spacing w:after="0"/>
              <w:rPr>
                <w:sz w:val="24"/>
                <w:szCs w:val="24"/>
                <w:color w:val="auto"/>
              </w:rPr>
            </w:pPr>
          </w:p>
        </w:tc>
        <w:tc>
          <w:tcPr>
            <w:tcW w:w="1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80" w:type="dxa"/>
            <w:vAlign w:val="bottom"/>
            <w:tcBorders>
              <w:bottom w:val="single" w:sz="8" w:color="CCEDFF"/>
            </w:tcBorders>
            <w:shd w:val="clear" w:color="auto" w:fill="CCEDFF"/>
          </w:tcPr>
          <w:p>
            <w:pPr>
              <w:spacing w:after="0"/>
              <w:rPr>
                <w:sz w:val="24"/>
                <w:szCs w:val="24"/>
                <w:color w:val="auto"/>
              </w:rPr>
            </w:pPr>
          </w:p>
        </w:tc>
        <w:tc>
          <w:tcPr>
            <w:tcW w:w="300" w:type="dxa"/>
            <w:vAlign w:val="bottom"/>
            <w:tcBorders>
              <w:bottom w:val="single" w:sz="8" w:color="auto"/>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(115,181)</w:t>
            </w:r>
          </w:p>
        </w:tc>
      </w:tr>
      <w:tr>
        <w:trPr>
          <w:trHeight w:val="20"/>
        </w:trPr>
        <w:tc>
          <w:tcPr>
            <w:tcW w:w="4080" w:type="dxa"/>
            <w:vAlign w:val="bottom"/>
            <w:tcBorders>
              <w:top w:val="single" w:sz="8" w:color="CCEDFF"/>
            </w:tcBorders>
          </w:tcPr>
          <w:p>
            <w:pPr>
              <w:spacing w:after="0" w:line="20" w:lineRule="exact"/>
              <w:rPr>
                <w:sz w:val="1"/>
                <w:szCs w:val="1"/>
                <w:color w:val="auto"/>
              </w:rPr>
            </w:pPr>
          </w:p>
        </w:tc>
        <w:tc>
          <w:tcPr>
            <w:tcW w:w="140" w:type="dxa"/>
            <w:vAlign w:val="bottom"/>
            <w:tcBorders>
              <w:top w:val="single" w:sz="8" w:color="CCEDFF"/>
              <w:bottom w:val="single" w:sz="8" w:color="auto"/>
            </w:tcBorders>
          </w:tcPr>
          <w:p>
            <w:pPr>
              <w:spacing w:after="0" w:line="20" w:lineRule="exact"/>
              <w:rPr>
                <w:sz w:val="1"/>
                <w:szCs w:val="1"/>
                <w:color w:val="auto"/>
              </w:rPr>
            </w:pPr>
          </w:p>
        </w:tc>
        <w:tc>
          <w:tcPr>
            <w:tcW w:w="122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40" w:type="dxa"/>
            <w:vAlign w:val="bottom"/>
            <w:tcBorders>
              <w:top w:val="single" w:sz="8" w:color="CCEDFF"/>
              <w:bottom w:val="single" w:sz="8" w:color="auto"/>
            </w:tcBorders>
          </w:tcPr>
          <w:p>
            <w:pPr>
              <w:spacing w:after="0" w:line="20" w:lineRule="exact"/>
              <w:rPr>
                <w:sz w:val="1"/>
                <w:szCs w:val="1"/>
                <w:color w:val="auto"/>
              </w:rPr>
            </w:pPr>
          </w:p>
        </w:tc>
        <w:tc>
          <w:tcPr>
            <w:tcW w:w="112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20" w:type="dxa"/>
            <w:vAlign w:val="bottom"/>
            <w:tcBorders>
              <w:top w:val="single" w:sz="8" w:color="CCEDFF"/>
              <w:bottom w:val="single" w:sz="8" w:color="auto"/>
            </w:tcBorders>
          </w:tcPr>
          <w:p>
            <w:pPr>
              <w:spacing w:after="0" w:line="20" w:lineRule="exact"/>
              <w:rPr>
                <w:sz w:val="1"/>
                <w:szCs w:val="1"/>
                <w:color w:val="auto"/>
              </w:rPr>
            </w:pPr>
          </w:p>
        </w:tc>
        <w:tc>
          <w:tcPr>
            <w:tcW w:w="124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60" w:type="dxa"/>
            <w:vAlign w:val="bottom"/>
            <w:tcBorders>
              <w:top w:val="single" w:sz="8" w:color="CCEDFF"/>
              <w:bottom w:val="single" w:sz="8" w:color="auto"/>
            </w:tcBorders>
          </w:tcPr>
          <w:p>
            <w:pPr>
              <w:spacing w:after="0" w:line="20" w:lineRule="exact"/>
              <w:rPr>
                <w:sz w:val="1"/>
                <w:szCs w:val="1"/>
                <w:color w:val="auto"/>
              </w:rPr>
            </w:pPr>
          </w:p>
        </w:tc>
        <w:tc>
          <w:tcPr>
            <w:tcW w:w="120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CCEDFF"/>
              <w:bottom w:val="single" w:sz="8" w:color="auto"/>
            </w:tcBorders>
          </w:tcPr>
          <w:p>
            <w:pPr>
              <w:spacing w:after="0" w:line="20" w:lineRule="exact"/>
              <w:rPr>
                <w:sz w:val="1"/>
                <w:szCs w:val="1"/>
                <w:color w:val="auto"/>
              </w:rPr>
            </w:pPr>
          </w:p>
        </w:tc>
        <w:tc>
          <w:tcPr>
            <w:tcW w:w="1060" w:type="dxa"/>
            <w:vAlign w:val="bottom"/>
            <w:tcBorders>
              <w:top w:val="single" w:sz="8" w:color="CCEDFF"/>
              <w:bottom w:val="single" w:sz="8" w:color="auto"/>
            </w:tcBorders>
          </w:tcPr>
          <w:p>
            <w:pPr>
              <w:spacing w:after="0" w:line="20" w:lineRule="exact"/>
              <w:rPr>
                <w:sz w:val="1"/>
                <w:szCs w:val="1"/>
                <w:color w:val="auto"/>
              </w:rPr>
            </w:pPr>
          </w:p>
        </w:tc>
      </w:tr>
      <w:tr>
        <w:trPr>
          <w:trHeight w:val="217"/>
        </w:trPr>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0"/>
        </w:trPr>
        <w:tc>
          <w:tcPr>
            <w:tcW w:w="408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(115,417)</w:t>
            </w:r>
          </w:p>
        </w:tc>
        <w:tc>
          <w:tcPr>
            <w:tcW w:w="80" w:type="dxa"/>
            <w:vAlign w:val="bottom"/>
            <w:tcBorders>
              <w:bottom w:val="single" w:sz="8" w:color="CCEDFF"/>
            </w:tcBorders>
            <w:shd w:val="clear" w:color="auto" w:fill="CCEDFF"/>
          </w:tcPr>
          <w:p>
            <w:pPr>
              <w:spacing w:after="0"/>
              <w:rPr>
                <w:sz w:val="21"/>
                <w:szCs w:val="21"/>
                <w:color w:val="auto"/>
              </w:rPr>
            </w:pPr>
          </w:p>
        </w:tc>
        <w:tc>
          <w:tcPr>
            <w:tcW w:w="240" w:type="dxa"/>
            <w:vAlign w:val="bottom"/>
            <w:tcBorders>
              <w:bottom w:val="single" w:sz="8" w:color="CCEDFF"/>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Borders>
              <w:bottom w:val="single" w:sz="8" w:color="CCEDFF"/>
            </w:tcBorders>
            <w:shd w:val="clear" w:color="auto" w:fill="CCEDFF"/>
          </w:tcPr>
          <w:p>
            <w:pPr>
              <w:spacing w:after="0"/>
              <w:rPr>
                <w:sz w:val="21"/>
                <w:szCs w:val="21"/>
                <w:color w:val="auto"/>
              </w:rPr>
            </w:pPr>
          </w:p>
        </w:tc>
        <w:tc>
          <w:tcPr>
            <w:tcW w:w="1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80" w:type="dxa"/>
            <w:vAlign w:val="bottom"/>
            <w:tcBorders>
              <w:bottom w:val="single" w:sz="8" w:color="CCEDFF"/>
            </w:tcBorders>
            <w:shd w:val="clear" w:color="auto" w:fill="CCEDFF"/>
          </w:tcPr>
          <w:p>
            <w:pPr>
              <w:spacing w:after="0"/>
              <w:rPr>
                <w:sz w:val="21"/>
                <w:szCs w:val="21"/>
                <w:color w:val="auto"/>
              </w:rPr>
            </w:pPr>
          </w:p>
        </w:tc>
        <w:tc>
          <w:tcPr>
            <w:tcW w:w="300" w:type="dxa"/>
            <w:vAlign w:val="bottom"/>
            <w:tcBorders>
              <w:bottom w:val="single" w:sz="8" w:color="CCEDFF"/>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(124,415)</w:t>
            </w:r>
          </w:p>
        </w:tc>
      </w:tr>
      <w:tr>
        <w:trPr>
          <w:trHeight w:val="225"/>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 income before</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4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reclassifications</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(40,693)</w:t>
            </w:r>
          </w:p>
        </w:tc>
      </w:tr>
      <w:tr>
        <w:trPr>
          <w:trHeight w:val="27"/>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80" w:type="dxa"/>
            <w:vAlign w:val="bottom"/>
            <w:tcBorders>
              <w:bottom w:val="single" w:sz="8" w:color="CCEDFF"/>
            </w:tcBorders>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40" w:type="dxa"/>
            <w:vAlign w:val="bottom"/>
            <w:tcBorders>
              <w:bottom w:val="single" w:sz="8" w:color="CCEDFF"/>
            </w:tcBorders>
            <w:shd w:val="clear" w:color="auto" w:fill="CCEDFF"/>
          </w:tcPr>
          <w:p>
            <w:pPr>
              <w:spacing w:after="0"/>
              <w:rPr>
                <w:sz w:val="21"/>
                <w:szCs w:val="21"/>
                <w:color w:val="auto"/>
              </w:rPr>
            </w:pPr>
          </w:p>
        </w:tc>
        <w:tc>
          <w:tcPr>
            <w:tcW w:w="1300" w:type="dxa"/>
            <w:vAlign w:val="bottom"/>
            <w:tcBorders>
              <w:bottom w:val="single" w:sz="8" w:color="CCEDFF"/>
            </w:tcBorders>
            <w:gridSpan w:val="2"/>
            <w:shd w:val="clear" w:color="auto" w:fill="CCED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DFF"/>
            </w:tcBorders>
            <w:shd w:val="clear" w:color="auto" w:fill="CCEDFF"/>
          </w:tcPr>
          <w:p>
            <w:pPr>
              <w:spacing w:after="0"/>
              <w:rPr>
                <w:sz w:val="21"/>
                <w:szCs w:val="21"/>
                <w:color w:val="auto"/>
              </w:rPr>
            </w:pPr>
          </w:p>
        </w:tc>
        <w:tc>
          <w:tcPr>
            <w:tcW w:w="11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spacing w:after="0"/>
              <w:rPr>
                <w:sz w:val="21"/>
                <w:szCs w:val="21"/>
                <w:color w:val="auto"/>
              </w:rPr>
            </w:pPr>
          </w:p>
        </w:tc>
        <w:tc>
          <w:tcPr>
            <w:tcW w:w="12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DFF"/>
            </w:tcBorders>
            <w:shd w:val="clear" w:color="auto" w:fill="CCEDFF"/>
          </w:tcPr>
          <w:p>
            <w:pPr>
              <w:spacing w:after="0"/>
              <w:rPr>
                <w:sz w:val="21"/>
                <w:szCs w:val="21"/>
                <w:color w:val="auto"/>
              </w:rPr>
            </w:pPr>
          </w:p>
        </w:tc>
        <w:tc>
          <w:tcPr>
            <w:tcW w:w="160" w:type="dxa"/>
            <w:vAlign w:val="bottom"/>
            <w:tcBorders>
              <w:bottom w:val="single" w:sz="8" w:color="CCEDFF"/>
            </w:tcBorders>
            <w:shd w:val="clear" w:color="auto" w:fill="CCEDFF"/>
          </w:tcPr>
          <w:p>
            <w:pPr>
              <w:spacing w:after="0"/>
              <w:rPr>
                <w:sz w:val="21"/>
                <w:szCs w:val="21"/>
                <w:color w:val="auto"/>
              </w:rPr>
            </w:pPr>
          </w:p>
        </w:tc>
        <w:tc>
          <w:tcPr>
            <w:tcW w:w="1280" w:type="dxa"/>
            <w:vAlign w:val="bottom"/>
            <w:tcBorders>
              <w:bottom w:val="single" w:sz="8" w:color="CCEDFF"/>
            </w:tcBorders>
            <w:gridSpan w:val="2"/>
            <w:shd w:val="clear" w:color="auto" w:fill="CCED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DFF"/>
            </w:tcBorders>
            <w:shd w:val="clear" w:color="auto" w:fill="CCEDFF"/>
          </w:tcPr>
          <w:p>
            <w:pPr>
              <w:spacing w:after="0"/>
              <w:rPr>
                <w:sz w:val="21"/>
                <w:szCs w:val="21"/>
                <w:color w:val="auto"/>
              </w:rPr>
            </w:pP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43"/>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Related tax amounts</w:t>
            </w:r>
          </w:p>
        </w:tc>
        <w:tc>
          <w:tcPr>
            <w:tcW w:w="14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r>
      <w:tr>
        <w:trPr>
          <w:trHeight w:val="27"/>
        </w:trPr>
        <w:tc>
          <w:tcPr>
            <w:tcW w:w="408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408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1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(159,574)</w:t>
            </w:r>
          </w:p>
        </w:tc>
        <w:tc>
          <w:tcPr>
            <w:tcW w:w="80" w:type="dxa"/>
            <w:vAlign w:val="bottom"/>
            <w:tcBorders>
              <w:bottom w:val="single" w:sz="8" w:color="CCEDFF"/>
            </w:tcBorders>
            <w:shd w:val="clear" w:color="auto" w:fill="CCEDFF"/>
          </w:tcPr>
          <w:p>
            <w:pPr>
              <w:spacing w:after="0"/>
              <w:rPr>
                <w:sz w:val="24"/>
                <w:szCs w:val="24"/>
                <w:color w:val="auto"/>
              </w:rPr>
            </w:pPr>
          </w:p>
        </w:tc>
        <w:tc>
          <w:tcPr>
            <w:tcW w:w="240" w:type="dxa"/>
            <w:vAlign w:val="bottom"/>
            <w:tcBorders>
              <w:bottom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(10,259)</w:t>
            </w:r>
          </w:p>
        </w:tc>
        <w:tc>
          <w:tcPr>
            <w:tcW w:w="80" w:type="dxa"/>
            <w:vAlign w:val="bottom"/>
            <w:tcBorders>
              <w:bottom w:val="single" w:sz="8" w:color="CCEDFF"/>
            </w:tcBorders>
            <w:shd w:val="clear" w:color="auto" w:fill="CCEDFF"/>
          </w:tcPr>
          <w:p>
            <w:pPr>
              <w:spacing w:after="0"/>
              <w:rPr>
                <w:sz w:val="24"/>
                <w:szCs w:val="24"/>
                <w:color w:val="auto"/>
              </w:rPr>
            </w:pPr>
          </w:p>
        </w:tc>
        <w:tc>
          <w:tcPr>
            <w:tcW w:w="1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Borders>
              <w:bottom w:val="single" w:sz="8" w:color="CCEDFF"/>
            </w:tcBorders>
            <w:shd w:val="clear" w:color="auto" w:fill="CCEDFF"/>
          </w:tcPr>
          <w:p>
            <w:pPr>
              <w:spacing w:after="0"/>
              <w:rPr>
                <w:sz w:val="24"/>
                <w:szCs w:val="24"/>
                <w:color w:val="auto"/>
              </w:rPr>
            </w:pPr>
          </w:p>
        </w:tc>
        <w:tc>
          <w:tcPr>
            <w:tcW w:w="1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80" w:type="dxa"/>
            <w:vAlign w:val="bottom"/>
            <w:tcBorders>
              <w:bottom w:val="single" w:sz="8" w:color="CCEDFF"/>
            </w:tcBorders>
            <w:shd w:val="clear" w:color="auto" w:fill="CCEDFF"/>
          </w:tcPr>
          <w:p>
            <w:pPr>
              <w:spacing w:after="0"/>
              <w:rPr>
                <w:sz w:val="24"/>
                <w:szCs w:val="24"/>
                <w:color w:val="auto"/>
              </w:rPr>
            </w:pPr>
          </w:p>
        </w:tc>
        <w:tc>
          <w:tcPr>
            <w:tcW w:w="300" w:type="dxa"/>
            <w:vAlign w:val="bottom"/>
            <w:tcBorders>
              <w:bottom w:val="single" w:sz="8" w:color="auto"/>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(165,762)</w:t>
            </w:r>
          </w:p>
        </w:tc>
      </w:tr>
      <w:tr>
        <w:trPr>
          <w:trHeight w:val="20"/>
        </w:trPr>
        <w:tc>
          <w:tcPr>
            <w:tcW w:w="4080" w:type="dxa"/>
            <w:vAlign w:val="bottom"/>
            <w:tcBorders>
              <w:top w:val="single" w:sz="8" w:color="CCEDFF"/>
            </w:tcBorders>
          </w:tcPr>
          <w:p>
            <w:pPr>
              <w:spacing w:after="0" w:line="20" w:lineRule="exact"/>
              <w:rPr>
                <w:sz w:val="1"/>
                <w:szCs w:val="1"/>
                <w:color w:val="auto"/>
              </w:rPr>
            </w:pPr>
          </w:p>
        </w:tc>
        <w:tc>
          <w:tcPr>
            <w:tcW w:w="140" w:type="dxa"/>
            <w:vAlign w:val="bottom"/>
            <w:tcBorders>
              <w:top w:val="single" w:sz="8" w:color="CCEDFF"/>
              <w:bottom w:val="single" w:sz="8" w:color="auto"/>
            </w:tcBorders>
          </w:tcPr>
          <w:p>
            <w:pPr>
              <w:spacing w:after="0" w:line="20" w:lineRule="exact"/>
              <w:rPr>
                <w:sz w:val="1"/>
                <w:szCs w:val="1"/>
                <w:color w:val="auto"/>
              </w:rPr>
            </w:pPr>
          </w:p>
        </w:tc>
        <w:tc>
          <w:tcPr>
            <w:tcW w:w="122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40" w:type="dxa"/>
            <w:vAlign w:val="bottom"/>
            <w:tcBorders>
              <w:top w:val="single" w:sz="8" w:color="CCEDFF"/>
              <w:bottom w:val="single" w:sz="8" w:color="auto"/>
            </w:tcBorders>
          </w:tcPr>
          <w:p>
            <w:pPr>
              <w:spacing w:after="0" w:line="20" w:lineRule="exact"/>
              <w:rPr>
                <w:sz w:val="1"/>
                <w:szCs w:val="1"/>
                <w:color w:val="auto"/>
              </w:rPr>
            </w:pPr>
          </w:p>
        </w:tc>
        <w:tc>
          <w:tcPr>
            <w:tcW w:w="112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20" w:type="dxa"/>
            <w:vAlign w:val="bottom"/>
            <w:tcBorders>
              <w:top w:val="single" w:sz="8" w:color="CCEDFF"/>
              <w:bottom w:val="single" w:sz="8" w:color="auto"/>
            </w:tcBorders>
          </w:tcPr>
          <w:p>
            <w:pPr>
              <w:spacing w:after="0" w:line="20" w:lineRule="exact"/>
              <w:rPr>
                <w:sz w:val="1"/>
                <w:szCs w:val="1"/>
                <w:color w:val="auto"/>
              </w:rPr>
            </w:pPr>
          </w:p>
        </w:tc>
        <w:tc>
          <w:tcPr>
            <w:tcW w:w="124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60" w:type="dxa"/>
            <w:vAlign w:val="bottom"/>
            <w:tcBorders>
              <w:top w:val="single" w:sz="8" w:color="CCEDFF"/>
              <w:bottom w:val="single" w:sz="8" w:color="auto"/>
            </w:tcBorders>
          </w:tcPr>
          <w:p>
            <w:pPr>
              <w:spacing w:after="0" w:line="20" w:lineRule="exact"/>
              <w:rPr>
                <w:sz w:val="1"/>
                <w:szCs w:val="1"/>
                <w:color w:val="auto"/>
              </w:rPr>
            </w:pPr>
          </w:p>
        </w:tc>
        <w:tc>
          <w:tcPr>
            <w:tcW w:w="120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CCEDFF"/>
              <w:bottom w:val="single" w:sz="8" w:color="auto"/>
            </w:tcBorders>
          </w:tcPr>
          <w:p>
            <w:pPr>
              <w:spacing w:after="0" w:line="20" w:lineRule="exact"/>
              <w:rPr>
                <w:sz w:val="1"/>
                <w:szCs w:val="1"/>
                <w:color w:val="auto"/>
              </w:rPr>
            </w:pPr>
          </w:p>
        </w:tc>
        <w:tc>
          <w:tcPr>
            <w:tcW w:w="1060" w:type="dxa"/>
            <w:vAlign w:val="bottom"/>
            <w:tcBorders>
              <w:top w:val="single" w:sz="8" w:color="CCEDFF"/>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520" w:hanging="188"/>
        <w:spacing w:after="0"/>
        <w:tabs>
          <w:tab w:leader="none" w:pos="52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Includes mark-to-market impacts associated with net investment hedges. See Note 17, </w:t>
      </w:r>
      <w:r>
        <w:rPr>
          <w:rFonts w:ascii="Times New Roman" w:cs="Times New Roman" w:eastAsia="Times New Roman" w:hAnsi="Times New Roman"/>
          <w:sz w:val="18"/>
          <w:szCs w:val="18"/>
          <w:i w:val="1"/>
          <w:iCs w:val="1"/>
          <w:color w:val="auto"/>
        </w:rPr>
        <w:t>Hedging Activities</w:t>
      </w:r>
      <w:r>
        <w:rPr>
          <w:rFonts w:ascii="Times New Roman" w:cs="Times New Roman" w:eastAsia="Times New Roman" w:hAnsi="Times New Roman"/>
          <w:sz w:val="18"/>
          <w:szCs w:val="18"/>
          <w:color w:val="auto"/>
        </w:rPr>
        <w:t>, for more information.</w:t>
      </w:r>
    </w:p>
    <w:p>
      <w:pPr>
        <w:spacing w:after="0" w:line="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reclassifications related to unrealized gain (loss) in available-for-sale securities relate to the Company’s equity interest in Primex, a captive insurance company, and are recorded in equity in net income of associated companies. The amounts reported in other comprehensive income for noncontrolling interest are related to currency translation adjustments.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Fair Value Measurements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values its company-owned life insurance policies at fair value. The Company owns an immaterial amount of company-owned life insurance policies as of June 30, 2025 and December 31, 2024.</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See Note 17, </w:t>
      </w:r>
      <w:r>
        <w:rPr>
          <w:rFonts w:ascii="Times New Roman" w:cs="Times New Roman" w:eastAsia="Times New Roman" w:hAnsi="Times New Roman"/>
          <w:sz w:val="18"/>
          <w:szCs w:val="18"/>
          <w:i w:val="1"/>
          <w:iCs w:val="1"/>
          <w:color w:val="auto"/>
        </w:rPr>
        <w:t>Hedging Activities</w:t>
      </w:r>
      <w:r>
        <w:rPr>
          <w:rFonts w:ascii="Times New Roman" w:cs="Times New Roman" w:eastAsia="Times New Roman" w:hAnsi="Times New Roman"/>
          <w:sz w:val="18"/>
          <w:szCs w:val="18"/>
          <w:color w:val="auto"/>
        </w:rPr>
        <w:t>, for a description of the Company’s derivative instruments.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Hedging Activities</w:t>
      </w:r>
    </w:p>
    <w:p>
      <w:pPr>
        <w:spacing w:after="0" w:line="121"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Company’s ongoing business operations expose it to various risks, including fluctuating foreign exchange rates and interest rate risk. To manage these risks, the Company periodically enters into derivative financial instruments, such as foreign exchange forward contracts, interest rate swap agreements, and cross-currency swap agreements. The Company does not hold or enter into derivative financial instruments for trading or speculative purposes.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Forward Contracts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uses foreign exchange forward contracts to economically hedge the impact of the variability in exchange rates on certain assets and/or liabilities denominated in foreign currencies. These forward contracts are marked-to-market at each reporting date. Changes in the fair value of the underlying instrument and settlements are recognized in earnings in Other (expense) income, net. The fair value of the forward contract is determined from sources independent of the Company, including the financial institutions which are party to the derivative instruments.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Open foreign exchange forward contracts as of June 30, 2025 were entered into as hedges of the Japanese yen and Mexican peso against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and had the following notional U.S. dollar values (in millions):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2800" w:type="dxa"/>
            <w:vAlign w:val="bottom"/>
          </w:tcPr>
          <w:p>
            <w:pPr>
              <w:spacing w:after="0"/>
              <w:rPr>
                <w:sz w:val="20"/>
                <w:szCs w:val="20"/>
                <w:color w:val="auto"/>
              </w:rPr>
            </w:pPr>
          </w:p>
        </w:tc>
        <w:tc>
          <w:tcPr>
            <w:tcW w:w="7180" w:type="dxa"/>
            <w:vAlign w:val="bottom"/>
            <w:gridSpan w:val="3"/>
          </w:tcPr>
          <w:p>
            <w:pPr>
              <w:jc w:val="right"/>
              <w:ind w:right="478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1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2800" w:type="dxa"/>
            <w:vAlign w:val="bottom"/>
            <w:tcBorders>
              <w:bottom w:val="single" w:sz="8" w:color="auto"/>
            </w:tcBorders>
          </w:tcPr>
          <w:p>
            <w:pPr>
              <w:spacing w:after="0"/>
              <w:rPr>
                <w:sz w:val="2"/>
                <w:szCs w:val="2"/>
                <w:color w:val="auto"/>
              </w:rPr>
            </w:pPr>
          </w:p>
        </w:tc>
        <w:tc>
          <w:tcPr>
            <w:tcW w:w="684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280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Mexican Peso</w:t>
            </w:r>
          </w:p>
        </w:tc>
        <w:tc>
          <w:tcPr>
            <w:tcW w:w="7180" w:type="dxa"/>
            <w:vAlign w:val="bottom"/>
            <w:tcBorders>
              <w:bottom w:val="single" w:sz="8" w:color="CCEDFF"/>
            </w:tcBorders>
            <w:gridSpan w:val="3"/>
            <w:shd w:val="clear" w:color="auto" w:fill="CCED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12,300</w:t>
            </w:r>
          </w:p>
        </w:tc>
      </w:tr>
      <w:tr>
        <w:trPr>
          <w:trHeight w:val="243"/>
        </w:trPr>
        <w:tc>
          <w:tcPr>
            <w:tcW w:w="2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Japanese Yen</w:t>
            </w:r>
          </w:p>
        </w:tc>
        <w:tc>
          <w:tcPr>
            <w:tcW w:w="6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23,200</w:t>
            </w:r>
          </w:p>
        </w:tc>
      </w:tr>
      <w:tr>
        <w:trPr>
          <w:trHeight w:val="27"/>
        </w:trPr>
        <w:tc>
          <w:tcPr>
            <w:tcW w:w="2800" w:type="dxa"/>
            <w:vAlign w:val="bottom"/>
            <w:tcBorders>
              <w:bottom w:val="single" w:sz="8" w:color="CCEDFF"/>
            </w:tcBorders>
          </w:tcPr>
          <w:p>
            <w:pPr>
              <w:spacing w:after="0"/>
              <w:rPr>
                <w:sz w:val="2"/>
                <w:szCs w:val="2"/>
                <w:color w:val="auto"/>
              </w:rPr>
            </w:pPr>
          </w:p>
        </w:tc>
        <w:tc>
          <w:tcPr>
            <w:tcW w:w="6840" w:type="dxa"/>
            <w:vAlign w:val="bottom"/>
            <w:tcBorders>
              <w:bottom w:val="single" w:sz="8" w:color="CCEDFF"/>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9"/>
        </w:trPr>
        <w:tc>
          <w:tcPr>
            <w:tcW w:w="2800" w:type="dxa"/>
            <w:vAlign w:val="bottom"/>
            <w:tcBorders>
              <w:bottom w:val="single" w:sz="8" w:color="CCEDFF"/>
            </w:tcBorders>
            <w:shd w:val="clear" w:color="auto" w:fill="CCEDFF"/>
          </w:tcPr>
          <w:p>
            <w:pPr>
              <w:spacing w:after="0"/>
              <w:rPr>
                <w:sz w:val="24"/>
                <w:szCs w:val="24"/>
                <w:color w:val="auto"/>
              </w:rPr>
            </w:pPr>
          </w:p>
        </w:tc>
        <w:tc>
          <w:tcPr>
            <w:tcW w:w="7180" w:type="dxa"/>
            <w:vAlign w:val="bottom"/>
            <w:tcBorders>
              <w:bottom w:val="single" w:sz="8" w:color="CCEDFF"/>
            </w:tcBorders>
            <w:gridSpan w:val="3"/>
            <w:shd w:val="clear" w:color="auto" w:fill="CCED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35,500</w:t>
            </w:r>
          </w:p>
        </w:tc>
      </w:tr>
      <w:tr>
        <w:trPr>
          <w:trHeight w:val="20"/>
        </w:trPr>
        <w:tc>
          <w:tcPr>
            <w:tcW w:w="2800" w:type="dxa"/>
            <w:vAlign w:val="bottom"/>
            <w:tcBorders>
              <w:top w:val="single" w:sz="8" w:color="CCEDFF"/>
            </w:tcBorders>
          </w:tcPr>
          <w:p>
            <w:pPr>
              <w:spacing w:after="0" w:line="20" w:lineRule="exact"/>
              <w:rPr>
                <w:sz w:val="1"/>
                <w:szCs w:val="1"/>
                <w:color w:val="auto"/>
              </w:rPr>
            </w:pPr>
          </w:p>
        </w:tc>
        <w:tc>
          <w:tcPr>
            <w:tcW w:w="6840" w:type="dxa"/>
            <w:vAlign w:val="bottom"/>
            <w:tcBorders>
              <w:top w:val="single" w:sz="8" w:color="CCEDFF"/>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ind w:left="2620" w:right="2280" w:firstLine="406"/>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Continued </w:t>
      </w: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acquisition of Dipsol as described in Note 2, </w:t>
      </w:r>
      <w:r>
        <w:rPr>
          <w:rFonts w:ascii="Times New Roman" w:cs="Times New Roman" w:eastAsia="Times New Roman" w:hAnsi="Times New Roman"/>
          <w:sz w:val="18"/>
          <w:szCs w:val="18"/>
          <w:i w:val="1"/>
          <w:iCs w:val="1"/>
          <w:color w:val="auto"/>
        </w:rPr>
        <w:t>Business Acquisitions</w:t>
      </w:r>
      <w:r>
        <w:rPr>
          <w:rFonts w:ascii="Times New Roman" w:cs="Times New Roman" w:eastAsia="Times New Roman" w:hAnsi="Times New Roman"/>
          <w:sz w:val="18"/>
          <w:szCs w:val="18"/>
          <w:color w:val="auto"/>
        </w:rPr>
        <w:t>, in March 2025, the Company entered into multiple foreign exchange forward contracts with various financial institutions with an aggregate notional amount totaling $155.3 million to hedge the variability of exchange rate impacts between the U.S. Dollar and Japanese yen. These foreign exchange forward contracts settled on April 1, 2025. The Company recognized a $0.6 million foreign currency gain and a $1.4 million foreign currency loss, respectively, during the three and six months ended June 30, 2025 in Other (expense) income, net relating to the change in fair value of these instruments as of the settlement date.</w:t>
      </w:r>
    </w:p>
    <w:p>
      <w:pPr>
        <w:spacing w:after="0" w:line="77" w:lineRule="exact"/>
        <w:rPr>
          <w:sz w:val="20"/>
          <w:szCs w:val="20"/>
          <w:color w:val="auto"/>
        </w:rPr>
      </w:pPr>
    </w:p>
    <w:p>
      <w:pPr>
        <w:ind w:right="2220" w:firstLine="324"/>
        <w:spacing w:after="0" w:line="375" w:lineRule="auto"/>
        <w:rPr>
          <w:sz w:val="20"/>
          <w:szCs w:val="20"/>
          <w:color w:val="auto"/>
        </w:rPr>
      </w:pPr>
      <w:r>
        <w:rPr>
          <w:rFonts w:ascii="Times New Roman" w:cs="Times New Roman" w:eastAsia="Times New Roman" w:hAnsi="Times New Roman"/>
          <w:sz w:val="18"/>
          <w:szCs w:val="18"/>
          <w:color w:val="auto"/>
        </w:rPr>
        <w:t xml:space="preserve">Open foreign exchange forward contracts as of June 30, 2025 had maturities occurring over a period of up to one month. </w:t>
      </w:r>
      <w:r>
        <w:rPr>
          <w:rFonts w:ascii="Times New Roman" w:cs="Times New Roman" w:eastAsia="Times New Roman" w:hAnsi="Times New Roman"/>
          <w:sz w:val="18"/>
          <w:szCs w:val="18"/>
          <w:i w:val="1"/>
          <w:iCs w:val="1"/>
          <w:color w:val="auto"/>
        </w:rPr>
        <w:t>Interest Rate Swaps</w:t>
      </w:r>
    </w:p>
    <w:p>
      <w:pPr>
        <w:spacing w:after="0" w:line="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order to manage the Company’s exposure to variable interest rate risk associated with the Credit Facility, such as the Secured Overnight Financing Rate (“SOFR”), in the first quarter of 2023, the Company entered into $300.0 million notional amounts of three-year interest rate swaps to convert a portion of the Company’s variable-rate borrowings into a fixed-rate obligation. See Note 14,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additional information. These interest rate swaps are designated as cash flow hedges and, as such, the contracts are marked-to-market at each reporting date with any unrealized gains or losses included in AOCI to the extent effective and reclassified to interest expense in the period during which the hedged transactions affect earnings or it becomes probable that the forecasted transaction will not occur.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Investment Hedges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June 2025, the Company entered into a fixed-for-fixed cross currency swap for a notional amount of $75.0 million to hedge the variability of exchange rate impacts between the U.S. Dollar and the European euro. Under the terms of the cross-currency swap agreement, the Company notionally exchanged $75.0 million at an interest rate of 1.9% for 65.8 million EUR at an interest rate of 0.0%. The cross-currency swap is designated as a net investment hedge on a pre-tax basis and expires in June 2027.</w:t>
      </w:r>
    </w:p>
    <w:p>
      <w:pPr>
        <w:spacing w:after="0" w:line="7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April 2025, the Company entered into fixed-for-fixed cross currency swaps with an aggregate notional amount totaling $100.0 million to hedge the variability of exchange rate impacts between the U.S. Dollar and Japanese yen. Under the terms of the cross-currency swap agreements, the Company notionally exchanged $100.0 million at a weighted average interest rate of 3.1% for 14.3 billion JPY at a weighted average interest rate of 0.0%. The cross-currency swaps are designated as net investment hedges on an after-tax basis and expire in April 2028.</w:t>
      </w:r>
    </w:p>
    <w:p>
      <w:pPr>
        <w:spacing w:after="0" w:line="72"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fixed-for-fixed cross-currency swaps are marked to market at each reporting date and any unrealized gains or losses are included in unrealized currency translation adjustments, within AOCI. The Company uses the spot method to evaluate the effectiveness of the net investment hedges.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balance sheet classification and fair values of the Company’s derivative instruments, which are Level 2 measurements,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0" w:type="dxa"/>
            <w:vAlign w:val="bottom"/>
          </w:tcPr>
          <w:p>
            <w:pPr>
              <w:spacing w:after="0"/>
              <w:rPr>
                <w:sz w:val="20"/>
                <w:szCs w:val="20"/>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instruments</w:t>
            </w:r>
          </w:p>
        </w:tc>
        <w:tc>
          <w:tcPr>
            <w:tcW w:w="41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Condensed Consolidated Balance Sheets Location</w:t>
            </w:r>
          </w:p>
        </w:tc>
        <w:tc>
          <w:tcPr>
            <w:tcW w:w="240" w:type="dxa"/>
            <w:vAlign w:val="bottom"/>
          </w:tcPr>
          <w:p>
            <w:pPr>
              <w:spacing w:after="0"/>
              <w:rPr>
                <w:sz w:val="20"/>
                <w:szCs w:val="20"/>
                <w:color w:val="auto"/>
              </w:rPr>
            </w:pPr>
          </w:p>
        </w:tc>
        <w:tc>
          <w:tcPr>
            <w:tcW w:w="1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DFF"/>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4080" w:type="dxa"/>
            <w:vAlign w:val="bottom"/>
            <w:tcBorders>
              <w:bottom w:val="single" w:sz="8" w:color="CCEDFF"/>
            </w:tcBorders>
            <w:gridSpan w:val="2"/>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Net investment hedges</w:t>
            </w:r>
          </w:p>
        </w:tc>
        <w:tc>
          <w:tcPr>
            <w:tcW w:w="4180" w:type="dxa"/>
            <w:vAlign w:val="bottom"/>
            <w:tcBorders>
              <w:bottom w:val="single" w:sz="8" w:color="CCEDFF"/>
            </w:tcBorders>
            <w:gridSpan w:val="4"/>
            <w:shd w:val="clear" w:color="auto" w:fill="CCED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CCEDFF"/>
            </w:tcBorders>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investment hedges</w:t>
            </w:r>
          </w:p>
        </w:tc>
        <w:tc>
          <w:tcPr>
            <w:tcW w:w="4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080" w:type="dxa"/>
            <w:vAlign w:val="bottom"/>
            <w:tcBorders>
              <w:bottom w:val="single" w:sz="8" w:color="CCEDFF"/>
            </w:tcBorders>
            <w:gridSpan w:val="2"/>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Interest rate swaps</w:t>
            </w:r>
          </w:p>
        </w:tc>
        <w:tc>
          <w:tcPr>
            <w:tcW w:w="4180" w:type="dxa"/>
            <w:vAlign w:val="bottom"/>
            <w:tcBorders>
              <w:bottom w:val="single" w:sz="8" w:color="CCEDFF"/>
            </w:tcBorders>
            <w:gridSpan w:val="4"/>
            <w:shd w:val="clear" w:color="auto" w:fill="CCED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CCEDFF"/>
            </w:tcBorders>
            <w:shd w:val="clear" w:color="auto" w:fill="CCEDFF"/>
          </w:tcPr>
          <w:p>
            <w:pPr>
              <w:spacing w:after="0"/>
              <w:rPr>
                <w:sz w:val="21"/>
                <w:szCs w:val="21"/>
                <w:color w:val="auto"/>
              </w:rPr>
            </w:pPr>
          </w:p>
        </w:tc>
        <w:tc>
          <w:tcPr>
            <w:tcW w:w="11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spacing w:after="0"/>
              <w:rPr>
                <w:sz w:val="21"/>
                <w:szCs w:val="21"/>
                <w:color w:val="auto"/>
              </w:rPr>
            </w:pPr>
          </w:p>
        </w:tc>
        <w:tc>
          <w:tcPr>
            <w:tcW w:w="13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4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21"/>
                <w:szCs w:val="21"/>
                <w:color w:val="auto"/>
              </w:rPr>
            </w:pPr>
          </w:p>
        </w:tc>
      </w:tr>
      <w:tr>
        <w:trPr>
          <w:trHeight w:val="432"/>
        </w:trPr>
        <w:tc>
          <w:tcPr>
            <w:tcW w:w="40" w:type="dxa"/>
            <w:vAlign w:val="bottom"/>
          </w:tcPr>
          <w:p>
            <w:pPr>
              <w:spacing w:after="0"/>
              <w:rPr>
                <w:sz w:val="24"/>
                <w:szCs w:val="24"/>
                <w:color w:val="auto"/>
              </w:rPr>
            </w:pPr>
          </w:p>
        </w:tc>
        <w:tc>
          <w:tcPr>
            <w:tcW w:w="826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The following table presents the net unrealized (loss) gain deferred to AOCI:</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6"/>
        </w:trPr>
        <w:tc>
          <w:tcPr>
            <w:tcW w:w="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Pr>
          <w:p>
            <w:pPr>
              <w:spacing w:after="0"/>
              <w:rPr>
                <w:sz w:val="24"/>
                <w:szCs w:val="24"/>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40" w:type="dxa"/>
            <w:vAlign w:val="bottom"/>
          </w:tcPr>
          <w:p>
            <w:pPr>
              <w:spacing w:after="0"/>
              <w:rPr>
                <w:sz w:val="20"/>
                <w:szCs w:val="20"/>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instruments:</w:t>
            </w:r>
          </w:p>
        </w:tc>
        <w:tc>
          <w:tcPr>
            <w:tcW w:w="41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Condensed Consolidated Balance Sheets Location</w:t>
            </w:r>
          </w:p>
        </w:tc>
        <w:tc>
          <w:tcPr>
            <w:tcW w:w="240" w:type="dxa"/>
            <w:vAlign w:val="bottom"/>
          </w:tcPr>
          <w:p>
            <w:pPr>
              <w:spacing w:after="0"/>
              <w:rPr>
                <w:sz w:val="20"/>
                <w:szCs w:val="20"/>
                <w:color w:val="auto"/>
              </w:rPr>
            </w:pPr>
          </w:p>
        </w:tc>
        <w:tc>
          <w:tcPr>
            <w:tcW w:w="1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investment hedges</w:t>
            </w:r>
          </w:p>
        </w:tc>
        <w:tc>
          <w:tcPr>
            <w:tcW w:w="4180" w:type="dxa"/>
            <w:vAlign w:val="bottom"/>
            <w:tcBorders>
              <w:bottom w:val="single" w:sz="8" w:color="CCEEFF"/>
            </w:tcBorders>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AOCI</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rate swaps</w:t>
            </w:r>
          </w:p>
        </w:tc>
        <w:tc>
          <w:tcPr>
            <w:tcW w:w="41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AOCI</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20" w:type="dxa"/>
            <w:vAlign w:val="bottom"/>
          </w:tcPr>
          <w:p>
            <w:pPr>
              <w:spacing w:after="0"/>
              <w:rPr>
                <w:sz w:val="21"/>
                <w:szCs w:val="21"/>
                <w:color w:val="auto"/>
              </w:rPr>
            </w:pPr>
          </w:p>
        </w:tc>
      </w:tr>
      <w:tr>
        <w:trPr>
          <w:trHeight w:val="769"/>
        </w:trPr>
        <w:tc>
          <w:tcPr>
            <w:tcW w:w="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40" w:type="dxa"/>
            <w:vAlign w:val="bottom"/>
            <w:tcBorders>
              <w:bottom w:val="single" w:sz="8" w:color="9A9A9A"/>
            </w:tcBorders>
          </w:tcPr>
          <w:p>
            <w:pPr>
              <w:spacing w:after="0"/>
              <w:rPr>
                <w:sz w:val="19"/>
                <w:szCs w:val="19"/>
                <w:color w:val="auto"/>
              </w:rPr>
            </w:pPr>
          </w:p>
        </w:tc>
        <w:tc>
          <w:tcPr>
            <w:tcW w:w="40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40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3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ind w:left="2620" w:right="2280" w:firstLine="406"/>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Continued </w:t>
      </w: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3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location and the amount of net gain (loss) recognized in the Company’s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related to derivative instruments:</w:t>
      </w:r>
    </w:p>
    <w:p>
      <w:pPr>
        <w:spacing w:after="0" w:line="14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8"/>
                <w:szCs w:val="18"/>
                <w:color w:val="auto"/>
              </w:rPr>
            </w:pPr>
          </w:p>
        </w:tc>
        <w:tc>
          <w:tcPr>
            <w:tcW w:w="226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3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7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Condensed Consolidated</w:t>
            </w: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instruments</w:t>
            </w:r>
          </w:p>
        </w:tc>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3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hedges</w:t>
            </w:r>
          </w:p>
        </w:tc>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63"/>
        </w:trPr>
        <w:tc>
          <w:tcPr>
            <w:tcW w:w="3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Commitments and Contingencies</w:t>
      </w:r>
    </w:p>
    <w:p>
      <w:pPr>
        <w:spacing w:after="0" w:line="11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As previously disclosed in its 2024 Form 10-K, the Company is party to certain environmental matters and other litigation. See Note 25, </w:t>
      </w: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Contingencies</w:t>
      </w:r>
      <w:r>
        <w:rPr>
          <w:rFonts w:ascii="Times New Roman" w:cs="Times New Roman" w:eastAsia="Times New Roman" w:hAnsi="Times New Roman"/>
          <w:sz w:val="18"/>
          <w:szCs w:val="18"/>
          <w:color w:val="auto"/>
        </w:rPr>
        <w:t>, in the Company’s 2024 Form 10-K for more information. During the three and six months ended June 30, 2025, there have been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changes to the facts or circumstances of any of the previously disclosed matters. Although there can be no assurance regarding the outcome of any of the ongoing environmental matters or litigation, the Company believes that it has made adequate accruals for costs and liabilities associated with these matters. The Company has accrued approximately $5.6 million and $5.3 million as of June 30, 2025 and December 31, 2024, respectively, for these ongoing matters.</w:t>
      </w:r>
    </w:p>
    <w:p>
      <w:pPr>
        <w:spacing w:after="0" w:line="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during the three and six months ended June 30, 2025, there are no new environmental matters or litigation that the Company believes will have a material adverse effect on the Company’s results of operations, cash flows, or financial condition.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used in this Report, the terms “Quaker Houghton,” the “Company,” “we” and “our” refer to Quaker Chemical Corporation (doing business as Quaker Houghton), its subsidiaries, and associated companies, unless the context otherwise requires.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Quaker Houghton is the global leader in industrial process fluids. With a presence around the world, including operations in over 25 countries, our customers include thousands of the world’s most advanced and specialized steel, aluminum, automotive, aerospace, offshore, container, mining, and metalworking companies. Our high-performing, innovative and sustainable solutions are backed by best-in-class technology, deep process knowledge, and customized services. Quaker Houghton is headquartered in Conshohocken, Pennsylvania, located near Philadelphia in the U.S.</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Net sales in the second quarter of 2025 were $483.4 million, an increase of 4% compared to $463.6 million in the second quarter of 2024. This increase was primarily driven by a contribution from acquisitions of approximately 6% and an increase in sales volumes of approximately 2%, partially offset by a decline in selling price and product mix of approximately 4%. The increase in sales volumes compared to the prior year was primarily a result of continued growth in the Asia/Pacific segment and new business wins across all segments, helping to offset a continuation of soft end market conditions including the uncertainty caused by tariffs, particularly in the Americas and EMEA segments. The decrease in selling price and product mix was primarily attributable to the impact of the mix of products, services and geographies and the impact of our index-based customer contracts.</w:t>
      </w:r>
    </w:p>
    <w:p>
      <w:pPr>
        <w:spacing w:after="0" w:line="7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reported a net loss in the second quarter of 2025 of $66.6 million, or $3.78 loss per diluted share, compared to net income of $34.9 million, or $1.94 earnings per diluted share in the second quarter of 2024. The net loss primarily reflects an $88.8 million non-cash impairment charge to write down the remaining value of goodwill associated with the Company’s EMEA reportable segment. Excluding non-recurring and non-core items in each period, the Company’s second quarter 2025 non-GAAP net income and earnings per diluted share were $30.0 million and $1.71 compared to $38.2 million and $2.13, respectively, in the prior year. The decrease in current quarter Non-GAAP earnings was primarily driven by lower gross margins and an increase in selling, general and administrative expenses (“SG&amp;A”), partially offset by an increase in net sales. The Company’s current quarter adjusted EBITDA was $75.5 million compared to $84.3 million in the second quarter of 2024, as the increase in net sales was offset by lower operating margins. See the Non-GAAP Measures and Consolidated Operations Review sections of this Item below for additional details.</w:t>
      </w:r>
    </w:p>
    <w:p>
      <w:pPr>
        <w:spacing w:after="0" w:line="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second quarter 2025 operating performance in each of its three reportable segments: (i) Americas; (ii) EMEA; and (iii) Asia/Pacific, reflects similar drivers to that of the Company’s consolidated performance. Operating earnings for all three segments decreased compared to the prior year quarter, primarily driven by a decrease in operating margins in each of the reportable segments. Additional details of segment operating performance are provided in the Reportable Segments Review in the Operations section of this Item below.</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cash flows provided by operating activities were $38.5 million in the first six months of 2025 compared to net cash flows provided by operating activities of $73.5 million in the first six months of 2024. The lower operating cash flow year-over-year reflects lower operating performance and higher cash outflows from restructuring activities, partially offset by a modest improvement in working capital management in the first six months of 2025 compared to the first six months of 2024. The key drivers of the Company’s operating cash flow and working capital are further discussed in the Company’s Liquidity and Capital Resources section of this Item below.</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Overall, the Company’s results in the second quarter of 2025 reflect a continuation of soft end market conditions, heightened uncertainty in part due to global trade and tariffs which have impacted the Company’s customers and end markets, and the Company’s continued focus on delivering on its long-term financial and strategic initiatives.</w:t>
      </w:r>
    </w:p>
    <w:p>
      <w:pPr>
        <w:spacing w:after="0" w:line="6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July 4, 2025, H.R. 1, commonly known as the One Big Beautiful Bill Act (the “OBBB”), was signed into law. This includes significant changes to the federal corporate tax provisions and extends certain otherwise expiring provisions of the 2017 Tax Cuts and Jobs Act. Among other things, the legislation restores 100% bonus depreciation for eligible property, reinstates expensing for domestic research and experimental expenditures, imposes new limitations on interest expense deductibility, and expands disallowed deductions for certain employee remuneration. The OBBB also includes provisions that could impact our international business and which are still being evaluated. ASU 2023-09 Income Taxes (Topic 740) requires the effects of changes in tax rates and laws on deferred tax balances to be recognized in the period in which the relevant legislation is enacted. The OBBB was passed subsequent to the date of our financial statements and may affect the Company’s tax assets and liabilities in future periods. The legislation has multiple effective dates, with certain provisions effective in 2025 and other provisions implemented through 2027. The Company continues to assess the potential impact of the OBBB on our Condensed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described in “Management’s Discussion and Analysis” and “Note 1 – Significant Accounting Policies” to the Consolidated Financial Statements in our 2024 Form 10-K. There have been no material changes to the critical accounting policies and estimates disclosed in the 2024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19"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See Note 3, </w:t>
      </w:r>
      <w:r>
        <w:rPr>
          <w:rFonts w:ascii="Times New Roman" w:cs="Times New Roman" w:eastAsia="Times New Roman" w:hAnsi="Times New Roman"/>
          <w:sz w:val="18"/>
          <w:szCs w:val="18"/>
          <w:i w:val="1"/>
          <w:iCs w:val="1"/>
          <w:color w:val="auto"/>
        </w:rPr>
        <w:t>Recently Issued Accounting Standards</w:t>
      </w:r>
      <w:r>
        <w:rPr>
          <w:rFonts w:ascii="Times New Roman" w:cs="Times New Roman" w:eastAsia="Times New Roman" w:hAnsi="Times New Roman"/>
          <w:sz w:val="18"/>
          <w:szCs w:val="18"/>
          <w:color w:val="auto"/>
        </w:rPr>
        <w:t>, to the Condensed Consolidated Financial Statements for a discussion regarding recently adopted accounting standards and recently issued accounting standards not yet adopted.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had cash and cash equivalents of $201.9 million and $188.9 million as of June 30, 2025 and December 31, 2024, respectively. Cash held by subsidiaries in foreign countries was approximately $189.4 million and $180.6 million at June 30, 2025 and December 31, 2024, respectively. The $13.0 million increase in cash and cash equivalents was the net result of $147.5 million of cash provided by financing activities, $38.5 million of cash provided by operating activities, and a $7.7 million favorable impact of foreign currency translation, primarily offset by $180.7 million of cash used in investing activities.</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cash flows provided by operating activities were $38.5 million in the first six months of 2025 compared to $73.5 million net cash flows provided by operating activities in the first six months of 2024. The decrease in net operating cash flow year-over-year reflects lower operating performance in the first six months of 2025 compared to 2024 and higher cash outflows from restructuring activities, partially offset by a modest improvement in working capital management in 2025. The improvement in working capital management in the first six months of 2025 was primarily driven by an increased outflow of tax payments in the prior year, partially offset by slower collections of accounts receivable in the current year.</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Net cash flows used in investing activities were $180.7 million in the first six months of 2025 compared to $33.2 million in the first six months of 2024. The increase in cash used in investing activities year-over-year is primarily the result of $164.1 million of payments, net of cash acquired, in the current year related to the acquisitions of Chemical Solutions &amp; Innovations (Pty) Ltd. (“CSI”), Dipsol Chemicals Co., Ltd., (“Dipsol”) and Natech, Ltd., (“Natech”) and a $9.2 million increase in payments related to capital expenditures. The prior year included a $24.9 million payment related to the acquisition of I.K.V. Tribologie IKVT and its subsidiaries (“IKV”). See Note 2, </w:t>
      </w:r>
      <w:r>
        <w:rPr>
          <w:rFonts w:ascii="Times New Roman" w:cs="Times New Roman" w:eastAsia="Times New Roman" w:hAnsi="Times New Roman"/>
          <w:sz w:val="18"/>
          <w:szCs w:val="18"/>
          <w:i w:val="1"/>
          <w:iCs w:val="1"/>
          <w:color w:val="auto"/>
        </w:rPr>
        <w:t>Business Acquisitions</w:t>
      </w:r>
      <w:r>
        <w:rPr>
          <w:rFonts w:ascii="Times New Roman" w:cs="Times New Roman" w:eastAsia="Times New Roman" w:hAnsi="Times New Roman"/>
          <w:sz w:val="18"/>
          <w:szCs w:val="18"/>
          <w:color w:val="auto"/>
        </w:rPr>
        <w:t>, to the Condensed Consolidated Financial Statements for further information about business acquisitions.</w:t>
      </w:r>
    </w:p>
    <w:p>
      <w:pPr>
        <w:spacing w:after="0" w:line="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Net cash flows provided by financing activities were $147.5 million in the first six months of 2025 compared to $39.3 million cash used in financing activities in the first six months of 2024. The increase in financing cash inflows is primarily driven by $216.0 million of net borrowings on the Company’s revolving credit facility in the first six months of 2025, a $195.5 million increase compared to the prior year, which the Company used for the purpose of funding the purchase price of the Dipsol acquisition as well as for other corporate purposes. In addition, during the first six months of 2025, the Company made debt payments of approximately $17.3 million, a $17.0 million decrease in payments compared to the prior year. This was offset by payments of approximately $32.7 million for repurchases of the Company’s common stock under its share repurchase program in the current year, a $24.9 million increase compared to the prior year.</w:t>
      </w:r>
    </w:p>
    <w:p>
      <w:pPr>
        <w:spacing w:after="0" w:line="8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June 2022, the Company, and its wholly owned subsidiary, Quaker Houghton B.V., as borrowers, Bank of America, N.A., as administrative agent, U.S. dollar swing line lender and letter of credit issuer, Bank of America Europe Designated Active Company, as Euro Swing Line Lender, certain guarantors and other lenders entered into an amendment to its primary credit facility. The amended credit facility (the “Credit Facility”) established (A) a $150.0 million Euro equivalent senior secured term loan (the “Euro Term Loan”), (B) a $600.0 million senior secured term loan (the “U.S. Term Loan”), and (C) a $500.0 million senior secured revolving credit facility (the “Revolver”), each maturing in June 2027. The Company has the right to increase the amount of the Credit Facility by an aggregate amount not to exceed the greater of $300.0 million or 100% of Consolidated EBITDA, subject to certain conditions including the agreement to provide financing by any lender providing such increase. The Credit Facility contains affirmative and negative covenants, financial covenants and events of default. Financial covenants contained in the Credit Facility include a consolidated interest coverage ratio test and a consolidated net leverage ratio test. As of June 30, 2025, the Company was in compliance with all of the Credit Facility covenants. Refer to the description of the Company’s primary Credit Facility in Note 19,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to the Consolidated Financial Statements in its 2024 Form 10-K.</w:t>
      </w:r>
    </w:p>
    <w:p>
      <w:pPr>
        <w:spacing w:after="0" w:line="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June 30, 2025 and December 31, 2024, the Company had Credit Facility borrowings outstanding of $925.3 million and $696.5 million, respectively. The Company’s other debt obligations are primarily industrial development bonds, bank lines of credit and municipality-related loans, which totaled $11.4 million as of June 30, 2025 and $11.8 million as of December 31, 2024. Total unused capacity under these arrangements, excluding the Credit Facility, as of June 30, 2025 was approximately $40 million. The Company’s total net debt as of June 30, 2025, which consists of total borrowings of $936.7 million less cash and cash equivalents of $201.9 million, was approximately $734.8 million.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3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weighted average variable interest rate incurred on the outstanding borrowings under the Credit Facility during the three and six months ended June 30, 2025 was approximately 5.2% for both periods. As of June 30, 2025, the interest rate on the outstanding borrowings under the Credit Facility was approximately 4.9%. As part of the Credit Facility, in addition to paying interest on outstanding principal, the Company is also required to pay an annual commitment fee ranging from 0.150% to 0.275% related to unutilized commitments under the Revolver, depending on the Company’s consolidated net leverage ratio. The Company had unused capacity under the Revolver of approximately $220 million, which is net of bank letters of credit of approximately $2 million, as of June 30, 2025.</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order to manage the Company’s exposure to variable interest rate risk associated with the Credit Facility, in the first quarter of 2023, the Company entered into $300.0 million notional amounts of three-year interest rate swaps to convert a portion of the Company’s variable rate borrowings into an average fixed rate obligation of 3.64% plus an applicable margin as provided in the Credit Facility based on the Company’s consolidated net leverage ratio. As of June 30, 2025, the aggregate interest rate on the swaps, including the fixed base rate plus the applicable margin, was 4.9%. See Note 17, </w:t>
      </w:r>
      <w:r>
        <w:rPr>
          <w:rFonts w:ascii="Times New Roman" w:cs="Times New Roman" w:eastAsia="Times New Roman" w:hAnsi="Times New Roman"/>
          <w:sz w:val="18"/>
          <w:szCs w:val="18"/>
          <w:i w:val="1"/>
          <w:iCs w:val="1"/>
          <w:color w:val="auto"/>
        </w:rPr>
        <w:t>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Activities</w:t>
      </w:r>
      <w:r>
        <w:rPr>
          <w:rFonts w:ascii="Times New Roman" w:cs="Times New Roman" w:eastAsia="Times New Roman" w:hAnsi="Times New Roman"/>
          <w:sz w:val="18"/>
          <w:szCs w:val="18"/>
          <w:color w:val="auto"/>
        </w:rPr>
        <w:t>, to the Condensed Consolidated Financial Statements for further information.</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capitalized third-party and credit debt issuance costs attributed to the Euro Term Loan, U.S. Term Loan and Revolver during the second quarter of 2022. Capitalized costs attributed to the Euro Term Loan and U.S. Term Loan are recorded as a direct offset to Long-term debt on the Condensed Consolidated Balance Sheets. Capitalized costs attributed to the Revolver are recorded within Other assets on the Condensed Consolidated Balance Sheets. These capitalized costs are amortized into Interest expense over the five-year term of the Credit Facility. As of June 30, 2025 and December 31, 2024, the Company had $0.9 million and $1.1 million, respectively, of debt issuance costs recorded as a reduction of Long-term debt and $1.9 million and $2.4 million, respectively, of debt issuance costs recorded within Other assets.</w:t>
      </w:r>
    </w:p>
    <w:p>
      <w:pPr>
        <w:spacing w:after="0" w:line="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 uses foreign exchange forward contracts to economically hedge the impact of the variability in exchange rates on certain foreign currency-denominated assets and liabilities. Additionally, in connection with the Dipsol acquisition, in March 2025, the Company entered into foreign exchange forward contracts with various financial institutions with an aggregate notional amount of $155.3 million to hedge the variability in U.S. dollar-Japanese yen exchange rates associated with the purchase price. These contracts settled on April 1, 2025 in connection with the Dipsol acquisition. During the first six months of 2025 and 2024, the Company recognized $0.4 million and $0.7 million, respectively, of other expense relating to changes in fair value of foreign exchange forward contracts. See Note 17, </w:t>
      </w:r>
      <w:r>
        <w:rPr>
          <w:rFonts w:ascii="Times New Roman" w:cs="Times New Roman" w:eastAsia="Times New Roman" w:hAnsi="Times New Roman"/>
          <w:sz w:val="18"/>
          <w:szCs w:val="18"/>
          <w:i w:val="1"/>
          <w:iCs w:val="1"/>
          <w:color w:val="auto"/>
        </w:rPr>
        <w:t>Hedging Activities</w:t>
      </w:r>
      <w:r>
        <w:rPr>
          <w:rFonts w:ascii="Times New Roman" w:cs="Times New Roman" w:eastAsia="Times New Roman" w:hAnsi="Times New Roman"/>
          <w:sz w:val="18"/>
          <w:szCs w:val="18"/>
          <w:color w:val="auto"/>
        </w:rPr>
        <w:t>, to the Condensed Consolidated Financial Statements for further information.</w:t>
      </w:r>
    </w:p>
    <w:p>
      <w:pPr>
        <w:spacing w:after="0" w:line="7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During 2022, the Company initiated a global cost and optimization program to improve its cost structure and drive a more profitable and productive organization. The Company has achieved its annualized cost savings goal from this program of at least $20 million. In the first half of 2025, the Company approved additional actions under the program, which are expected to generate at least an additional $35.0 million of annualized cost savings. These actions are expected to be substantially complete by the end of 2025. The Company recognized restructuring and related charges of $23.4 million and $2.2 million for the six months ended June 30, 2025 and 2024, respectively, under this program and for our facility closure actions. The Company made cash payments related to the settlement of restructuring liabilities under the program during the first six months of 2025 of approximately $15.9 million compared to $4.4 million in the first six months of 2024. The Company expects total one-time cash costs of this program to be approximately 1 to 1.5 times annualized savings. See Note 7, </w:t>
      </w:r>
      <w:r>
        <w:rPr>
          <w:rFonts w:ascii="Times New Roman" w:cs="Times New Roman" w:eastAsia="Times New Roman" w:hAnsi="Times New Roman"/>
          <w:sz w:val="18"/>
          <w:szCs w:val="18"/>
          <w:i w:val="1"/>
          <w:iCs w:val="1"/>
          <w:color w:val="auto"/>
        </w:rPr>
        <w:t>Restructuring and Related Activities</w:t>
      </w:r>
      <w:r>
        <w:rPr>
          <w:rFonts w:ascii="Times New Roman" w:cs="Times New Roman" w:eastAsia="Times New Roman" w:hAnsi="Times New Roman"/>
          <w:sz w:val="18"/>
          <w:szCs w:val="18"/>
          <w:color w:val="auto"/>
        </w:rPr>
        <w:t>, to the Condensed Consolidated Financial Statements for further information.</w:t>
      </w:r>
    </w:p>
    <w:p>
      <w:pPr>
        <w:spacing w:after="0" w:line="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June 30, 2025, the Company’s gross liability for uncertain tax positions, including interest and penalties, was $18.8 million. The Company cannot determine a reliable estimate of the timing of cash flows related to its uncertain tax position liability. However, should the entire liability be paid, the amount of the payment may be reduced by up to $7.7 million as a result of offsetting benefits in other tax jurisdictions.</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As previously disclosed, the Board of Directors of the Company has approved a share repurchase program (“2024 Share Repurchase Program”), authorizing the Company to repurchase up to an aggregate of $150 million of the Company’s outstanding common stock and replacing the prior share repurchase program. The 2024 Share Repurchase Program was effective immediately and has no expiration date. The Company made certain purchases under the 2024 Share Repurchase Program during the six months ended June 30, 2025. See Item 2, </w:t>
      </w:r>
      <w:r>
        <w:rPr>
          <w:rFonts w:ascii="Times New Roman" w:cs="Times New Roman" w:eastAsia="Times New Roman" w:hAnsi="Times New Roman"/>
          <w:sz w:val="18"/>
          <w:szCs w:val="18"/>
          <w:i w:val="1"/>
          <w:iCs w:val="1"/>
          <w:color w:val="auto"/>
        </w:rPr>
        <w:t>Unregistered Sales of Equity Securities, Use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Proceeds and Issuer Purchases of Equity Securities</w:t>
      </w:r>
      <w:r>
        <w:rPr>
          <w:rFonts w:ascii="Times New Roman" w:cs="Times New Roman" w:eastAsia="Times New Roman" w:hAnsi="Times New Roman"/>
          <w:sz w:val="18"/>
          <w:szCs w:val="18"/>
          <w:color w:val="auto"/>
        </w:rPr>
        <w:t>, within Part II of this Report for further information.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3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believes that its existing cash, anticipated cash flows from operations and available liquidity will be sufficient to support its operating requirements and fund its business objectives for at least the next twelve months, including but not limited to payments of dividends to shareholders, share repurchases, capital expenditures, other growth opportunities (including potential acquisitions), pension plan contributions, implementing actions to achieve the Company’s sustainability goals and other potential known or anticipated contingencies. The Company also believes it has sufficient additional liquidity to support its operating requirements and to fund its business obligations for the period beyond the next twelve months, including the aforementioned items which are expected to recur annually, as well as future principal and interest payments on the Company’s Credit Facility, tax obligations and other long-term liabilities. The Company’s liquidity is affected by many factors, some based on normal operations of our business and others related to the impact of global events on our business and on global economic conditions as well as industry uncertainties, which we cannot predict. We also cannot predict economic conditions and industry downturns or the timing, strength or duration of recoveries. We may seek, as we believe appropriate, additional debt or equity financing that would provide capital for corporate purposes, working capital funding, additional liquidity needs or to fund future growth opportunities, including possible acquisitions and organic investments. The timing and amount of potential additional capital requirements cannot be determined at this time and will depend on a number of factors, including the actual and projected demand for our products, specialty chemical industry conditions, competitive factors, and the condition of financial markets, among others.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Consolidated Operations Review – Comparison of the Second Quarter of 2025 with the Second Quarter of 2024</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sales variances by reportable segment and consolidated operations from the prior year: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Selling price &amp;</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4"/>
        </w:trPr>
        <w:tc>
          <w:tcPr>
            <w:tcW w:w="2760" w:type="dxa"/>
            <w:vAlign w:val="bottom"/>
          </w:tcPr>
          <w:p>
            <w:pPr>
              <w:spacing w:after="0"/>
              <w:rPr>
                <w:sz w:val="20"/>
                <w:szCs w:val="20"/>
                <w:color w:val="auto"/>
              </w:rPr>
            </w:pPr>
          </w:p>
        </w:tc>
        <w:tc>
          <w:tcPr>
            <w:tcW w:w="1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Sales volumes</w:t>
            </w:r>
          </w:p>
        </w:tc>
        <w:tc>
          <w:tcPr>
            <w:tcW w:w="1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product mix</w:t>
            </w: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Foreign currency</w:t>
            </w: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Acquisition &amp; other</w:t>
            </w:r>
          </w:p>
        </w:tc>
        <w:tc>
          <w:tcPr>
            <w:tcW w:w="15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27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7"/>
        </w:trPr>
        <w:tc>
          <w:tcPr>
            <w:tcW w:w="27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43"/>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bl>
    <w:p>
      <w:pPr>
        <w:spacing w:after="0" w:line="21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Net sales in the second quarter of 2025 were $483.4 million, an increase of 4% compared to $463.6 million in the second quarter of 2024. This increase was primarily driven by a contribution from acquisitions of approximately 6% and an increase in sales volumes of 2%, partially offset by a decline in selling price and product mix of approximately 4%. The increase in sales volumes compared to the prior year was primarily a result of continued growth in the Asia/Pacific segment and new business wins across all segments, helping to offset a continuation of soft end market conditions including the uncertainty caused by tariffs, particularly in the Americas and EMEA segments. The decrease in selling price and product mix was primarily attributable to the impact of the mix of products, services and geographies and the impact of our index-based customer contracts.</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 of goods sold (“COGS”) was $311.7 million in the second quarter of 2025 compared to $287.8 million in the second quarter of 2024, an increase of approximately $23.9 million, or 8%. The increase in COGS reflects an increase in spend on the increase in current year sales volumes and an increase in raw material costs and manufacturing costs. Additionally, COGS in the second quarter of 2025 includes $6.0 million amortization of the fair value step-up in Dipsol’s inventories as a result of the acquisition, which is partially offset by a $3.6 million gain related to an out-of-period inventory adjustment.</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Gross profit was $171.7 million in the second quarter of 2025 compared to $175.7 million in the second quarter of 2024, a decrease of $4.0 million, or 2% primarily due to an increase in raw materials costs and the amortization of the fair value step-up in Dipsol’s inventories, partially offset by the increase in net sales and gain on inventory adjustment, as mentioned above. The Company’s reported gross margin in the second quarter of 2025 was 35.5% compared to 37.9% in the second quarter of 2024. The Company’s non-GAAP gross margin in the second quarter of 2025 was 36.0% compared to 37.9% in the second quarter of 2024. See the Non-GAAP Measures section of this Item below for additional details.</w:t>
      </w:r>
    </w:p>
    <w:p>
      <w:pPr>
        <w:spacing w:after="0" w:line="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SG&amp;A expense was $126.6 million in the second quarter of 2025 compared to $116.9 million in the second quarter of 2024, an increase of approximately $9.7 million, or 8%, primarily driven by an increase in SG&amp;A expense related to acquisitions.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 incurred Restructuring and related charges of $8.8 million and $0.3 million during the second quarter of 2025 and 2024, respectively, primarily related to additional reductions in headcount and facility closure costs under the Company’s restructuring program. See the Non-GAAP Measures section below and Note 7, </w:t>
      </w:r>
      <w:r>
        <w:rPr>
          <w:rFonts w:ascii="Times New Roman" w:cs="Times New Roman" w:eastAsia="Times New Roman" w:hAnsi="Times New Roman"/>
          <w:sz w:val="18"/>
          <w:szCs w:val="18"/>
          <w:i w:val="1"/>
          <w:iCs w:val="1"/>
          <w:color w:val="auto"/>
        </w:rPr>
        <w:t>Restructuring and Related Activities</w:t>
      </w:r>
      <w:r>
        <w:rPr>
          <w:rFonts w:ascii="Times New Roman" w:cs="Times New Roman" w:eastAsia="Times New Roman" w:hAnsi="Times New Roman"/>
          <w:sz w:val="18"/>
          <w:szCs w:val="18"/>
          <w:color w:val="auto"/>
        </w:rPr>
        <w:t>, to the Condensed Consolidated Financial Statements for additional information.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3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During the second quarter of 2025, the Company recorded an $88.8 million non-cash impairment charge to write down the remaining value of goodwill associated with the Company’s EMEA reportable segment. This non-cash impairment charge is the result of the Company’s conclusion that the negative impacts of the lower than projected financial performance, driven by the continuation of soft end market conditions, as well as an increase in the Company’s cost of capital, driven by uncertainty around the potential negative impacts of tariffs, represented a triggering event for the Company’s EMEA reporting unit and the associated goodwill, as well as the related asset group. There were no similar impairment charges during the second quarter of 2024. See Note 13,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to the Condensed Consolidated Financial Statements for additional information.</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Operating loss in the second quarter of 2025 was $52.5 million compared to operating income of $58.4 million in the second quarter of 2024. The operating loss was primarily driven by the $88.8 million non-cash impairment charge described above. Excluding non-recurring and non-core expenses that are not indicative of the future operating performance of the Company described in the Non-GAAP Measures section of this Item below, the Company’s non-GAAP operating income was $50.6 million in the second quarter of 2025 and $59.8 million in the second quarter of 2024. The decrease was primarily due to lower gross margins and higher SG&amp;A primarily related to acquisitions, partially offset by an increase in net sales, as described above.</w:t>
      </w:r>
    </w:p>
    <w:p>
      <w:pPr>
        <w:spacing w:after="0" w:line="75"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had Other expense, net of $0.7 million in the second quarter of 2025 as compared to Other income, net of $0.4 million in the second quarter of 2024. Both the second quarter of 2025 and 2024 included foreign exchange transaction losses, which were $0.4 million higher in the current year, and income from non-income tax credits, which were $0.7 million higher in the prior year. The second quarter of 2025 also included $0.8 million of interest income and an acquisition related earnout liability adjustment of $0.3 million.</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Interest expense was $12.8 million in the second quarter of 2025 compared to $10.8 million in the second quarter of 2024, an increase of approximately $2.0 million, primarily as a result of higher outstanding borrowings.</w:t>
      </w:r>
    </w:p>
    <w:p>
      <w:pPr>
        <w:spacing w:after="0" w:line="5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Company’s effective tax rates for the second quarters of 2025 and 2024 were (8.3)% and 32.8%, respectively. The Company’s effective tax rate for the second quarter of 2025 was largely driven by our mix of pre-tax earnings, goodwill impairment charges and withholding taxes, offset by return to provision adjustments and net favorable reductions in uncertain tax positions. Comparatively, the effective tax rate for the second quarter of 2024 was largely driven by the mix of pre-tax earnings, certain one-time charges related to an intercompany intangible asset transfer, and withholding taxes. Excluding the impact of non-core items in each quarter, described in the Non-GAAP Measures section of this Item below, the Company estimates that its effective tax rates for the second quarters of 2025 and 2024 would have been approximately 28% in both periods. The Company may experience continued volatility in its effective tax rates due to several factors, including the timing of tax audits, the expiration of applicable statutes of limitations as they relate to uncertain tax positions, the unpredictability of timing and amount of certain incentives in various tax jurisdictions, and the timing and amount of certain share-based compensation-related tax benefits, among other factors. In addition, the foreign tax credit valuation allowance, or absence thereof, is based on a number of factors, including forecasted mix of earnings, which may vary.</w:t>
      </w:r>
    </w:p>
    <w:p>
      <w:pPr>
        <w:spacing w:after="0" w:line="8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Equity in net income of associated companies was $4.9 million in the second quarter of 2025 compared to $2.6 million in the second quarter of 2024, an increase of $2.3 million, primarily due to higher current year income from the Company’s 32% investment in Primex, a captive insurance company.</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 was less than $0.1 million in the second quarter of 2025 and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i w:val="1"/>
                <w:iCs w:val="1"/>
                <w:color w:val="auto"/>
                <w:w w:val="99"/>
              </w:rPr>
              <w:t>Consolidated Operations Review – Comparison of the First Six Months of 2025 with the First Six Months of 2024</w:t>
            </w:r>
          </w:p>
        </w:tc>
        <w:tc>
          <w:tcPr>
            <w:tcW w:w="1380" w:type="dxa"/>
            <w:vAlign w:val="bottom"/>
            <w:gridSpan w:val="2"/>
          </w:tcPr>
          <w:p>
            <w:pPr>
              <w:spacing w:after="0"/>
              <w:rPr>
                <w:sz w:val="17"/>
                <w:szCs w:val="17"/>
                <w:color w:val="auto"/>
              </w:rPr>
            </w:pPr>
          </w:p>
        </w:tc>
        <w:tc>
          <w:tcPr>
            <w:tcW w:w="1560" w:type="dxa"/>
            <w:vAlign w:val="bottom"/>
          </w:tcPr>
          <w:p>
            <w:pPr>
              <w:spacing w:after="0"/>
              <w:rPr>
                <w:sz w:val="17"/>
                <w:szCs w:val="17"/>
                <w:color w:val="auto"/>
              </w:rPr>
            </w:pPr>
          </w:p>
        </w:tc>
      </w:tr>
      <w:tr>
        <w:trPr>
          <w:trHeight w:val="345"/>
        </w:trPr>
        <w:tc>
          <w:tcPr>
            <w:tcW w:w="9580" w:type="dxa"/>
            <w:vAlign w:val="bottom"/>
            <w:gridSpan w:val="10"/>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sales variances by reportable segment and consolidated operations from the prior year:</w:t>
            </w:r>
          </w:p>
        </w:tc>
        <w:tc>
          <w:tcPr>
            <w:tcW w:w="1560" w:type="dxa"/>
            <w:vAlign w:val="bottom"/>
          </w:tcPr>
          <w:p>
            <w:pPr>
              <w:spacing w:after="0"/>
              <w:rPr>
                <w:sz w:val="24"/>
                <w:szCs w:val="24"/>
                <w:color w:val="auto"/>
              </w:rPr>
            </w:pPr>
          </w:p>
        </w:tc>
      </w:tr>
      <w:tr>
        <w:trPr>
          <w:trHeight w:val="360"/>
        </w:trPr>
        <w:tc>
          <w:tcPr>
            <w:tcW w:w="2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Selling price &amp;</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4"/>
        </w:trPr>
        <w:tc>
          <w:tcPr>
            <w:tcW w:w="2780" w:type="dxa"/>
            <w:vAlign w:val="bottom"/>
          </w:tcPr>
          <w:p>
            <w:pPr>
              <w:spacing w:after="0"/>
              <w:rPr>
                <w:sz w:val="20"/>
                <w:szCs w:val="20"/>
                <w:color w:val="auto"/>
              </w:rPr>
            </w:pPr>
          </w:p>
        </w:tc>
        <w:tc>
          <w:tcPr>
            <w:tcW w:w="1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Sales volumes</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product mix</w:t>
            </w: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w:t>
            </w:r>
          </w:p>
        </w:tc>
        <w:tc>
          <w:tcPr>
            <w:tcW w:w="1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Acquisition &amp; other</w:t>
            </w:r>
          </w:p>
        </w:tc>
        <w:tc>
          <w:tcPr>
            <w:tcW w:w="15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27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21"/>
                <w:szCs w:val="21"/>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27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4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1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Net sales were $926.3 million in the first six months of 2025 compared to $933.3 million in the first six months of 2024. The net sales decrease of $7.0 million, or 1%, year-over-year reflects decreases in selling price and product mix of approximately 2%, an unfavorable impact from foreign currency translation of approximately 2%, and a decline in sales volumes of approximately 1%, partially offset by a contribution from acquisitions of approximately 4%. The decrease in selling price and product mix was primarily attributable to the impact of the mix of products, services and geographies and the impact of our index-based customer contracts. The decline in sales volumes was primarily a result of a continuation of soft end market conditions including the uncertainty caused by tariffs, particularly in the Americas and EMEA segments, partially offset by an increase in sales volumes in the Asia/Pacific segment, continued new business wins across all segments and a contribution from acquisitions across all segments.</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COGS were $593.3 million in the first six months of 2025 compared to $576.0 million in the first six months of 2024. The increase in COGS of approximately $17.3 million, or 3%, reflects an increase in global raw material costs and manufacturing costs. Additionally, COGS in the first six months of 2025 includes $6.0 million amortization of the fair value step-up in Dipsol’s inventories as a result of the acquisition, which is partially offset by a $3.6 million gain related to an out-of-period inventory adjustment.</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Gross profit was $333.0 million in the first six months of 2025 compared to $357.3 million in the first six months of 2024, a decrease of approximately $24.3 million, or 7%, primarily as a result of the decline in sales as mentioned above, partially offset by an increase in the Company’s raw material costs and manufacturing costs. The Company’s reported gross margin in the first six months of 2025 was 35.9% compared to 38.3% in the first six months of 2024. The Company’s non-GAAP gross margin in the first six months of 2025 was 36.2% compared to 38.3% in the first six months of 2024. See the Non-GAAP Measures section of this Item below for additional details.</w:t>
      </w:r>
    </w:p>
    <w:p>
      <w:pPr>
        <w:spacing w:after="0" w:line="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SG&amp;A was $245.6 million in the first six months of 2025 compared to $241.1 million in the first six months of 2024, an increase of $4.5 million, or 2%, primarily driven by an increase in SG&amp;A relating to acquisitions, partially offset by lower incentive compensation.</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incurred Restructuring and related charges of $23.4 million and $2.2 million during the first six months of 2025 and 2024, respectively, related to additional reductions in headcount and facility closure costs under the Company’s restructuring program. See the Non-GAAP Measures section of this Item, below.</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During the first six months of 2025, the Company recorded an $88.8 million non-cash impairment charge to write down the remaining value of goodwill associated with the Company’s EMEA reportable segment. This non-cash impairment charge is the result of the Company’s conclusion that the negative impacts of the lower than projected financial performance, driven by the continuation of soft end market conditions, as well as an increase in the Company’s cost of capital, driven by uncertainty around the potential negative impacts of tariffs, represented a triggering event for the Company’s EMEA reporting unit and the associated goodwill, as well as the related asset group. There were no similar impairment charges during the first six months of 2024. See Note 13,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to the Condensed Consolidated Financial Statements for additional information.</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Operating loss in the first six months of 2025 was $24.9 million compared to operating income of $114.0 million in the first six months of 2024. The operating loss was primarily driven by the $88.8 million non-cash impairment charge described above. Excluding non-recurring and non-core expenses that are not indicative of the future operating performance of the Company described in the Non-GAAP Measures section of this Item, below, the Company’s current year non-GAAP operating income decreased to $96.4 million for the first six months of 2025 compared to $119.1 million in the prior year’s first six months primarily due to lower gross profit and an increase in SG&amp;A.</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3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had Other loss, net of $1.4 million in the first six months of 2025 compared to Other income, net of $1.5 million in the first six months of 2024. The first six months of 2025 and 2024 both included foreign exchange transaction losses, which were $3.4 million higher in the current year and income from non-income tax credits, which were $2.7 million lower in the current year. The first six months of 2025 also included a $2.1 million net gain on disposals of property and $1.4 million of interest income, whereas the first six months of 2024 included $0.9 million of expense associated with a payment related to a product liability dispute with one of the Company’s customers. See the Non-GAAP Measures section of this Item, below.</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of $22.3 million increased $0.7 million in the first six months of 2025 compared to $21.6 million in the first six months of 2024 primarily as a result of higher outstanding borrowings, partially offset by decreases in interest rates.</w:t>
      </w:r>
    </w:p>
    <w:p>
      <w:pPr>
        <w:spacing w:after="0" w:line="5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Company’s effective tax rates for the first six months of 2025 and 2024 were (26.8)% and 30.1%, respectively. The Company’s effective tax rate for the six months ended June 30, 2025 was primarily impacted by the mix of pre-tax earnings, goodwill impairment charges, return to provision adjustments and withholding taxes offset by net favorable reductions in uncertain tax positions. Comparatively, the effective tax rates for the six months ended June 30, 2024 were primarily impacted by the mix of pre-tax earnings, certain one-time charges related to an intercompany intangible asset transfer, and withholding taxes, offset by changes in uncertain tax positions. Excluding the impact of non-core items in each period, described in the Non-GAAP Measures section of this Item, below, the Company estimates that its effective tax rates for the first six months of 2025 and 2024 would have been approximately 29% and 28%, respectively. The Company expects continued volatility in its effective tax rates due to several factors, including the timing and scope of tax audits and the expiration of applicable statutes of limitations as they relate to uncertain tax positions, the unpredictability of the timing and amount of certain incentives in various tax jurisdictions, the treatment of certain acquisition-related costs and the timing and amount of certain share-based compensation-related tax benefits, among other factors. In addition, the foreign tax credit valuation allowance, or absence thereof, is based on a number of factors, including forecasted mix of earnings, which may vary.</w:t>
      </w:r>
    </w:p>
    <w:p>
      <w:pPr>
        <w:spacing w:after="0" w:line="8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Equity in net income of associated companies was $7.9 million in the first six months of 2025 compared to $4.6 million in the first six months of 2024. The increase of $3.3 million was primarily due to higher current year income from the Company’s 50% equity interest in a joint venture in Korea and higher current year income from the Company’s 32% investment in Primex, a captive insurance company.</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 was less than $0.1 million in the first six months of 2025 and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Reportable Segments Review - Comparison of the Second Quarter of 2025 with the Second Quarter of 2024</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reportable segments reflect the structure of the Company’s internal organization, the method by which the Company’s resources are allocated and the manner by which the Chief Operating Decision Maker of the Company assesses performance. The Company has three reportable segments: (i) Americas; (ii) EMEA; and (iii) Asia/Pacific.</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Segment operating earnings for each of the Company’s reportable segments are comprised of the segment’s net sales less directly related product costs and other operating expenses. Operating expenses not directly attributable to the net sales of each respective segment, such as certain corporate and administrative costs and restructuring charges, are not included in segment operating earnings. Other items not specifically identified with the Company’s reportable segments include Interest expense and Other (expense) income, net.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Americas represented approximately 46% of the Company’s consolidated net sales in the second quarter of 2025. This segment’s net sales were $221.1 million, a decrease of $2.5 million, or 1%, compared to the second quarter of 2024. This was driven by a decrease in sales volumes of approximately 2% and an unfavorable impact from foreign currency translation of approximately 2%, partially offset by a contribution from acquisitions of approximately 2% and an increase in selling price and product mix of approximately 1%. The decline in sales volumes compared to the prior year was primarily driven by a continuation of soft end market conditions further impacted by the uncertainty of tariffs, especially for metalworking applications, partially offset by new business wins. The unfavorable foreign exchange impact was primarily due to the strengthening of the U.S. dollar against the Mexican peso and Brazilian real. Segment operating earnings were $59.0 million, a decrease of $5.2 million, or 8%, compared to the second quarter of 2024, driven by a modest decline in net sales and lower segment operating margins, primarily driven by lower gross margins for the segment, due to higher raw material and manufacturing costs.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11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EMEA represented approximately 29% of the Company’s consolidated net sales in the second quarter of 2025. This segment’s net sales were $139.9 million, an increase of $1.9 million, or 1%, compared to the second quarter of 2024. This was driven by an increase in sales volumes of approximately 1%, a favorable impact from foreign currency translation of approximately 4% and an increase in sales from acquisitions, relating to the acquisitions of Dipsol, Natech and CSI, of approximately 3%, partially offset by lower selling price and product mix of approximately 7%. The increase in sales volumes was primarily driven by new business wins, which helped offset a continuation of soft end market conditions, which were further impacted by the uncertainty of tariffs. The favorable foreign currency translation impact was primarily due to the weakening of the U.S. dollar against the Euro. The decrease in selling price and product mix was primarily attributable to the impact of the mix of products, services and geographies and the impact of our index-based customer contracts. Segment operating earnings were $25.0 million, a decrease of $1.7 million, or 6%, compared to the second quarter of 2024, as the increase in net sales was offset by lower segment operating margins, primarily due to lower gross margins for the segment, and higher SG&amp;A, primarily related to acquisitions.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Asia/Pacific</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Asia/Pacific represented approximately 25% of the Company’s consolidated net sales in the second quarter of 2025. This segment’s net sales were $122.4 million, an increase of $20.4 million, or 20%, compared to the second quarter of 2024. This was driven by an increase in sales volumes of approximately 8% and an increase in sales from acquisitions of approximately 17%, primarily relating to the acquisitions of Dipsol and Sutai, partially offset by a decrease in selling price and product mix of approximately 5%. The increase in sales volumes was primarily driven by new business wins and a more favorable end market backdrop despite uncertainty related to tariffs. The decrease in selling price and product mix was primarily attributable to the impact of the mix of products, services and geographies and the impact of our index-based customer contracts. The foreign currency translation impact, primarily reflecting the movement between the U.S. dollar and the Chinese renminbi, was immaterial compared to the prior year. Segment operating earnings were $28.7 million, a decrease of $2.3 million, or 7%, compared to the second quarter of 2024 despite an increase in net sales, due to lower segment gross margins and higher SG&amp;A, primarily related to acquisitions.</w:t>
      </w:r>
    </w:p>
    <w:p>
      <w:pPr>
        <w:spacing w:after="0" w:line="78" w:lineRule="exact"/>
        <w:rPr>
          <w:sz w:val="20"/>
          <w:szCs w:val="20"/>
          <w:color w:val="auto"/>
        </w:rPr>
      </w:pPr>
    </w:p>
    <w:p>
      <w:pPr>
        <w:ind w:right="3360"/>
        <w:spacing w:after="0" w:line="376" w:lineRule="auto"/>
        <w:rPr>
          <w:sz w:val="20"/>
          <w:szCs w:val="20"/>
          <w:color w:val="auto"/>
        </w:rPr>
      </w:pPr>
      <w:r>
        <w:rPr>
          <w:rFonts w:ascii="Times New Roman" w:cs="Times New Roman" w:eastAsia="Times New Roman" w:hAnsi="Times New Roman"/>
          <w:sz w:val="18"/>
          <w:szCs w:val="18"/>
          <w:i w:val="1"/>
          <w:iCs w:val="1"/>
          <w:u w:val="single" w:color="auto"/>
          <w:color w:val="auto"/>
        </w:rPr>
        <w:t xml:space="preserve">Reportable Segments Review - Comparison of the First Six Months of 2025 with the First Six Months of 2024 </w:t>
      </w:r>
      <w:r>
        <w:rPr>
          <w:rFonts w:ascii="Times New Roman" w:cs="Times New Roman" w:eastAsia="Times New Roman" w:hAnsi="Times New Roman"/>
          <w:sz w:val="18"/>
          <w:szCs w:val="18"/>
          <w:i w:val="1"/>
          <w:iCs w:val="1"/>
          <w:color w:val="auto"/>
        </w:rPr>
        <w:t>Americas</w:t>
      </w:r>
    </w:p>
    <w:p>
      <w:pPr>
        <w:spacing w:after="0" w:line="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Americas represented approximately 47% of the Company’s consolidated net sales in the first six months of 2025. This segment’s net sales were $434.8 million, a decrease of $18.5 million, or 4%, compared to the first six months of 2024. This was driven by a decrease in sales volumes of approximately 2% and an unfavorable impact of foreign currency translation of approximately 3%, partially offset by an increase in sales from the acquisition of Dipsol of approximately 1%. Selling price and product mix remained relatively flat in the first six months of 2025. The decline in sales volumes was primarily driven by a continuation of soft market conditions and customer order patterns, partially offset by new business wins. The unfavorable foreign exchange impact was primarily due to the strengthening of the U.S. dollar against the Brazilian real and Mexican peso during the first six months of 2025 compared to 2024. The Americas segment’s operating earnings were $117.4 million, a decrease of $13.5 million, or 10%, compared to the first six months of 2024 primarily driven by lower net sales and lower segment operating margins.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EMEA represented approximately 29% of the Company’s consolidated net sales in the first six months of 2025. This segment’s net sales were $269.2 million, a decrease of $7.2 million, or 3%, compared to the first six months of 2024. This was a result of a decrease in selling price and product mix of approximately 3% and a decrease in sales volumes of approximately 3%, partially offset by an increase in sales from acquisitions of Dipsol, Natech, CSI, and IKV of approximately 2% and a favorable foreign currency translation impact of approximately 1%, primarily due to the weakening of the U.S. dollar against the Euro. The decrease in selling price and product mix was primarily attributable to the impact of the mix of products, services and geographies and the impact of our index-based customer contracts. The decline in sales volumes was primarily driven by softer market conditions, partially offset by new business wins. The EMEA segment’s operating earnings were $48.4 million, a decrease of $7.8 million, or 14%, compared to the first six months of 2024 primarily driven by lower net sales and segment operating margins, reflecting higher raw material and manufacturing costs, and higher SG&amp;A related to acquisitions.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Asia/Pacific</w:t>
      </w:r>
    </w:p>
    <w:p>
      <w:pPr>
        <w:spacing w:after="0" w:line="11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Asia/Pacific represented approximately 24% of the Company’s consolidated net sales in the first six months of 2025. This segment’s net sales were $222.3 million, an increase of $18.7 million, or 9%, compared to the first six months of 2024. This was driven by an increase in sales volumes of approximately 4% and a further contribution from acquisitions of approximately 10%, partially offset by lower selling price and product mix of approximately 4% and an unfavorable impact of foreign currency translation of approximately 1%. The increase in sales volumes was primarily driven by new business wins coupled with a more favorable end market environment and a contribution from acquisitions, including Dipsol and Sutai, compared to the prior year period. The decrease in selling price and product mix was primarily attributable to the impact of the mix of products, services and geographies and the impact of our index-based customer contracts. The unfavorable foreign exchange impact was primarily due to the strengthening of the U.S. dollar against the Chinese renminbi. The Asia/Pacific segment’s operating earnings were $54.6 million, a decrease of $6.7 million, or 11%, compared to the first six months of 2024 as an improvement in net sales was offset by lower segment gross margins and an increase in SG&amp;A, primarily related to acquisitions.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Measures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information in this Form 10-Q includes non-GAAP (unaudited) financial information that includes EBITDA, adjusted EBITDA, adjusted EBITDA margin, non-GAAP operating income, non-GAAP operating margin, non-GAAP gross profit, non-GAAP gross margin, taxes on income before equity in net income of associated companies – adjusted, non-GAAP net income and non-GAAP earnings per diluted share. The Company believes these non-GAAP financial measures provide meaningful supplemental information as they enhance a reader’s understanding of the financial performance of the Company, facilitate a comparison among fiscal periods, and exclude items that management believes are not indicative of future operating performance or considered core to the Company’s operations. Non-GAAP results are presented for supplemental informational purposes only and should not be considered a substitute for the financial information presented in accordance with GAAP. In addition, our definitions of EBITDA, adjusted EBITDA, adjusted EBITDA margin, non-GAAP operating income, non-GAAP operating margin, non-GAAP gross profit, non-GAAP gross margin, taxes on income before equity in net income of associated companies – adjusted, non-GAAP net income, and non-GAAP earnings per diluted share, as discussed and reconciled below to the most comparable GAAP measures, may not be comparable to similarly named measures reported by other companies.</w:t>
      </w:r>
    </w:p>
    <w:p>
      <w:pPr>
        <w:spacing w:after="0" w:line="8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presents EBITDA, which is calculated as net income attributable to the Company before depreciation and amortization, interest expense, and taxes on income before equity in net income of associated companies. The Company also presents adjusted EBITDA which is calculated as EBITDA plus or minus certain items that management believes are not indicative of future operating performance or considered core to the Company’s operations. The Company presents non-GAAP operating income, which is calculated as operating income plus or minus certain items that are not considered indicative of future operating performance or considered core to the Company’s operations. Additionally, the Company presents non-GAAP gross profit, which is calculated as gross profit plus or minus certain items that management believes are not considered indicative of future operating performance or considered core to the Company’s operations. Adjusted EBITDA margin, non-GAAP operating margin, and non-GAAP gross margin are calculated as the percentage of adjusted EBITDA, non-GAAP operating income, and non-GAAP gross profit to consolidated net sales, respectively. The Company believes these non-GAAP measures provide transparent and useful information and are widely used by analysts, investors, and competitors in our industry as well as by management in assessing the operating performance of the Company on a consistent basis.</w:t>
      </w:r>
    </w:p>
    <w:p>
      <w:pPr>
        <w:spacing w:after="0" w:line="8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the Company presents non-GAAP net income and non-GAAP earnings per diluted share as additional performance measures. Non-GAAP net income is calculated as adjusted EBITDA, defined above, less depreciation and amortization, interest expense, and taxes on income before equity in net income of associated companies, in each case adjusted, as applicable, for any depreciation, amortization, interest or tax impacts resulting from the non-core items identified in the reconciliation of net income attributable to the Company to adjusted EBITDA. Non-GAAP earnings per diluted share is calculated as non-GAAP net income per diluted share as accounted for under the “two-class share method.” The Company believes that non-GAAP net income and non-GAAP earnings per diluted share provide transparent and useful information and are widely used by analysts, investors, and competitors in our industry as well as by management in assessing the performance of the Company on a consistent basis.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3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of the prior period non-GAAP financial measures presented in the following tables have been adjusted to conform with current period presentation. The following tables reconcile the Company’s non-GAAP financial measures (unaudited) to their most directly comparable GAAP (unaudited) financial measures (dollars in thousands unless otherwise noted, except per share amounts):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8"/>
                <w:szCs w:val="18"/>
                <w:color w:val="auto"/>
              </w:rPr>
            </w:pPr>
          </w:p>
        </w:tc>
        <w:tc>
          <w:tcPr>
            <w:tcW w:w="262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Gross Profit and Margin Reconciliations</w:t>
            </w:r>
          </w:p>
        </w:tc>
        <w:tc>
          <w:tcPr>
            <w:tcW w:w="320" w:type="dxa"/>
            <w:vAlign w:val="bottom"/>
          </w:tcPr>
          <w:p>
            <w:pPr>
              <w:spacing w:after="0"/>
              <w:rPr>
                <w:sz w:val="20"/>
                <w:szCs w:val="20"/>
                <w:color w:val="auto"/>
              </w:rPr>
            </w:pPr>
          </w:p>
        </w:tc>
        <w:tc>
          <w:tcPr>
            <w:tcW w:w="15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5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171,723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175,718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332,983</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357,281</w:t>
            </w:r>
          </w:p>
        </w:tc>
      </w:tr>
      <w:tr>
        <w:trPr>
          <w:trHeight w:val="243"/>
        </w:trPr>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Acquisition-related step-up inventory amortization (a)</w:t>
            </w:r>
          </w:p>
        </w:tc>
        <w:tc>
          <w:tcPr>
            <w:tcW w:w="32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6,022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6,022</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on inventory and other adjustments (d)</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(3,604)</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(3,604)</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gross profit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174,141</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175,718</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335,401</w:t>
            </w:r>
          </w:p>
        </w:tc>
        <w:tc>
          <w:tcPr>
            <w:tcW w:w="8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357,281</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gross margin (%) (q)</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36.0 %</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37.9 %</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38.3 %</w:t>
            </w:r>
          </w:p>
        </w:tc>
      </w:tr>
      <w:tr>
        <w:trPr>
          <w:trHeight w:val="27"/>
        </w:trPr>
        <w:tc>
          <w:tcPr>
            <w:tcW w:w="52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8"/>
                <w:szCs w:val="18"/>
                <w:color w:val="auto"/>
              </w:rPr>
            </w:pPr>
          </w:p>
        </w:tc>
        <w:tc>
          <w:tcPr>
            <w:tcW w:w="258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Operating Income and Margin Reconciliations</w:t>
            </w:r>
          </w:p>
        </w:tc>
        <w:tc>
          <w:tcPr>
            <w:tcW w:w="320" w:type="dxa"/>
            <w:vAlign w:val="bottom"/>
          </w:tcPr>
          <w:p>
            <w:pPr>
              <w:spacing w:after="0"/>
              <w:rPr>
                <w:sz w:val="20"/>
                <w:szCs w:val="20"/>
                <w:color w:val="auto"/>
              </w:rPr>
            </w:pPr>
          </w:p>
        </w:tc>
        <w:tc>
          <w:tcPr>
            <w:tcW w:w="16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5240" w:type="dxa"/>
            <w:vAlign w:val="bottom"/>
            <w:tcBorders>
              <w:bottom w:val="single" w:sz="8" w:color="CCED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524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3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DFF"/>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(52,510)</w:t>
            </w:r>
          </w:p>
        </w:tc>
        <w:tc>
          <w:tcPr>
            <w:tcW w:w="80" w:type="dxa"/>
            <w:vAlign w:val="bottom"/>
            <w:tcBorders>
              <w:bottom w:val="single" w:sz="8" w:color="CCEDFF"/>
            </w:tcBorders>
            <w:shd w:val="clear" w:color="auto" w:fill="CCEDFF"/>
          </w:tcPr>
          <w:p>
            <w:pPr>
              <w:spacing w:after="0"/>
              <w:rPr>
                <w:sz w:val="21"/>
                <w:szCs w:val="21"/>
                <w:color w:val="auto"/>
              </w:rPr>
            </w:pPr>
          </w:p>
        </w:tc>
        <w:tc>
          <w:tcPr>
            <w:tcW w:w="380" w:type="dxa"/>
            <w:vAlign w:val="bottom"/>
            <w:tcBorders>
              <w:bottom w:val="single" w:sz="8" w:color="CCEDFF"/>
            </w:tcBorders>
            <w:shd w:val="clear" w:color="auto" w:fill="CCED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58,449</w:t>
            </w:r>
          </w:p>
        </w:tc>
        <w:tc>
          <w:tcPr>
            <w:tcW w:w="80" w:type="dxa"/>
            <w:vAlign w:val="bottom"/>
            <w:tcBorders>
              <w:bottom w:val="single" w:sz="8" w:color="CCEDFF"/>
            </w:tcBorders>
            <w:shd w:val="clear" w:color="auto" w:fill="CCEDFF"/>
          </w:tcPr>
          <w:p>
            <w:pPr>
              <w:spacing w:after="0"/>
              <w:rPr>
                <w:sz w:val="21"/>
                <w:szCs w:val="21"/>
                <w:color w:val="auto"/>
              </w:rPr>
            </w:pPr>
          </w:p>
        </w:tc>
        <w:tc>
          <w:tcPr>
            <w:tcW w:w="3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DFF"/>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(24,886)</w:t>
            </w:r>
          </w:p>
        </w:tc>
        <w:tc>
          <w:tcPr>
            <w:tcW w:w="80" w:type="dxa"/>
            <w:vAlign w:val="bottom"/>
            <w:tcBorders>
              <w:bottom w:val="single" w:sz="8" w:color="CCEDFF"/>
            </w:tcBorders>
            <w:shd w:val="clear" w:color="auto" w:fill="CCEDFF"/>
          </w:tcPr>
          <w:p>
            <w:pPr>
              <w:spacing w:after="0"/>
              <w:rPr>
                <w:sz w:val="21"/>
                <w:szCs w:val="21"/>
                <w:color w:val="auto"/>
              </w:rPr>
            </w:pPr>
          </w:p>
        </w:tc>
        <w:tc>
          <w:tcPr>
            <w:tcW w:w="400" w:type="dxa"/>
            <w:vAlign w:val="bottom"/>
            <w:tcBorders>
              <w:bottom w:val="single" w:sz="8" w:color="CCEDFF"/>
            </w:tcBorders>
            <w:shd w:val="clear" w:color="auto" w:fill="CCED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DFF"/>
            </w:tcBorders>
            <w:shd w:val="clear" w:color="auto" w:fill="CCEDFF"/>
          </w:tcPr>
          <w:p>
            <w:pPr>
              <w:jc w:val="right"/>
              <w:ind w:right="150"/>
              <w:spacing w:after="0"/>
              <w:rPr>
                <w:sz w:val="20"/>
                <w:szCs w:val="20"/>
                <w:color w:val="auto"/>
              </w:rPr>
            </w:pPr>
            <w:r>
              <w:rPr>
                <w:rFonts w:ascii="Times New Roman" w:cs="Times New Roman" w:eastAsia="Times New Roman" w:hAnsi="Times New Roman"/>
                <w:sz w:val="18"/>
                <w:szCs w:val="18"/>
                <w:color w:val="auto"/>
              </w:rPr>
              <w:t>113,975</w:t>
            </w:r>
          </w:p>
        </w:tc>
      </w:tr>
      <w:tr>
        <w:trPr>
          <w:trHeight w:val="243"/>
        </w:trPr>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Acquisition-related step-up inventory amortization (a)</w:t>
            </w:r>
          </w:p>
        </w:tc>
        <w:tc>
          <w:tcPr>
            <w:tcW w:w="32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6,022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6,022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240" w:type="dxa"/>
            <w:vAlign w:val="bottom"/>
            <w:tcBorders>
              <w:bottom w:val="single" w:sz="8" w:color="CCEDFF"/>
            </w:tcBorders>
            <w:shd w:val="clear" w:color="auto" w:fill="CCEDFF"/>
          </w:tcPr>
          <w:p>
            <w:pPr>
              <w:ind w:left="100"/>
              <w:spacing w:after="0"/>
              <w:rPr>
                <w:sz w:val="20"/>
                <w:szCs w:val="20"/>
                <w:color w:val="auto"/>
              </w:rPr>
            </w:pPr>
            <w:r>
              <w:rPr>
                <w:rFonts w:ascii="Times New Roman" w:cs="Times New Roman" w:eastAsia="Times New Roman" w:hAnsi="Times New Roman"/>
                <w:sz w:val="18"/>
                <w:szCs w:val="18"/>
                <w:color w:val="auto"/>
              </w:rPr>
              <w:t>Restructuring and related charges, net (b)</w:t>
            </w:r>
          </w:p>
        </w:tc>
        <w:tc>
          <w:tcPr>
            <w:tcW w:w="320" w:type="dxa"/>
            <w:vAlign w:val="bottom"/>
            <w:tcBorders>
              <w:bottom w:val="single" w:sz="8" w:color="CCEDFF"/>
            </w:tcBorders>
            <w:shd w:val="clear" w:color="auto" w:fill="CCEDFF"/>
          </w:tcPr>
          <w:p>
            <w:pPr>
              <w:spacing w:after="0"/>
              <w:rPr>
                <w:sz w:val="21"/>
                <w:szCs w:val="21"/>
                <w:color w:val="auto"/>
              </w:rPr>
            </w:pPr>
          </w:p>
        </w:tc>
        <w:tc>
          <w:tcPr>
            <w:tcW w:w="1140" w:type="dxa"/>
            <w:vAlign w:val="bottom"/>
            <w:tcBorders>
              <w:bottom w:val="single" w:sz="8" w:color="CCEDFF"/>
            </w:tcBorders>
            <w:shd w:val="clear" w:color="auto" w:fill="CCEDFF"/>
          </w:tcPr>
          <w:p>
            <w:pPr>
              <w:jc w:val="right"/>
              <w:ind w:right="150"/>
              <w:spacing w:after="0"/>
              <w:rPr>
                <w:sz w:val="20"/>
                <w:szCs w:val="20"/>
                <w:color w:val="auto"/>
              </w:rPr>
            </w:pPr>
            <w:r>
              <w:rPr>
                <w:rFonts w:ascii="Times New Roman" w:cs="Times New Roman" w:eastAsia="Times New Roman" w:hAnsi="Times New Roman"/>
                <w:sz w:val="18"/>
                <w:szCs w:val="18"/>
                <w:color w:val="auto"/>
              </w:rPr>
              <w:t>8,793</w:t>
            </w:r>
          </w:p>
        </w:tc>
        <w:tc>
          <w:tcPr>
            <w:tcW w:w="80" w:type="dxa"/>
            <w:vAlign w:val="bottom"/>
            <w:tcBorders>
              <w:bottom w:val="single" w:sz="8" w:color="CCEDFF"/>
            </w:tcBorders>
            <w:shd w:val="clear" w:color="auto" w:fill="CCEDFF"/>
          </w:tcPr>
          <w:p>
            <w:pPr>
              <w:spacing w:after="0"/>
              <w:rPr>
                <w:sz w:val="21"/>
                <w:szCs w:val="21"/>
                <w:color w:val="auto"/>
              </w:rPr>
            </w:pPr>
          </w:p>
        </w:tc>
        <w:tc>
          <w:tcPr>
            <w:tcW w:w="380" w:type="dxa"/>
            <w:vAlign w:val="bottom"/>
            <w:tcBorders>
              <w:bottom w:val="single" w:sz="8" w:color="CCEDFF"/>
            </w:tcBorders>
            <w:shd w:val="clear" w:color="auto" w:fill="CCEDFF"/>
          </w:tcPr>
          <w:p>
            <w:pPr>
              <w:spacing w:after="0"/>
              <w:rPr>
                <w:sz w:val="21"/>
                <w:szCs w:val="21"/>
                <w:color w:val="auto"/>
              </w:rPr>
            </w:pPr>
          </w:p>
        </w:tc>
        <w:tc>
          <w:tcPr>
            <w:tcW w:w="104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Borders>
              <w:bottom w:val="single" w:sz="8" w:color="CCEDFF"/>
            </w:tcBorders>
            <w:shd w:val="clear" w:color="auto" w:fill="CCEDFF"/>
          </w:tcPr>
          <w:p>
            <w:pPr>
              <w:spacing w:after="0"/>
              <w:rPr>
                <w:sz w:val="21"/>
                <w:szCs w:val="21"/>
                <w:color w:val="auto"/>
              </w:rPr>
            </w:pPr>
          </w:p>
        </w:tc>
        <w:tc>
          <w:tcPr>
            <w:tcW w:w="320" w:type="dxa"/>
            <w:vAlign w:val="bottom"/>
            <w:tcBorders>
              <w:bottom w:val="single" w:sz="8" w:color="CCEDFF"/>
            </w:tcBorders>
            <w:shd w:val="clear" w:color="auto" w:fill="CCEDFF"/>
          </w:tcPr>
          <w:p>
            <w:pPr>
              <w:spacing w:after="0"/>
              <w:rPr>
                <w:sz w:val="21"/>
                <w:szCs w:val="21"/>
                <w:color w:val="auto"/>
              </w:rPr>
            </w:pPr>
          </w:p>
        </w:tc>
        <w:tc>
          <w:tcPr>
            <w:tcW w:w="108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23,383</w:t>
            </w:r>
          </w:p>
        </w:tc>
        <w:tc>
          <w:tcPr>
            <w:tcW w:w="80" w:type="dxa"/>
            <w:vAlign w:val="bottom"/>
            <w:tcBorders>
              <w:bottom w:val="single" w:sz="8" w:color="CCEDFF"/>
            </w:tcBorders>
            <w:shd w:val="clear" w:color="auto" w:fill="CCEDFF"/>
          </w:tcPr>
          <w:p>
            <w:pPr>
              <w:spacing w:after="0"/>
              <w:rPr>
                <w:sz w:val="21"/>
                <w:szCs w:val="21"/>
                <w:color w:val="auto"/>
              </w:rPr>
            </w:pPr>
          </w:p>
        </w:tc>
        <w:tc>
          <w:tcPr>
            <w:tcW w:w="400" w:type="dxa"/>
            <w:vAlign w:val="bottom"/>
            <w:tcBorders>
              <w:bottom w:val="single" w:sz="8" w:color="CCEDFF"/>
            </w:tcBorders>
            <w:shd w:val="clear" w:color="auto" w:fill="CCEDFF"/>
          </w:tcPr>
          <w:p>
            <w:pPr>
              <w:spacing w:after="0"/>
              <w:rPr>
                <w:sz w:val="21"/>
                <w:szCs w:val="21"/>
                <w:color w:val="auto"/>
              </w:rPr>
            </w:pPr>
          </w:p>
        </w:tc>
        <w:tc>
          <w:tcPr>
            <w:tcW w:w="1020" w:type="dxa"/>
            <w:vAlign w:val="bottom"/>
            <w:tcBorders>
              <w:bottom w:val="single" w:sz="8" w:color="CCEDFF"/>
            </w:tcBorders>
            <w:shd w:val="clear" w:color="auto" w:fill="CCEDFF"/>
          </w:tcPr>
          <w:p>
            <w:pPr>
              <w:jc w:val="right"/>
              <w:ind w:right="150"/>
              <w:spacing w:after="0"/>
              <w:rPr>
                <w:sz w:val="20"/>
                <w:szCs w:val="20"/>
                <w:color w:val="auto"/>
              </w:rPr>
            </w:pPr>
            <w:r>
              <w:rPr>
                <w:rFonts w:ascii="Times New Roman" w:cs="Times New Roman" w:eastAsia="Times New Roman" w:hAnsi="Times New Roman"/>
                <w:sz w:val="18"/>
                <w:szCs w:val="18"/>
                <w:color w:val="auto"/>
              </w:rPr>
              <w:t>2,177</w:t>
            </w:r>
          </w:p>
        </w:tc>
      </w:tr>
      <w:tr>
        <w:trPr>
          <w:trHeight w:val="243"/>
        </w:trPr>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Acquisition-related expenses (c)</w:t>
            </w:r>
          </w:p>
        </w:tc>
        <w:tc>
          <w:tcPr>
            <w:tcW w:w="32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803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4,133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517</w:t>
            </w:r>
          </w:p>
        </w:tc>
      </w:tr>
      <w:tr>
        <w:trPr>
          <w:trHeight w:val="27"/>
        </w:trPr>
        <w:tc>
          <w:tcPr>
            <w:tcW w:w="5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240" w:type="dxa"/>
            <w:vAlign w:val="bottom"/>
            <w:tcBorders>
              <w:bottom w:val="single" w:sz="8" w:color="CCEDFF"/>
            </w:tcBorders>
            <w:shd w:val="clear" w:color="auto" w:fill="CCEDFF"/>
          </w:tcPr>
          <w:p>
            <w:pPr>
              <w:ind w:left="100"/>
              <w:spacing w:after="0"/>
              <w:rPr>
                <w:sz w:val="20"/>
                <w:szCs w:val="20"/>
                <w:color w:val="auto"/>
              </w:rPr>
            </w:pPr>
            <w:r>
              <w:rPr>
                <w:rFonts w:ascii="Times New Roman" w:cs="Times New Roman" w:eastAsia="Times New Roman" w:hAnsi="Times New Roman"/>
                <w:sz w:val="18"/>
                <w:szCs w:val="18"/>
                <w:color w:val="auto"/>
              </w:rPr>
              <w:t>Gain on inventory and other adjustments (d)</w:t>
            </w:r>
          </w:p>
        </w:tc>
        <w:tc>
          <w:tcPr>
            <w:tcW w:w="320" w:type="dxa"/>
            <w:vAlign w:val="bottom"/>
            <w:tcBorders>
              <w:bottom w:val="single" w:sz="8" w:color="CCEDFF"/>
            </w:tcBorders>
            <w:shd w:val="clear" w:color="auto" w:fill="CCEDFF"/>
          </w:tcPr>
          <w:p>
            <w:pPr>
              <w:spacing w:after="0"/>
              <w:rPr>
                <w:sz w:val="21"/>
                <w:szCs w:val="21"/>
                <w:color w:val="auto"/>
              </w:rPr>
            </w:pPr>
          </w:p>
        </w:tc>
        <w:tc>
          <w:tcPr>
            <w:tcW w:w="1140" w:type="dxa"/>
            <w:vAlign w:val="bottom"/>
            <w:tcBorders>
              <w:bottom w:val="single" w:sz="8" w:color="CCEDFF"/>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(3,927)</w:t>
            </w:r>
          </w:p>
        </w:tc>
        <w:tc>
          <w:tcPr>
            <w:tcW w:w="80" w:type="dxa"/>
            <w:vAlign w:val="bottom"/>
            <w:tcBorders>
              <w:bottom w:val="single" w:sz="8" w:color="CCEDFF"/>
            </w:tcBorders>
            <w:shd w:val="clear" w:color="auto" w:fill="CCEDFF"/>
          </w:tcPr>
          <w:p>
            <w:pPr>
              <w:spacing w:after="0"/>
              <w:rPr>
                <w:sz w:val="21"/>
                <w:szCs w:val="21"/>
                <w:color w:val="auto"/>
              </w:rPr>
            </w:pPr>
          </w:p>
        </w:tc>
        <w:tc>
          <w:tcPr>
            <w:tcW w:w="380" w:type="dxa"/>
            <w:vAlign w:val="bottom"/>
            <w:tcBorders>
              <w:bottom w:val="single" w:sz="8" w:color="CCEDFF"/>
            </w:tcBorders>
            <w:shd w:val="clear" w:color="auto" w:fill="CCEDFF"/>
          </w:tcPr>
          <w:p>
            <w:pPr>
              <w:spacing w:after="0"/>
              <w:rPr>
                <w:sz w:val="21"/>
                <w:szCs w:val="21"/>
                <w:color w:val="auto"/>
              </w:rPr>
            </w:pPr>
          </w:p>
        </w:tc>
        <w:tc>
          <w:tcPr>
            <w:tcW w:w="1120" w:type="dxa"/>
            <w:vAlign w:val="bottom"/>
            <w:tcBorders>
              <w:bottom w:val="single" w:sz="8" w:color="CCEDFF"/>
            </w:tcBorders>
            <w:gridSpan w:val="2"/>
            <w:shd w:val="clear" w:color="auto" w:fill="CCED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DFF"/>
            </w:tcBorders>
            <w:shd w:val="clear" w:color="auto" w:fill="CCEDFF"/>
          </w:tcPr>
          <w:p>
            <w:pPr>
              <w:spacing w:after="0"/>
              <w:rPr>
                <w:sz w:val="21"/>
                <w:szCs w:val="21"/>
                <w:color w:val="auto"/>
              </w:rPr>
            </w:pPr>
          </w:p>
        </w:tc>
        <w:tc>
          <w:tcPr>
            <w:tcW w:w="1080" w:type="dxa"/>
            <w:vAlign w:val="bottom"/>
            <w:tcBorders>
              <w:bottom w:val="single" w:sz="8" w:color="CCEDFF"/>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(3,927)</w:t>
            </w:r>
          </w:p>
        </w:tc>
        <w:tc>
          <w:tcPr>
            <w:tcW w:w="80" w:type="dxa"/>
            <w:vAlign w:val="bottom"/>
            <w:tcBorders>
              <w:bottom w:val="single" w:sz="8" w:color="CCEDFF"/>
            </w:tcBorders>
            <w:shd w:val="clear" w:color="auto" w:fill="CCEDFF"/>
          </w:tcPr>
          <w:p>
            <w:pPr>
              <w:spacing w:after="0"/>
              <w:rPr>
                <w:sz w:val="21"/>
                <w:szCs w:val="21"/>
                <w:color w:val="auto"/>
              </w:rPr>
            </w:pPr>
          </w:p>
        </w:tc>
        <w:tc>
          <w:tcPr>
            <w:tcW w:w="400" w:type="dxa"/>
            <w:vAlign w:val="bottom"/>
            <w:tcBorders>
              <w:bottom w:val="single" w:sz="8" w:color="CCEDFF"/>
            </w:tcBorders>
            <w:shd w:val="clear" w:color="auto" w:fill="CCEDFF"/>
          </w:tcPr>
          <w:p>
            <w:pPr>
              <w:spacing w:after="0"/>
              <w:rPr>
                <w:sz w:val="21"/>
                <w:szCs w:val="21"/>
                <w:color w:val="auto"/>
              </w:rPr>
            </w:pPr>
          </w:p>
        </w:tc>
        <w:tc>
          <w:tcPr>
            <w:tcW w:w="1020" w:type="dxa"/>
            <w:vAlign w:val="bottom"/>
            <w:tcBorders>
              <w:bottom w:val="single" w:sz="8" w:color="CCEDFF"/>
            </w:tcBorders>
            <w:shd w:val="clear" w:color="auto" w:fill="CCED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Customer insolvency costs (h)</w:t>
            </w:r>
          </w:p>
        </w:tc>
        <w:tc>
          <w:tcPr>
            <w:tcW w:w="320" w:type="dxa"/>
            <w:vAlign w:val="bottom"/>
          </w:tcPr>
          <w:p>
            <w:pPr>
              <w:spacing w:after="0"/>
              <w:rPr>
                <w:sz w:val="21"/>
                <w:szCs w:val="21"/>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1,522</w:t>
            </w:r>
          </w:p>
        </w:tc>
      </w:tr>
      <w:tr>
        <w:trPr>
          <w:trHeight w:val="27"/>
        </w:trPr>
        <w:tc>
          <w:tcPr>
            <w:tcW w:w="5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240" w:type="dxa"/>
            <w:vAlign w:val="bottom"/>
            <w:tcBorders>
              <w:bottom w:val="single" w:sz="8" w:color="CCEDFF"/>
            </w:tcBorders>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Impairment charges (l)</w:t>
            </w:r>
          </w:p>
        </w:tc>
        <w:tc>
          <w:tcPr>
            <w:tcW w:w="320" w:type="dxa"/>
            <w:vAlign w:val="bottom"/>
            <w:tcBorders>
              <w:bottom w:val="single" w:sz="8" w:color="CCEDFF"/>
            </w:tcBorders>
            <w:shd w:val="clear" w:color="auto" w:fill="CCEDFF"/>
          </w:tcPr>
          <w:p>
            <w:pPr>
              <w:spacing w:after="0"/>
              <w:rPr>
                <w:sz w:val="21"/>
                <w:szCs w:val="21"/>
                <w:color w:val="auto"/>
              </w:rPr>
            </w:pPr>
          </w:p>
        </w:tc>
        <w:tc>
          <w:tcPr>
            <w:tcW w:w="1140" w:type="dxa"/>
            <w:vAlign w:val="bottom"/>
            <w:tcBorders>
              <w:bottom w:val="single" w:sz="8" w:color="CCEDFF"/>
            </w:tcBorders>
            <w:shd w:val="clear" w:color="auto" w:fill="CCEDFF"/>
          </w:tcPr>
          <w:p>
            <w:pPr>
              <w:jc w:val="right"/>
              <w:ind w:right="150"/>
              <w:spacing w:after="0"/>
              <w:rPr>
                <w:sz w:val="20"/>
                <w:szCs w:val="20"/>
                <w:color w:val="auto"/>
              </w:rPr>
            </w:pPr>
            <w:r>
              <w:rPr>
                <w:rFonts w:ascii="Times New Roman" w:cs="Times New Roman" w:eastAsia="Times New Roman" w:hAnsi="Times New Roman"/>
                <w:sz w:val="18"/>
                <w:szCs w:val="18"/>
                <w:color w:val="auto"/>
              </w:rPr>
              <w:t>88,840</w:t>
            </w:r>
          </w:p>
        </w:tc>
        <w:tc>
          <w:tcPr>
            <w:tcW w:w="80" w:type="dxa"/>
            <w:vAlign w:val="bottom"/>
            <w:tcBorders>
              <w:bottom w:val="single" w:sz="8" w:color="CCEDFF"/>
            </w:tcBorders>
            <w:shd w:val="clear" w:color="auto" w:fill="CCEDFF"/>
          </w:tcPr>
          <w:p>
            <w:pPr>
              <w:spacing w:after="0"/>
              <w:rPr>
                <w:sz w:val="21"/>
                <w:szCs w:val="21"/>
                <w:color w:val="auto"/>
              </w:rPr>
            </w:pPr>
          </w:p>
        </w:tc>
        <w:tc>
          <w:tcPr>
            <w:tcW w:w="380" w:type="dxa"/>
            <w:vAlign w:val="bottom"/>
            <w:tcBorders>
              <w:bottom w:val="single" w:sz="8" w:color="CCEDFF"/>
            </w:tcBorders>
            <w:shd w:val="clear" w:color="auto" w:fill="CCEDFF"/>
          </w:tcPr>
          <w:p>
            <w:pPr>
              <w:spacing w:after="0"/>
              <w:rPr>
                <w:sz w:val="21"/>
                <w:szCs w:val="21"/>
                <w:color w:val="auto"/>
              </w:rPr>
            </w:pPr>
          </w:p>
        </w:tc>
        <w:tc>
          <w:tcPr>
            <w:tcW w:w="1120" w:type="dxa"/>
            <w:vAlign w:val="bottom"/>
            <w:tcBorders>
              <w:bottom w:val="single" w:sz="8" w:color="CCEDFF"/>
            </w:tcBorders>
            <w:gridSpan w:val="2"/>
            <w:shd w:val="clear" w:color="auto" w:fill="CCED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DFF"/>
            </w:tcBorders>
            <w:shd w:val="clear" w:color="auto" w:fill="CCEDFF"/>
          </w:tcPr>
          <w:p>
            <w:pPr>
              <w:spacing w:after="0"/>
              <w:rPr>
                <w:sz w:val="21"/>
                <w:szCs w:val="21"/>
                <w:color w:val="auto"/>
              </w:rPr>
            </w:pPr>
          </w:p>
        </w:tc>
        <w:tc>
          <w:tcPr>
            <w:tcW w:w="108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88,840</w:t>
            </w:r>
          </w:p>
        </w:tc>
        <w:tc>
          <w:tcPr>
            <w:tcW w:w="80" w:type="dxa"/>
            <w:vAlign w:val="bottom"/>
            <w:tcBorders>
              <w:bottom w:val="single" w:sz="8" w:color="CCEDFF"/>
            </w:tcBorders>
            <w:shd w:val="clear" w:color="auto" w:fill="CCEDFF"/>
          </w:tcPr>
          <w:p>
            <w:pPr>
              <w:spacing w:after="0"/>
              <w:rPr>
                <w:sz w:val="21"/>
                <w:szCs w:val="21"/>
                <w:color w:val="auto"/>
              </w:rPr>
            </w:pPr>
          </w:p>
        </w:tc>
        <w:tc>
          <w:tcPr>
            <w:tcW w:w="400" w:type="dxa"/>
            <w:vAlign w:val="bottom"/>
            <w:tcBorders>
              <w:bottom w:val="single" w:sz="8" w:color="CCEDFF"/>
            </w:tcBorders>
            <w:shd w:val="clear" w:color="auto" w:fill="CCEDFF"/>
          </w:tcPr>
          <w:p>
            <w:pPr>
              <w:spacing w:after="0"/>
              <w:rPr>
                <w:sz w:val="21"/>
                <w:szCs w:val="21"/>
                <w:color w:val="auto"/>
              </w:rPr>
            </w:pPr>
          </w:p>
        </w:tc>
        <w:tc>
          <w:tcPr>
            <w:tcW w:w="1020" w:type="dxa"/>
            <w:vAlign w:val="bottom"/>
            <w:tcBorders>
              <w:bottom w:val="single" w:sz="8" w:color="CCEDFF"/>
            </w:tcBorders>
            <w:shd w:val="clear" w:color="auto" w:fill="CCED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Acquisition-related depreciation and amortization (n)</w:t>
            </w:r>
          </w:p>
        </w:tc>
        <w:tc>
          <w:tcPr>
            <w:tcW w:w="32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1,681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1,681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240" w:type="dxa"/>
            <w:vAlign w:val="bottom"/>
            <w:tcBorders>
              <w:bottom w:val="single" w:sz="8" w:color="CCEDFF"/>
            </w:tcBorders>
            <w:shd w:val="clear" w:color="auto" w:fill="CCEDFF"/>
          </w:tcPr>
          <w:p>
            <w:pPr>
              <w:ind w:left="100"/>
              <w:spacing w:after="0"/>
              <w:rPr>
                <w:sz w:val="20"/>
                <w:szCs w:val="20"/>
                <w:color w:val="auto"/>
              </w:rPr>
            </w:pPr>
            <w:r>
              <w:rPr>
                <w:rFonts w:ascii="Times New Roman" w:cs="Times New Roman" w:eastAsia="Times New Roman" w:hAnsi="Times New Roman"/>
                <w:sz w:val="18"/>
                <w:szCs w:val="18"/>
                <w:color w:val="auto"/>
              </w:rPr>
              <w:t>Other charges (e)</w:t>
            </w:r>
          </w:p>
        </w:tc>
        <w:tc>
          <w:tcPr>
            <w:tcW w:w="320" w:type="dxa"/>
            <w:vAlign w:val="bottom"/>
            <w:tcBorders>
              <w:bottom w:val="single" w:sz="8" w:color="CCEDFF"/>
            </w:tcBorders>
            <w:shd w:val="clear" w:color="auto" w:fill="CCEDFF"/>
          </w:tcPr>
          <w:p>
            <w:pPr>
              <w:spacing w:after="0"/>
              <w:rPr>
                <w:sz w:val="23"/>
                <w:szCs w:val="23"/>
                <w:color w:val="auto"/>
              </w:rPr>
            </w:pPr>
          </w:p>
        </w:tc>
        <w:tc>
          <w:tcPr>
            <w:tcW w:w="1140" w:type="dxa"/>
            <w:vAlign w:val="bottom"/>
            <w:tcBorders>
              <w:bottom w:val="single" w:sz="8" w:color="CCEDFF"/>
            </w:tcBorders>
            <w:shd w:val="clear" w:color="auto" w:fill="CCEDFF"/>
          </w:tcPr>
          <w:p>
            <w:pPr>
              <w:jc w:val="right"/>
              <w:ind w:right="150"/>
              <w:spacing w:after="0"/>
              <w:rPr>
                <w:sz w:val="20"/>
                <w:szCs w:val="20"/>
                <w:color w:val="auto"/>
              </w:rPr>
            </w:pPr>
            <w:r>
              <w:rPr>
                <w:rFonts w:ascii="Times New Roman" w:cs="Times New Roman" w:eastAsia="Times New Roman" w:hAnsi="Times New Roman"/>
                <w:sz w:val="18"/>
                <w:szCs w:val="18"/>
                <w:color w:val="auto"/>
              </w:rPr>
              <w:t>939</w:t>
            </w:r>
          </w:p>
        </w:tc>
        <w:tc>
          <w:tcPr>
            <w:tcW w:w="80" w:type="dxa"/>
            <w:vAlign w:val="bottom"/>
            <w:tcBorders>
              <w:bottom w:val="single" w:sz="8" w:color="CCEDFF"/>
            </w:tcBorders>
            <w:shd w:val="clear" w:color="auto" w:fill="CCEDFF"/>
          </w:tcPr>
          <w:p>
            <w:pPr>
              <w:spacing w:after="0"/>
              <w:rPr>
                <w:sz w:val="23"/>
                <w:szCs w:val="23"/>
                <w:color w:val="auto"/>
              </w:rPr>
            </w:pPr>
          </w:p>
        </w:tc>
        <w:tc>
          <w:tcPr>
            <w:tcW w:w="380" w:type="dxa"/>
            <w:vAlign w:val="bottom"/>
            <w:tcBorders>
              <w:bottom w:val="single" w:sz="8" w:color="CCEDFF"/>
            </w:tcBorders>
            <w:shd w:val="clear" w:color="auto" w:fill="CCEDFF"/>
          </w:tcPr>
          <w:p>
            <w:pPr>
              <w:spacing w:after="0"/>
              <w:rPr>
                <w:sz w:val="23"/>
                <w:szCs w:val="23"/>
                <w:color w:val="auto"/>
              </w:rPr>
            </w:pPr>
          </w:p>
        </w:tc>
        <w:tc>
          <w:tcPr>
            <w:tcW w:w="104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812</w:t>
            </w:r>
          </w:p>
        </w:tc>
        <w:tc>
          <w:tcPr>
            <w:tcW w:w="80" w:type="dxa"/>
            <w:vAlign w:val="bottom"/>
            <w:tcBorders>
              <w:bottom w:val="single" w:sz="8" w:color="CCEDFF"/>
            </w:tcBorders>
            <w:shd w:val="clear" w:color="auto" w:fill="CCEDFF"/>
          </w:tcPr>
          <w:p>
            <w:pPr>
              <w:spacing w:after="0"/>
              <w:rPr>
                <w:sz w:val="23"/>
                <w:szCs w:val="23"/>
                <w:color w:val="auto"/>
              </w:rPr>
            </w:pPr>
          </w:p>
        </w:tc>
        <w:tc>
          <w:tcPr>
            <w:tcW w:w="320" w:type="dxa"/>
            <w:vAlign w:val="bottom"/>
            <w:tcBorders>
              <w:bottom w:val="single" w:sz="8" w:color="CCEDFF"/>
            </w:tcBorders>
            <w:shd w:val="clear" w:color="auto" w:fill="CCEDFF"/>
          </w:tcPr>
          <w:p>
            <w:pPr>
              <w:spacing w:after="0"/>
              <w:rPr>
                <w:sz w:val="23"/>
                <w:szCs w:val="23"/>
                <w:color w:val="auto"/>
              </w:rPr>
            </w:pPr>
          </w:p>
        </w:tc>
        <w:tc>
          <w:tcPr>
            <w:tcW w:w="108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1,165</w:t>
            </w:r>
          </w:p>
        </w:tc>
        <w:tc>
          <w:tcPr>
            <w:tcW w:w="80" w:type="dxa"/>
            <w:vAlign w:val="bottom"/>
            <w:tcBorders>
              <w:bottom w:val="single" w:sz="8" w:color="CCEDFF"/>
            </w:tcBorders>
            <w:shd w:val="clear" w:color="auto" w:fill="CCEDFF"/>
          </w:tcPr>
          <w:p>
            <w:pPr>
              <w:spacing w:after="0"/>
              <w:rPr>
                <w:sz w:val="23"/>
                <w:szCs w:val="23"/>
                <w:color w:val="auto"/>
              </w:rPr>
            </w:pPr>
          </w:p>
        </w:tc>
        <w:tc>
          <w:tcPr>
            <w:tcW w:w="400" w:type="dxa"/>
            <w:vAlign w:val="bottom"/>
            <w:tcBorders>
              <w:bottom w:val="single" w:sz="8" w:color="CCEDFF"/>
            </w:tcBorders>
            <w:shd w:val="clear" w:color="auto" w:fill="CCEDFF"/>
          </w:tcPr>
          <w:p>
            <w:pPr>
              <w:spacing w:after="0"/>
              <w:rPr>
                <w:sz w:val="23"/>
                <w:szCs w:val="23"/>
                <w:color w:val="auto"/>
              </w:rPr>
            </w:pPr>
          </w:p>
        </w:tc>
        <w:tc>
          <w:tcPr>
            <w:tcW w:w="1020" w:type="dxa"/>
            <w:vAlign w:val="bottom"/>
            <w:tcBorders>
              <w:bottom w:val="single" w:sz="8" w:color="CCEDFF"/>
            </w:tcBorders>
            <w:shd w:val="clear" w:color="auto" w:fill="CCEDFF"/>
          </w:tcPr>
          <w:p>
            <w:pPr>
              <w:jc w:val="right"/>
              <w:ind w:right="150"/>
              <w:spacing w:after="0"/>
              <w:rPr>
                <w:sz w:val="20"/>
                <w:szCs w:val="20"/>
                <w:color w:val="auto"/>
              </w:rPr>
            </w:pPr>
            <w:r>
              <w:rPr>
                <w:rFonts w:ascii="Times New Roman" w:cs="Times New Roman" w:eastAsia="Times New Roman" w:hAnsi="Times New Roman"/>
                <w:sz w:val="18"/>
                <w:szCs w:val="18"/>
                <w:color w:val="auto"/>
              </w:rPr>
              <w:t>866</w:t>
            </w:r>
          </w:p>
        </w:tc>
      </w:tr>
      <w:tr>
        <w:trPr>
          <w:trHeight w:val="26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operating income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50,641</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59,815</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96,411</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119,057</w:t>
            </w:r>
          </w:p>
        </w:tc>
      </w:tr>
      <w:tr>
        <w:trPr>
          <w:trHeight w:val="20"/>
        </w:trPr>
        <w:tc>
          <w:tcPr>
            <w:tcW w:w="5240" w:type="dxa"/>
            <w:vAlign w:val="bottom"/>
            <w:tcBorders>
              <w:bottom w:val="single" w:sz="8" w:color="CCED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D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D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D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524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Non-GAAP operating margin (%) (q)</w:t>
            </w:r>
          </w:p>
        </w:tc>
        <w:tc>
          <w:tcPr>
            <w:tcW w:w="320" w:type="dxa"/>
            <w:vAlign w:val="bottom"/>
            <w:shd w:val="clear" w:color="auto" w:fill="CCEDFF"/>
          </w:tcPr>
          <w:p>
            <w:pPr>
              <w:spacing w:after="0"/>
              <w:rPr>
                <w:sz w:val="20"/>
                <w:szCs w:val="20"/>
                <w:color w:val="auto"/>
              </w:rPr>
            </w:pPr>
          </w:p>
        </w:tc>
        <w:tc>
          <w:tcPr>
            <w:tcW w:w="11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80" w:type="dxa"/>
            <w:vAlign w:val="bottom"/>
            <w:shd w:val="clear" w:color="auto" w:fill="CCEDFF"/>
          </w:tcPr>
          <w:p>
            <w:pPr>
              <w:spacing w:after="0"/>
              <w:rPr>
                <w:sz w:val="20"/>
                <w:szCs w:val="20"/>
                <w:color w:val="auto"/>
              </w:rPr>
            </w:pPr>
          </w:p>
        </w:tc>
        <w:tc>
          <w:tcPr>
            <w:tcW w:w="380" w:type="dxa"/>
            <w:vAlign w:val="bottom"/>
            <w:shd w:val="clear" w:color="auto" w:fill="CCEDFF"/>
          </w:tcPr>
          <w:p>
            <w:pPr>
              <w:spacing w:after="0"/>
              <w:rPr>
                <w:sz w:val="20"/>
                <w:szCs w:val="20"/>
                <w:color w:val="auto"/>
              </w:rPr>
            </w:pPr>
          </w:p>
        </w:tc>
        <w:tc>
          <w:tcPr>
            <w:tcW w:w="10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80" w:type="dxa"/>
            <w:vAlign w:val="bottom"/>
            <w:shd w:val="clear" w:color="auto" w:fill="CCEDFF"/>
          </w:tcPr>
          <w:p>
            <w:pPr>
              <w:spacing w:after="0"/>
              <w:rPr>
                <w:sz w:val="20"/>
                <w:szCs w:val="20"/>
                <w:color w:val="auto"/>
              </w:rPr>
            </w:pPr>
          </w:p>
        </w:tc>
        <w:tc>
          <w:tcPr>
            <w:tcW w:w="320" w:type="dxa"/>
            <w:vAlign w:val="bottom"/>
            <w:shd w:val="clear" w:color="auto" w:fill="CCEDFF"/>
          </w:tcPr>
          <w:p>
            <w:pPr>
              <w:spacing w:after="0"/>
              <w:rPr>
                <w:sz w:val="20"/>
                <w:szCs w:val="20"/>
                <w:color w:val="auto"/>
              </w:rPr>
            </w:pPr>
          </w:p>
        </w:tc>
        <w:tc>
          <w:tcPr>
            <w:tcW w:w="10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80" w:type="dxa"/>
            <w:vAlign w:val="bottom"/>
            <w:shd w:val="clear" w:color="auto" w:fill="CCEDFF"/>
          </w:tcPr>
          <w:p>
            <w:pPr>
              <w:spacing w:after="0"/>
              <w:rPr>
                <w:sz w:val="20"/>
                <w:szCs w:val="20"/>
                <w:color w:val="auto"/>
              </w:rPr>
            </w:pPr>
          </w:p>
        </w:tc>
        <w:tc>
          <w:tcPr>
            <w:tcW w:w="400" w:type="dxa"/>
            <w:vAlign w:val="bottom"/>
            <w:shd w:val="clear" w:color="auto" w:fill="CCEDFF"/>
          </w:tcPr>
          <w:p>
            <w:pPr>
              <w:spacing w:after="0"/>
              <w:rPr>
                <w:sz w:val="20"/>
                <w:szCs w:val="20"/>
                <w:color w:val="auto"/>
              </w:rPr>
            </w:pPr>
          </w:p>
        </w:tc>
        <w:tc>
          <w:tcPr>
            <w:tcW w:w="10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12.8 %</w:t>
            </w:r>
          </w:p>
        </w:tc>
      </w:tr>
      <w:tr>
        <w:trPr>
          <w:trHeight w:val="27"/>
        </w:trPr>
        <w:tc>
          <w:tcPr>
            <w:tcW w:w="5240" w:type="dxa"/>
            <w:vAlign w:val="bottom"/>
            <w:shd w:val="clear" w:color="auto" w:fill="CCEDFF"/>
          </w:tcPr>
          <w:p>
            <w:pPr>
              <w:spacing w:after="0"/>
              <w:rPr>
                <w:sz w:val="2"/>
                <w:szCs w:val="2"/>
                <w:color w:val="auto"/>
              </w:rPr>
            </w:pPr>
          </w:p>
        </w:tc>
        <w:tc>
          <w:tcPr>
            <w:tcW w:w="320" w:type="dxa"/>
            <w:vAlign w:val="bottom"/>
            <w:shd w:val="clear" w:color="auto" w:fill="CCEDFF"/>
          </w:tcPr>
          <w:p>
            <w:pPr>
              <w:spacing w:after="0"/>
              <w:rPr>
                <w:sz w:val="2"/>
                <w:szCs w:val="2"/>
                <w:color w:val="auto"/>
              </w:rPr>
            </w:pPr>
          </w:p>
        </w:tc>
        <w:tc>
          <w:tcPr>
            <w:tcW w:w="1140" w:type="dxa"/>
            <w:vAlign w:val="bottom"/>
            <w:shd w:val="clear" w:color="auto" w:fill="CCEDFF"/>
          </w:tcPr>
          <w:p>
            <w:pPr>
              <w:spacing w:after="0"/>
              <w:rPr>
                <w:sz w:val="2"/>
                <w:szCs w:val="2"/>
                <w:color w:val="auto"/>
              </w:rPr>
            </w:pPr>
          </w:p>
        </w:tc>
        <w:tc>
          <w:tcPr>
            <w:tcW w:w="80" w:type="dxa"/>
            <w:vAlign w:val="bottom"/>
            <w:shd w:val="clear" w:color="auto" w:fill="CCEDFF"/>
          </w:tcPr>
          <w:p>
            <w:pPr>
              <w:spacing w:after="0"/>
              <w:rPr>
                <w:sz w:val="2"/>
                <w:szCs w:val="2"/>
                <w:color w:val="auto"/>
              </w:rPr>
            </w:pPr>
          </w:p>
        </w:tc>
        <w:tc>
          <w:tcPr>
            <w:tcW w:w="380" w:type="dxa"/>
            <w:vAlign w:val="bottom"/>
            <w:shd w:val="clear" w:color="auto" w:fill="CCEDFF"/>
          </w:tcPr>
          <w:p>
            <w:pPr>
              <w:spacing w:after="0"/>
              <w:rPr>
                <w:sz w:val="2"/>
                <w:szCs w:val="2"/>
                <w:color w:val="auto"/>
              </w:rPr>
            </w:pPr>
          </w:p>
        </w:tc>
        <w:tc>
          <w:tcPr>
            <w:tcW w:w="1040" w:type="dxa"/>
            <w:vAlign w:val="bottom"/>
            <w:shd w:val="clear" w:color="auto" w:fill="CCEDFF"/>
          </w:tcPr>
          <w:p>
            <w:pPr>
              <w:spacing w:after="0"/>
              <w:rPr>
                <w:sz w:val="2"/>
                <w:szCs w:val="2"/>
                <w:color w:val="auto"/>
              </w:rPr>
            </w:pPr>
          </w:p>
        </w:tc>
        <w:tc>
          <w:tcPr>
            <w:tcW w:w="80" w:type="dxa"/>
            <w:vAlign w:val="bottom"/>
            <w:shd w:val="clear" w:color="auto" w:fill="CCEDFF"/>
          </w:tcPr>
          <w:p>
            <w:pPr>
              <w:spacing w:after="0"/>
              <w:rPr>
                <w:sz w:val="2"/>
                <w:szCs w:val="2"/>
                <w:color w:val="auto"/>
              </w:rPr>
            </w:pPr>
          </w:p>
        </w:tc>
        <w:tc>
          <w:tcPr>
            <w:tcW w:w="320" w:type="dxa"/>
            <w:vAlign w:val="bottom"/>
            <w:shd w:val="clear" w:color="auto" w:fill="CCEDFF"/>
          </w:tcPr>
          <w:p>
            <w:pPr>
              <w:spacing w:after="0"/>
              <w:rPr>
                <w:sz w:val="2"/>
                <w:szCs w:val="2"/>
                <w:color w:val="auto"/>
              </w:rPr>
            </w:pPr>
          </w:p>
        </w:tc>
        <w:tc>
          <w:tcPr>
            <w:tcW w:w="1080" w:type="dxa"/>
            <w:vAlign w:val="bottom"/>
            <w:shd w:val="clear" w:color="auto" w:fill="CCEDFF"/>
          </w:tcPr>
          <w:p>
            <w:pPr>
              <w:spacing w:after="0"/>
              <w:rPr>
                <w:sz w:val="2"/>
                <w:szCs w:val="2"/>
                <w:color w:val="auto"/>
              </w:rPr>
            </w:pPr>
          </w:p>
        </w:tc>
        <w:tc>
          <w:tcPr>
            <w:tcW w:w="80" w:type="dxa"/>
            <w:vAlign w:val="bottom"/>
            <w:shd w:val="clear" w:color="auto" w:fill="CCEDFF"/>
          </w:tcPr>
          <w:p>
            <w:pPr>
              <w:spacing w:after="0"/>
              <w:rPr>
                <w:sz w:val="2"/>
                <w:szCs w:val="2"/>
                <w:color w:val="auto"/>
              </w:rPr>
            </w:pPr>
          </w:p>
        </w:tc>
        <w:tc>
          <w:tcPr>
            <w:tcW w:w="400" w:type="dxa"/>
            <w:vAlign w:val="bottom"/>
            <w:shd w:val="clear" w:color="auto" w:fill="CCEDFF"/>
          </w:tcPr>
          <w:p>
            <w:pPr>
              <w:spacing w:after="0"/>
              <w:rPr>
                <w:sz w:val="2"/>
                <w:szCs w:val="2"/>
                <w:color w:val="auto"/>
              </w:rPr>
            </w:pPr>
          </w:p>
        </w:tc>
        <w:tc>
          <w:tcPr>
            <w:tcW w:w="1020" w:type="dxa"/>
            <w:vAlign w:val="bottom"/>
            <w:shd w:val="clear" w:color="auto" w:fill="CCED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EBITDA, Adjusted EBITDA, Adjusted EBITDA Margin and Non-</w:t>
            </w:r>
          </w:p>
        </w:tc>
        <w:tc>
          <w:tcPr>
            <w:tcW w:w="120" w:type="dxa"/>
            <w:vAlign w:val="bottom"/>
          </w:tcPr>
          <w:p>
            <w:pPr>
              <w:spacing w:after="0"/>
              <w:rPr>
                <w:sz w:val="18"/>
                <w:szCs w:val="18"/>
                <w:color w:val="auto"/>
              </w:rPr>
            </w:pPr>
          </w:p>
        </w:tc>
        <w:tc>
          <w:tcPr>
            <w:tcW w:w="286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256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GAAP Net Income Reconciliations</w:t>
            </w:r>
          </w:p>
        </w:tc>
        <w:tc>
          <w:tcPr>
            <w:tcW w:w="120" w:type="dxa"/>
            <w:vAlign w:val="bottom"/>
          </w:tcPr>
          <w:p>
            <w:pPr>
              <w:spacing w:after="0"/>
              <w:rPr>
                <w:sz w:val="20"/>
                <w:szCs w:val="20"/>
                <w:color w:val="auto"/>
              </w:rPr>
            </w:pPr>
          </w:p>
        </w:tc>
        <w:tc>
          <w:tcPr>
            <w:tcW w:w="17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Pr>
          <w:p>
            <w:pPr>
              <w:spacing w:after="0"/>
              <w:rPr>
                <w:sz w:val="20"/>
                <w:szCs w:val="20"/>
                <w:color w:val="auto"/>
              </w:rPr>
            </w:pPr>
          </w:p>
        </w:tc>
      </w:tr>
      <w:tr>
        <w:trPr>
          <w:trHeight w:val="27"/>
        </w:trPr>
        <w:tc>
          <w:tcPr>
            <w:tcW w:w="5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5400" w:type="dxa"/>
            <w:vAlign w:val="bottom"/>
            <w:tcBorders>
              <w:bottom w:val="single" w:sz="8" w:color="CCED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540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Quaker Chemical Corporation</w:t>
            </w:r>
          </w:p>
        </w:tc>
        <w:tc>
          <w:tcPr>
            <w:tcW w:w="1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DFF"/>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(66,580)</w:t>
            </w:r>
          </w:p>
        </w:tc>
        <w:tc>
          <w:tcPr>
            <w:tcW w:w="80" w:type="dxa"/>
            <w:vAlign w:val="bottom"/>
            <w:tcBorders>
              <w:bottom w:val="single" w:sz="8" w:color="CCEDFF"/>
            </w:tcBorders>
            <w:shd w:val="clear" w:color="auto" w:fill="CCEDFF"/>
          </w:tcPr>
          <w:p>
            <w:pPr>
              <w:spacing w:after="0"/>
              <w:rPr>
                <w:sz w:val="21"/>
                <w:szCs w:val="21"/>
                <w:color w:val="auto"/>
              </w:rPr>
            </w:pPr>
          </w:p>
        </w:tc>
        <w:tc>
          <w:tcPr>
            <w:tcW w:w="400" w:type="dxa"/>
            <w:vAlign w:val="bottom"/>
            <w:tcBorders>
              <w:bottom w:val="single" w:sz="8" w:color="CCEDFF"/>
            </w:tcBorders>
            <w:shd w:val="clear" w:color="auto" w:fill="CCED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34,885</w:t>
            </w:r>
          </w:p>
        </w:tc>
        <w:tc>
          <w:tcPr>
            <w:tcW w:w="80" w:type="dxa"/>
            <w:vAlign w:val="bottom"/>
            <w:tcBorders>
              <w:bottom w:val="single" w:sz="8" w:color="CCEDFF"/>
            </w:tcBorders>
            <w:shd w:val="clear" w:color="auto" w:fill="CCEDFF"/>
          </w:tcPr>
          <w:p>
            <w:pPr>
              <w:spacing w:after="0"/>
              <w:rPr>
                <w:sz w:val="21"/>
                <w:szCs w:val="21"/>
                <w:color w:val="auto"/>
              </w:rPr>
            </w:pPr>
          </w:p>
        </w:tc>
        <w:tc>
          <w:tcPr>
            <w:tcW w:w="300" w:type="dxa"/>
            <w:vAlign w:val="bottom"/>
            <w:tcBorders>
              <w:bottom w:val="single" w:sz="8" w:color="CCEDFF"/>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DFF"/>
            </w:tcBorders>
            <w:shd w:val="clear" w:color="auto" w:fill="CCEDFF"/>
          </w:tcPr>
          <w:p>
            <w:pPr>
              <w:jc w:val="right"/>
              <w:ind w:right="70"/>
              <w:spacing w:after="0"/>
              <w:rPr>
                <w:sz w:val="20"/>
                <w:szCs w:val="20"/>
                <w:color w:val="auto"/>
              </w:rPr>
            </w:pPr>
            <w:r>
              <w:rPr>
                <w:rFonts w:ascii="Times New Roman" w:cs="Times New Roman" w:eastAsia="Times New Roman" w:hAnsi="Times New Roman"/>
                <w:sz w:val="18"/>
                <w:szCs w:val="18"/>
                <w:color w:val="auto"/>
              </w:rPr>
              <w:t>(53,658)</w:t>
            </w:r>
          </w:p>
        </w:tc>
        <w:tc>
          <w:tcPr>
            <w:tcW w:w="80" w:type="dxa"/>
            <w:vAlign w:val="bottom"/>
            <w:tcBorders>
              <w:bottom w:val="single" w:sz="8" w:color="CCEDFF"/>
            </w:tcBorders>
            <w:shd w:val="clear" w:color="auto" w:fill="CCEDFF"/>
          </w:tcPr>
          <w:p>
            <w:pPr>
              <w:spacing w:after="0"/>
              <w:rPr>
                <w:sz w:val="21"/>
                <w:szCs w:val="21"/>
                <w:color w:val="auto"/>
              </w:rPr>
            </w:pPr>
          </w:p>
        </w:tc>
        <w:tc>
          <w:tcPr>
            <w:tcW w:w="400" w:type="dxa"/>
            <w:vAlign w:val="bottom"/>
            <w:tcBorders>
              <w:bottom w:val="single" w:sz="8" w:color="CCEDFF"/>
            </w:tcBorders>
            <w:shd w:val="clear" w:color="auto" w:fill="CCED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70,112</w:t>
            </w:r>
          </w:p>
        </w:tc>
      </w:tr>
      <w:tr>
        <w:trPr>
          <w:trHeight w:val="243"/>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(o)</w:t>
            </w:r>
          </w:p>
        </w:tc>
        <w:tc>
          <w:tcPr>
            <w:tcW w:w="12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23,921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21,428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44,751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42,484</w:t>
            </w: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40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CCEDFF"/>
            </w:tcBorders>
            <w:shd w:val="clear" w:color="auto" w:fill="CCEDFF"/>
          </w:tcPr>
          <w:p>
            <w:pPr>
              <w:spacing w:after="0"/>
              <w:rPr>
                <w:sz w:val="21"/>
                <w:szCs w:val="21"/>
                <w:color w:val="auto"/>
              </w:rPr>
            </w:pPr>
          </w:p>
        </w:tc>
        <w:tc>
          <w:tcPr>
            <w:tcW w:w="13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12,779</w:t>
            </w:r>
          </w:p>
        </w:tc>
        <w:tc>
          <w:tcPr>
            <w:tcW w:w="80" w:type="dxa"/>
            <w:vAlign w:val="bottom"/>
            <w:tcBorders>
              <w:bottom w:val="single" w:sz="8" w:color="CCEDFF"/>
            </w:tcBorders>
            <w:shd w:val="clear" w:color="auto" w:fill="CCEDFF"/>
          </w:tcPr>
          <w:p>
            <w:pPr>
              <w:spacing w:after="0"/>
              <w:rPr>
                <w:sz w:val="21"/>
                <w:szCs w:val="21"/>
                <w:color w:val="auto"/>
              </w:rPr>
            </w:pPr>
          </w:p>
        </w:tc>
        <w:tc>
          <w:tcPr>
            <w:tcW w:w="400" w:type="dxa"/>
            <w:vAlign w:val="bottom"/>
            <w:tcBorders>
              <w:bottom w:val="single" w:sz="8" w:color="CCEDFF"/>
            </w:tcBorders>
            <w:shd w:val="clear" w:color="auto" w:fill="CCEDFF"/>
          </w:tcPr>
          <w:p>
            <w:pPr>
              <w:spacing w:after="0"/>
              <w:rPr>
                <w:sz w:val="21"/>
                <w:szCs w:val="21"/>
                <w:color w:val="auto"/>
              </w:rPr>
            </w:pPr>
          </w:p>
        </w:tc>
        <w:tc>
          <w:tcPr>
            <w:tcW w:w="10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10,754</w:t>
            </w:r>
          </w:p>
        </w:tc>
        <w:tc>
          <w:tcPr>
            <w:tcW w:w="80" w:type="dxa"/>
            <w:vAlign w:val="bottom"/>
            <w:tcBorders>
              <w:bottom w:val="single" w:sz="8" w:color="CCEDFF"/>
            </w:tcBorders>
            <w:shd w:val="clear" w:color="auto" w:fill="CCEDFF"/>
          </w:tcPr>
          <w:p>
            <w:pPr>
              <w:spacing w:after="0"/>
              <w:rPr>
                <w:sz w:val="21"/>
                <w:szCs w:val="21"/>
                <w:color w:val="auto"/>
              </w:rPr>
            </w:pPr>
          </w:p>
        </w:tc>
        <w:tc>
          <w:tcPr>
            <w:tcW w:w="300" w:type="dxa"/>
            <w:vAlign w:val="bottom"/>
            <w:tcBorders>
              <w:bottom w:val="single" w:sz="8" w:color="CCEDFF"/>
            </w:tcBorders>
            <w:shd w:val="clear" w:color="auto" w:fill="CCEDFF"/>
          </w:tcPr>
          <w:p>
            <w:pPr>
              <w:spacing w:after="0"/>
              <w:rPr>
                <w:sz w:val="21"/>
                <w:szCs w:val="21"/>
                <w:color w:val="auto"/>
              </w:rPr>
            </w:pPr>
          </w:p>
        </w:tc>
        <w:tc>
          <w:tcPr>
            <w:tcW w:w="108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22,324</w:t>
            </w:r>
          </w:p>
        </w:tc>
        <w:tc>
          <w:tcPr>
            <w:tcW w:w="80" w:type="dxa"/>
            <w:vAlign w:val="bottom"/>
            <w:tcBorders>
              <w:bottom w:val="single" w:sz="8" w:color="CCEDFF"/>
            </w:tcBorders>
            <w:shd w:val="clear" w:color="auto" w:fill="CCEDFF"/>
          </w:tcPr>
          <w:p>
            <w:pPr>
              <w:spacing w:after="0"/>
              <w:rPr>
                <w:sz w:val="21"/>
                <w:szCs w:val="21"/>
                <w:color w:val="auto"/>
              </w:rPr>
            </w:pPr>
          </w:p>
        </w:tc>
        <w:tc>
          <w:tcPr>
            <w:tcW w:w="400" w:type="dxa"/>
            <w:vAlign w:val="bottom"/>
            <w:tcBorders>
              <w:bottom w:val="single" w:sz="8" w:color="CCEDFF"/>
            </w:tcBorders>
            <w:shd w:val="clear" w:color="auto" w:fill="CCEDFF"/>
          </w:tcPr>
          <w:p>
            <w:pPr>
              <w:spacing w:after="0"/>
              <w:rPr>
                <w:sz w:val="21"/>
                <w:szCs w:val="21"/>
                <w:color w:val="auto"/>
              </w:rPr>
            </w:pPr>
          </w:p>
        </w:tc>
        <w:tc>
          <w:tcPr>
            <w:tcW w:w="10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21,578</w:t>
            </w:r>
          </w:p>
        </w:tc>
      </w:tr>
      <w:tr>
        <w:trPr>
          <w:trHeight w:val="225"/>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 on income before equity in net income of associated companies</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4"/>
        </w:trPr>
        <w:tc>
          <w:tcPr>
            <w:tcW w:w="5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w:t>
            </w:r>
          </w:p>
        </w:tc>
        <w:tc>
          <w:tcPr>
            <w:tcW w:w="12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5,472</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15,778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13,014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28,286</w:t>
            </w:r>
          </w:p>
        </w:tc>
      </w:tr>
      <w:tr>
        <w:trPr>
          <w:trHeight w:val="27"/>
        </w:trPr>
        <w:tc>
          <w:tcPr>
            <w:tcW w:w="5400" w:type="dxa"/>
            <w:vAlign w:val="bottom"/>
            <w:tcBorders>
              <w:bottom w:val="single" w:sz="8" w:color="CCED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540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Borders>
              <w:bottom w:val="single" w:sz="8" w:color="CCEDFF"/>
            </w:tcBorders>
            <w:shd w:val="clear" w:color="auto" w:fill="CCEDFF"/>
          </w:tcPr>
          <w:p>
            <w:pPr>
              <w:spacing w:after="0"/>
              <w:rPr>
                <w:sz w:val="21"/>
                <w:szCs w:val="21"/>
                <w:color w:val="auto"/>
              </w:rPr>
            </w:pPr>
          </w:p>
        </w:tc>
        <w:tc>
          <w:tcPr>
            <w:tcW w:w="1300" w:type="dxa"/>
            <w:vAlign w:val="bottom"/>
            <w:tcBorders>
              <w:bottom w:val="single" w:sz="8" w:color="CCEDFF"/>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(24,408)</w:t>
            </w:r>
          </w:p>
        </w:tc>
        <w:tc>
          <w:tcPr>
            <w:tcW w:w="80" w:type="dxa"/>
            <w:vAlign w:val="bottom"/>
            <w:tcBorders>
              <w:bottom w:val="single" w:sz="8" w:color="CCEDFF"/>
            </w:tcBorders>
            <w:shd w:val="clear" w:color="auto" w:fill="CCEDFF"/>
          </w:tcPr>
          <w:p>
            <w:pPr>
              <w:spacing w:after="0"/>
              <w:rPr>
                <w:sz w:val="21"/>
                <w:szCs w:val="21"/>
                <w:color w:val="auto"/>
              </w:rPr>
            </w:pPr>
          </w:p>
        </w:tc>
        <w:tc>
          <w:tcPr>
            <w:tcW w:w="400" w:type="dxa"/>
            <w:vAlign w:val="bottom"/>
            <w:tcBorders>
              <w:bottom w:val="single" w:sz="8" w:color="CCEDFF"/>
            </w:tcBorders>
            <w:shd w:val="clear" w:color="auto" w:fill="CCEDFF"/>
          </w:tcPr>
          <w:p>
            <w:pPr>
              <w:spacing w:after="0"/>
              <w:rPr>
                <w:sz w:val="21"/>
                <w:szCs w:val="21"/>
                <w:color w:val="auto"/>
              </w:rPr>
            </w:pPr>
          </w:p>
        </w:tc>
        <w:tc>
          <w:tcPr>
            <w:tcW w:w="10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82,845</w:t>
            </w:r>
          </w:p>
        </w:tc>
        <w:tc>
          <w:tcPr>
            <w:tcW w:w="80" w:type="dxa"/>
            <w:vAlign w:val="bottom"/>
            <w:tcBorders>
              <w:bottom w:val="single" w:sz="8" w:color="CCEDFF"/>
            </w:tcBorders>
            <w:shd w:val="clear" w:color="auto" w:fill="CCEDFF"/>
          </w:tcPr>
          <w:p>
            <w:pPr>
              <w:spacing w:after="0"/>
              <w:rPr>
                <w:sz w:val="21"/>
                <w:szCs w:val="21"/>
                <w:color w:val="auto"/>
              </w:rPr>
            </w:pPr>
          </w:p>
        </w:tc>
        <w:tc>
          <w:tcPr>
            <w:tcW w:w="300" w:type="dxa"/>
            <w:vAlign w:val="bottom"/>
            <w:tcBorders>
              <w:bottom w:val="single" w:sz="8" w:color="CCEDFF"/>
            </w:tcBorders>
            <w:shd w:val="clear" w:color="auto" w:fill="CCEDFF"/>
          </w:tcPr>
          <w:p>
            <w:pPr>
              <w:spacing w:after="0"/>
              <w:rPr>
                <w:sz w:val="21"/>
                <w:szCs w:val="21"/>
                <w:color w:val="auto"/>
              </w:rPr>
            </w:pPr>
          </w:p>
        </w:tc>
        <w:tc>
          <w:tcPr>
            <w:tcW w:w="108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26,431</w:t>
            </w:r>
          </w:p>
        </w:tc>
        <w:tc>
          <w:tcPr>
            <w:tcW w:w="80" w:type="dxa"/>
            <w:vAlign w:val="bottom"/>
            <w:tcBorders>
              <w:bottom w:val="single" w:sz="8" w:color="CCEDFF"/>
            </w:tcBorders>
            <w:shd w:val="clear" w:color="auto" w:fill="CCEDFF"/>
          </w:tcPr>
          <w:p>
            <w:pPr>
              <w:spacing w:after="0"/>
              <w:rPr>
                <w:sz w:val="21"/>
                <w:szCs w:val="21"/>
                <w:color w:val="auto"/>
              </w:rPr>
            </w:pPr>
          </w:p>
        </w:tc>
        <w:tc>
          <w:tcPr>
            <w:tcW w:w="400" w:type="dxa"/>
            <w:vAlign w:val="bottom"/>
            <w:tcBorders>
              <w:bottom w:val="single" w:sz="8" w:color="CCEDFF"/>
            </w:tcBorders>
            <w:shd w:val="clear" w:color="auto" w:fill="CCEDFF"/>
          </w:tcPr>
          <w:p>
            <w:pPr>
              <w:spacing w:after="0"/>
              <w:rPr>
                <w:sz w:val="21"/>
                <w:szCs w:val="21"/>
                <w:color w:val="auto"/>
              </w:rPr>
            </w:pPr>
          </w:p>
        </w:tc>
        <w:tc>
          <w:tcPr>
            <w:tcW w:w="10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162,460</w:t>
            </w:r>
          </w:p>
        </w:tc>
      </w:tr>
      <w:tr>
        <w:trPr>
          <w:trHeight w:val="243"/>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income in a captive insurance company (f)</w:t>
            </w:r>
          </w:p>
        </w:tc>
        <w:tc>
          <w:tcPr>
            <w:tcW w:w="1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(2,075)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(475)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(2,746)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(981)</w:t>
            </w: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40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Acquisition-related step-up inventory amortization (a)</w:t>
            </w:r>
          </w:p>
        </w:tc>
        <w:tc>
          <w:tcPr>
            <w:tcW w:w="120" w:type="dxa"/>
            <w:vAlign w:val="bottom"/>
            <w:tcBorders>
              <w:bottom w:val="single" w:sz="8" w:color="CCEDFF"/>
            </w:tcBorders>
            <w:shd w:val="clear" w:color="auto" w:fill="CCEDFF"/>
          </w:tcPr>
          <w:p>
            <w:pPr>
              <w:spacing w:after="0"/>
              <w:rPr>
                <w:sz w:val="21"/>
                <w:szCs w:val="21"/>
                <w:color w:val="auto"/>
              </w:rPr>
            </w:pPr>
          </w:p>
        </w:tc>
        <w:tc>
          <w:tcPr>
            <w:tcW w:w="13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6,022</w:t>
            </w:r>
          </w:p>
        </w:tc>
        <w:tc>
          <w:tcPr>
            <w:tcW w:w="80" w:type="dxa"/>
            <w:vAlign w:val="bottom"/>
            <w:tcBorders>
              <w:bottom w:val="single" w:sz="8" w:color="CCEDFF"/>
            </w:tcBorders>
            <w:shd w:val="clear" w:color="auto" w:fill="CCEDFF"/>
          </w:tcPr>
          <w:p>
            <w:pPr>
              <w:spacing w:after="0"/>
              <w:rPr>
                <w:sz w:val="21"/>
                <w:szCs w:val="21"/>
                <w:color w:val="auto"/>
              </w:rPr>
            </w:pPr>
          </w:p>
        </w:tc>
        <w:tc>
          <w:tcPr>
            <w:tcW w:w="400" w:type="dxa"/>
            <w:vAlign w:val="bottom"/>
            <w:tcBorders>
              <w:bottom w:val="single" w:sz="8" w:color="CCEDFF"/>
            </w:tcBorders>
            <w:shd w:val="clear" w:color="auto" w:fill="CCEDFF"/>
          </w:tcPr>
          <w:p>
            <w:pPr>
              <w:spacing w:after="0"/>
              <w:rPr>
                <w:sz w:val="21"/>
                <w:szCs w:val="21"/>
                <w:color w:val="auto"/>
              </w:rPr>
            </w:pPr>
          </w:p>
        </w:tc>
        <w:tc>
          <w:tcPr>
            <w:tcW w:w="1080" w:type="dxa"/>
            <w:vAlign w:val="bottom"/>
            <w:tcBorders>
              <w:bottom w:val="single" w:sz="8" w:color="CCEDFF"/>
            </w:tcBorders>
            <w:gridSpan w:val="2"/>
            <w:shd w:val="clear" w:color="auto" w:fill="CCED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DFF"/>
            </w:tcBorders>
            <w:shd w:val="clear" w:color="auto" w:fill="CCEDFF"/>
          </w:tcPr>
          <w:p>
            <w:pPr>
              <w:spacing w:after="0"/>
              <w:rPr>
                <w:sz w:val="21"/>
                <w:szCs w:val="21"/>
                <w:color w:val="auto"/>
              </w:rPr>
            </w:pPr>
          </w:p>
        </w:tc>
        <w:tc>
          <w:tcPr>
            <w:tcW w:w="108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6,022</w:t>
            </w:r>
          </w:p>
        </w:tc>
        <w:tc>
          <w:tcPr>
            <w:tcW w:w="80" w:type="dxa"/>
            <w:vAlign w:val="bottom"/>
            <w:tcBorders>
              <w:bottom w:val="single" w:sz="8" w:color="CCEDFF"/>
            </w:tcBorders>
            <w:shd w:val="clear" w:color="auto" w:fill="CCEDFF"/>
          </w:tcPr>
          <w:p>
            <w:pPr>
              <w:spacing w:after="0"/>
              <w:rPr>
                <w:sz w:val="21"/>
                <w:szCs w:val="21"/>
                <w:color w:val="auto"/>
              </w:rPr>
            </w:pPr>
          </w:p>
        </w:tc>
        <w:tc>
          <w:tcPr>
            <w:tcW w:w="400" w:type="dxa"/>
            <w:vAlign w:val="bottom"/>
            <w:tcBorders>
              <w:bottom w:val="single" w:sz="8" w:color="CCEDFF"/>
            </w:tcBorders>
            <w:shd w:val="clear" w:color="auto" w:fill="CCEDFF"/>
          </w:tcPr>
          <w:p>
            <w:pPr>
              <w:spacing w:after="0"/>
              <w:rPr>
                <w:sz w:val="21"/>
                <w:szCs w:val="21"/>
                <w:color w:val="auto"/>
              </w:rPr>
            </w:pPr>
          </w:p>
        </w:tc>
        <w:tc>
          <w:tcPr>
            <w:tcW w:w="10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related charges, net (b)</w:t>
            </w:r>
          </w:p>
        </w:tc>
        <w:tc>
          <w:tcPr>
            <w:tcW w:w="12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8,793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23,383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2,177</w:t>
            </w: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400" w:type="dxa"/>
            <w:vAlign w:val="bottom"/>
            <w:tcBorders>
              <w:bottom w:val="single" w:sz="8" w:color="CCEDFF"/>
            </w:tcBorders>
            <w:shd w:val="clear" w:color="auto" w:fill="CCEDFF"/>
          </w:tcPr>
          <w:p>
            <w:pPr>
              <w:ind w:left="100"/>
              <w:spacing w:after="0"/>
              <w:rPr>
                <w:sz w:val="20"/>
                <w:szCs w:val="20"/>
                <w:color w:val="auto"/>
              </w:rPr>
            </w:pPr>
            <w:r>
              <w:rPr>
                <w:rFonts w:ascii="Times New Roman" w:cs="Times New Roman" w:eastAsia="Times New Roman" w:hAnsi="Times New Roman"/>
                <w:sz w:val="18"/>
                <w:szCs w:val="18"/>
                <w:color w:val="auto"/>
              </w:rPr>
              <w:t>Acquisition-related expenses (c)</w:t>
            </w:r>
          </w:p>
        </w:tc>
        <w:tc>
          <w:tcPr>
            <w:tcW w:w="120" w:type="dxa"/>
            <w:vAlign w:val="bottom"/>
            <w:tcBorders>
              <w:bottom w:val="single" w:sz="8" w:color="CCEDFF"/>
            </w:tcBorders>
            <w:shd w:val="clear" w:color="auto" w:fill="CCEDFF"/>
          </w:tcPr>
          <w:p>
            <w:pPr>
              <w:spacing w:after="0"/>
              <w:rPr>
                <w:sz w:val="21"/>
                <w:szCs w:val="21"/>
                <w:color w:val="auto"/>
              </w:rPr>
            </w:pPr>
          </w:p>
        </w:tc>
        <w:tc>
          <w:tcPr>
            <w:tcW w:w="13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803</w:t>
            </w:r>
          </w:p>
        </w:tc>
        <w:tc>
          <w:tcPr>
            <w:tcW w:w="80" w:type="dxa"/>
            <w:vAlign w:val="bottom"/>
            <w:tcBorders>
              <w:bottom w:val="single" w:sz="8" w:color="CCEDFF"/>
            </w:tcBorders>
            <w:shd w:val="clear" w:color="auto" w:fill="CCEDFF"/>
          </w:tcPr>
          <w:p>
            <w:pPr>
              <w:spacing w:after="0"/>
              <w:rPr>
                <w:sz w:val="21"/>
                <w:szCs w:val="21"/>
                <w:color w:val="auto"/>
              </w:rPr>
            </w:pPr>
          </w:p>
        </w:tc>
        <w:tc>
          <w:tcPr>
            <w:tcW w:w="400" w:type="dxa"/>
            <w:vAlign w:val="bottom"/>
            <w:tcBorders>
              <w:bottom w:val="single" w:sz="8" w:color="CCEDFF"/>
            </w:tcBorders>
            <w:shd w:val="clear" w:color="auto" w:fill="CCEDFF"/>
          </w:tcPr>
          <w:p>
            <w:pPr>
              <w:spacing w:after="0"/>
              <w:rPr>
                <w:sz w:val="21"/>
                <w:szCs w:val="21"/>
                <w:color w:val="auto"/>
              </w:rPr>
            </w:pPr>
          </w:p>
        </w:tc>
        <w:tc>
          <w:tcPr>
            <w:tcW w:w="10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Borders>
              <w:bottom w:val="single" w:sz="8" w:color="CCEDFF"/>
            </w:tcBorders>
            <w:shd w:val="clear" w:color="auto" w:fill="CCEDFF"/>
          </w:tcPr>
          <w:p>
            <w:pPr>
              <w:spacing w:after="0"/>
              <w:rPr>
                <w:sz w:val="21"/>
                <w:szCs w:val="21"/>
                <w:color w:val="auto"/>
              </w:rPr>
            </w:pPr>
          </w:p>
        </w:tc>
        <w:tc>
          <w:tcPr>
            <w:tcW w:w="300" w:type="dxa"/>
            <w:vAlign w:val="bottom"/>
            <w:tcBorders>
              <w:bottom w:val="single" w:sz="8" w:color="CCEDFF"/>
            </w:tcBorders>
            <w:shd w:val="clear" w:color="auto" w:fill="CCEDFF"/>
          </w:tcPr>
          <w:p>
            <w:pPr>
              <w:spacing w:after="0"/>
              <w:rPr>
                <w:sz w:val="21"/>
                <w:szCs w:val="21"/>
                <w:color w:val="auto"/>
              </w:rPr>
            </w:pPr>
          </w:p>
        </w:tc>
        <w:tc>
          <w:tcPr>
            <w:tcW w:w="108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4,133</w:t>
            </w:r>
          </w:p>
        </w:tc>
        <w:tc>
          <w:tcPr>
            <w:tcW w:w="80" w:type="dxa"/>
            <w:vAlign w:val="bottom"/>
            <w:tcBorders>
              <w:bottom w:val="single" w:sz="8" w:color="CCEDFF"/>
            </w:tcBorders>
            <w:shd w:val="clear" w:color="auto" w:fill="CCEDFF"/>
          </w:tcPr>
          <w:p>
            <w:pPr>
              <w:spacing w:after="0"/>
              <w:rPr>
                <w:sz w:val="21"/>
                <w:szCs w:val="21"/>
                <w:color w:val="auto"/>
              </w:rPr>
            </w:pPr>
          </w:p>
        </w:tc>
        <w:tc>
          <w:tcPr>
            <w:tcW w:w="400" w:type="dxa"/>
            <w:vAlign w:val="bottom"/>
            <w:tcBorders>
              <w:bottom w:val="single" w:sz="8" w:color="CCEDFF"/>
            </w:tcBorders>
            <w:shd w:val="clear" w:color="auto" w:fill="CCEDFF"/>
          </w:tcPr>
          <w:p>
            <w:pPr>
              <w:spacing w:after="0"/>
              <w:rPr>
                <w:sz w:val="21"/>
                <w:szCs w:val="21"/>
                <w:color w:val="auto"/>
              </w:rPr>
            </w:pPr>
          </w:p>
        </w:tc>
        <w:tc>
          <w:tcPr>
            <w:tcW w:w="10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517</w:t>
            </w:r>
          </w:p>
        </w:tc>
      </w:tr>
      <w:tr>
        <w:trPr>
          <w:trHeight w:val="243"/>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 on inventory and other adjustments (d)</w:t>
            </w:r>
          </w:p>
        </w:tc>
        <w:tc>
          <w:tcPr>
            <w:tcW w:w="1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(3,927)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(3,927)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400" w:type="dxa"/>
            <w:vAlign w:val="bottom"/>
            <w:tcBorders>
              <w:bottom w:val="single" w:sz="8" w:color="CCEDFF"/>
            </w:tcBorders>
            <w:shd w:val="clear" w:color="auto" w:fill="CCEDFF"/>
          </w:tcPr>
          <w:p>
            <w:pPr>
              <w:ind w:left="100"/>
              <w:spacing w:after="0"/>
              <w:rPr>
                <w:sz w:val="20"/>
                <w:szCs w:val="20"/>
                <w:color w:val="auto"/>
              </w:rPr>
            </w:pPr>
            <w:r>
              <w:rPr>
                <w:rFonts w:ascii="Times New Roman" w:cs="Times New Roman" w:eastAsia="Times New Roman" w:hAnsi="Times New Roman"/>
                <w:sz w:val="18"/>
                <w:szCs w:val="18"/>
                <w:color w:val="auto"/>
              </w:rPr>
              <w:t>Customer insolvency costs (h)</w:t>
            </w:r>
          </w:p>
        </w:tc>
        <w:tc>
          <w:tcPr>
            <w:tcW w:w="120" w:type="dxa"/>
            <w:vAlign w:val="bottom"/>
            <w:tcBorders>
              <w:bottom w:val="single" w:sz="8" w:color="CCEDFF"/>
            </w:tcBorders>
            <w:shd w:val="clear" w:color="auto" w:fill="CCEDFF"/>
          </w:tcPr>
          <w:p>
            <w:pPr>
              <w:spacing w:after="0"/>
              <w:rPr>
                <w:sz w:val="21"/>
                <w:szCs w:val="21"/>
                <w:color w:val="auto"/>
              </w:rPr>
            </w:pPr>
          </w:p>
        </w:tc>
        <w:tc>
          <w:tcPr>
            <w:tcW w:w="1380" w:type="dxa"/>
            <w:vAlign w:val="bottom"/>
            <w:tcBorders>
              <w:bottom w:val="single" w:sz="8" w:color="CCEDFF"/>
            </w:tcBorders>
            <w:gridSpan w:val="2"/>
            <w:shd w:val="clear" w:color="auto" w:fill="CCED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DFF"/>
            </w:tcBorders>
            <w:shd w:val="clear" w:color="auto" w:fill="CCEDFF"/>
          </w:tcPr>
          <w:p>
            <w:pPr>
              <w:spacing w:after="0"/>
              <w:rPr>
                <w:sz w:val="21"/>
                <w:szCs w:val="21"/>
                <w:color w:val="auto"/>
              </w:rPr>
            </w:pPr>
          </w:p>
        </w:tc>
        <w:tc>
          <w:tcPr>
            <w:tcW w:w="1080" w:type="dxa"/>
            <w:vAlign w:val="bottom"/>
            <w:tcBorders>
              <w:bottom w:val="single" w:sz="8" w:color="CCEDFF"/>
            </w:tcBorders>
            <w:gridSpan w:val="2"/>
            <w:shd w:val="clear" w:color="auto" w:fill="CCED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DFF"/>
            </w:tcBorders>
            <w:shd w:val="clear" w:color="auto" w:fill="CCEDFF"/>
          </w:tcPr>
          <w:p>
            <w:pPr>
              <w:spacing w:after="0"/>
              <w:rPr>
                <w:sz w:val="21"/>
                <w:szCs w:val="21"/>
                <w:color w:val="auto"/>
              </w:rPr>
            </w:pPr>
          </w:p>
        </w:tc>
        <w:tc>
          <w:tcPr>
            <w:tcW w:w="1160" w:type="dxa"/>
            <w:vAlign w:val="bottom"/>
            <w:tcBorders>
              <w:bottom w:val="single" w:sz="8" w:color="CCEDFF"/>
            </w:tcBorders>
            <w:gridSpan w:val="2"/>
            <w:shd w:val="clear" w:color="auto" w:fill="CCED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DFF"/>
            </w:tcBorders>
            <w:shd w:val="clear" w:color="auto" w:fill="CCEDFF"/>
          </w:tcPr>
          <w:p>
            <w:pPr>
              <w:spacing w:after="0"/>
              <w:rPr>
                <w:sz w:val="21"/>
                <w:szCs w:val="21"/>
                <w:color w:val="auto"/>
              </w:rPr>
            </w:pPr>
          </w:p>
        </w:tc>
        <w:tc>
          <w:tcPr>
            <w:tcW w:w="10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1,522</w:t>
            </w:r>
          </w:p>
        </w:tc>
      </w:tr>
      <w:tr>
        <w:trPr>
          <w:trHeight w:val="243"/>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charges (l)</w:t>
            </w:r>
          </w:p>
        </w:tc>
        <w:tc>
          <w:tcPr>
            <w:tcW w:w="12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88,840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88,840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40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Product liability claim costs, net (i)</w:t>
            </w:r>
          </w:p>
        </w:tc>
        <w:tc>
          <w:tcPr>
            <w:tcW w:w="120" w:type="dxa"/>
            <w:vAlign w:val="bottom"/>
            <w:tcBorders>
              <w:bottom w:val="single" w:sz="8" w:color="CCEDFF"/>
            </w:tcBorders>
            <w:shd w:val="clear" w:color="auto" w:fill="CCEDFF"/>
          </w:tcPr>
          <w:p>
            <w:pPr>
              <w:spacing w:after="0"/>
              <w:rPr>
                <w:sz w:val="21"/>
                <w:szCs w:val="21"/>
                <w:color w:val="auto"/>
              </w:rPr>
            </w:pPr>
          </w:p>
        </w:tc>
        <w:tc>
          <w:tcPr>
            <w:tcW w:w="1380" w:type="dxa"/>
            <w:vAlign w:val="bottom"/>
            <w:tcBorders>
              <w:bottom w:val="single" w:sz="8" w:color="CCEDFF"/>
            </w:tcBorders>
            <w:gridSpan w:val="2"/>
            <w:shd w:val="clear" w:color="auto" w:fill="CCED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DFF"/>
            </w:tcBorders>
            <w:shd w:val="clear" w:color="auto" w:fill="CCEDFF"/>
          </w:tcPr>
          <w:p>
            <w:pPr>
              <w:spacing w:after="0"/>
              <w:rPr>
                <w:sz w:val="21"/>
                <w:szCs w:val="21"/>
                <w:color w:val="auto"/>
              </w:rPr>
            </w:pPr>
          </w:p>
        </w:tc>
        <w:tc>
          <w:tcPr>
            <w:tcW w:w="1080" w:type="dxa"/>
            <w:vAlign w:val="bottom"/>
            <w:tcBorders>
              <w:bottom w:val="single" w:sz="8" w:color="CCEDFF"/>
            </w:tcBorders>
            <w:gridSpan w:val="2"/>
            <w:shd w:val="clear" w:color="auto" w:fill="CCED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DFF"/>
            </w:tcBorders>
            <w:shd w:val="clear" w:color="auto" w:fill="CCEDFF"/>
          </w:tcPr>
          <w:p>
            <w:pPr>
              <w:spacing w:after="0"/>
              <w:rPr>
                <w:sz w:val="21"/>
                <w:szCs w:val="21"/>
                <w:color w:val="auto"/>
              </w:rPr>
            </w:pPr>
          </w:p>
        </w:tc>
        <w:tc>
          <w:tcPr>
            <w:tcW w:w="1160" w:type="dxa"/>
            <w:vAlign w:val="bottom"/>
            <w:tcBorders>
              <w:bottom w:val="single" w:sz="8" w:color="CCEDFF"/>
            </w:tcBorders>
            <w:gridSpan w:val="2"/>
            <w:shd w:val="clear" w:color="auto" w:fill="CCED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DFF"/>
            </w:tcBorders>
            <w:shd w:val="clear" w:color="auto" w:fill="CCEDFF"/>
          </w:tcPr>
          <w:p>
            <w:pPr>
              <w:spacing w:after="0"/>
              <w:rPr>
                <w:sz w:val="21"/>
                <w:szCs w:val="21"/>
                <w:color w:val="auto"/>
              </w:rPr>
            </w:pPr>
          </w:p>
        </w:tc>
        <w:tc>
          <w:tcPr>
            <w:tcW w:w="10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896</w:t>
            </w:r>
          </w:p>
        </w:tc>
      </w:tr>
      <w:tr>
        <w:trPr>
          <w:trHeight w:val="243"/>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Currency conversion impacts of hyper-inflationary economies (g)</w:t>
            </w:r>
          </w:p>
        </w:tc>
        <w:tc>
          <w:tcPr>
            <w:tcW w:w="12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1,187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(291)</w:t>
            </w: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40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(Gain) loss on acquisition-related hedges (j)</w:t>
            </w:r>
          </w:p>
        </w:tc>
        <w:tc>
          <w:tcPr>
            <w:tcW w:w="120" w:type="dxa"/>
            <w:vAlign w:val="bottom"/>
            <w:tcBorders>
              <w:bottom w:val="single" w:sz="8" w:color="CCEDFF"/>
            </w:tcBorders>
            <w:shd w:val="clear" w:color="auto" w:fill="CCEDFF"/>
          </w:tcPr>
          <w:p>
            <w:pPr>
              <w:spacing w:after="0"/>
              <w:rPr>
                <w:sz w:val="21"/>
                <w:szCs w:val="21"/>
                <w:color w:val="auto"/>
              </w:rPr>
            </w:pPr>
          </w:p>
        </w:tc>
        <w:tc>
          <w:tcPr>
            <w:tcW w:w="1300" w:type="dxa"/>
            <w:vAlign w:val="bottom"/>
            <w:tcBorders>
              <w:bottom w:val="single" w:sz="8" w:color="CCEDFF"/>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(592)</w:t>
            </w:r>
          </w:p>
        </w:tc>
        <w:tc>
          <w:tcPr>
            <w:tcW w:w="80" w:type="dxa"/>
            <w:vAlign w:val="bottom"/>
            <w:tcBorders>
              <w:bottom w:val="single" w:sz="8" w:color="CCEDFF"/>
            </w:tcBorders>
            <w:shd w:val="clear" w:color="auto" w:fill="CCEDFF"/>
          </w:tcPr>
          <w:p>
            <w:pPr>
              <w:spacing w:after="0"/>
              <w:rPr>
                <w:sz w:val="21"/>
                <w:szCs w:val="21"/>
                <w:color w:val="auto"/>
              </w:rPr>
            </w:pPr>
          </w:p>
        </w:tc>
        <w:tc>
          <w:tcPr>
            <w:tcW w:w="400" w:type="dxa"/>
            <w:vAlign w:val="bottom"/>
            <w:tcBorders>
              <w:bottom w:val="single" w:sz="8" w:color="CCEDFF"/>
            </w:tcBorders>
            <w:shd w:val="clear" w:color="auto" w:fill="CCEDFF"/>
          </w:tcPr>
          <w:p>
            <w:pPr>
              <w:spacing w:after="0"/>
              <w:rPr>
                <w:sz w:val="21"/>
                <w:szCs w:val="21"/>
                <w:color w:val="auto"/>
              </w:rPr>
            </w:pPr>
          </w:p>
        </w:tc>
        <w:tc>
          <w:tcPr>
            <w:tcW w:w="1080" w:type="dxa"/>
            <w:vAlign w:val="bottom"/>
            <w:tcBorders>
              <w:bottom w:val="single" w:sz="8" w:color="CCEDFF"/>
            </w:tcBorders>
            <w:gridSpan w:val="2"/>
            <w:shd w:val="clear" w:color="auto" w:fill="CCED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DFF"/>
            </w:tcBorders>
            <w:shd w:val="clear" w:color="auto" w:fill="CCEDFF"/>
          </w:tcPr>
          <w:p>
            <w:pPr>
              <w:spacing w:after="0"/>
              <w:rPr>
                <w:sz w:val="21"/>
                <w:szCs w:val="21"/>
                <w:color w:val="auto"/>
              </w:rPr>
            </w:pPr>
          </w:p>
        </w:tc>
        <w:tc>
          <w:tcPr>
            <w:tcW w:w="108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1,351</w:t>
            </w:r>
          </w:p>
        </w:tc>
        <w:tc>
          <w:tcPr>
            <w:tcW w:w="80" w:type="dxa"/>
            <w:vAlign w:val="bottom"/>
            <w:tcBorders>
              <w:bottom w:val="single" w:sz="8" w:color="CCEDFF"/>
            </w:tcBorders>
            <w:shd w:val="clear" w:color="auto" w:fill="CCEDFF"/>
          </w:tcPr>
          <w:p>
            <w:pPr>
              <w:spacing w:after="0"/>
              <w:rPr>
                <w:sz w:val="21"/>
                <w:szCs w:val="21"/>
                <w:color w:val="auto"/>
              </w:rPr>
            </w:pPr>
          </w:p>
        </w:tc>
        <w:tc>
          <w:tcPr>
            <w:tcW w:w="400" w:type="dxa"/>
            <w:vAlign w:val="bottom"/>
            <w:tcBorders>
              <w:bottom w:val="single" w:sz="8" w:color="CCEDFF"/>
            </w:tcBorders>
            <w:shd w:val="clear" w:color="auto" w:fill="CCEDFF"/>
          </w:tcPr>
          <w:p>
            <w:pPr>
              <w:spacing w:after="0"/>
              <w:rPr>
                <w:sz w:val="21"/>
                <w:szCs w:val="21"/>
                <w:color w:val="auto"/>
              </w:rPr>
            </w:pPr>
          </w:p>
        </w:tc>
        <w:tc>
          <w:tcPr>
            <w:tcW w:w="10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of assets (k)</w:t>
            </w:r>
          </w:p>
        </w:tc>
        <w:tc>
          <w:tcPr>
            <w:tcW w:w="1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(2,534)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40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Other charges (e)</w:t>
            </w:r>
          </w:p>
        </w:tc>
        <w:tc>
          <w:tcPr>
            <w:tcW w:w="120" w:type="dxa"/>
            <w:vAlign w:val="bottom"/>
            <w:tcBorders>
              <w:bottom w:val="single" w:sz="8" w:color="CCEDFF"/>
            </w:tcBorders>
            <w:shd w:val="clear" w:color="auto" w:fill="CCEDFF"/>
          </w:tcPr>
          <w:p>
            <w:pPr>
              <w:spacing w:after="0"/>
              <w:rPr>
                <w:sz w:val="23"/>
                <w:szCs w:val="23"/>
                <w:color w:val="auto"/>
              </w:rPr>
            </w:pPr>
          </w:p>
        </w:tc>
        <w:tc>
          <w:tcPr>
            <w:tcW w:w="13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1,728</w:t>
            </w:r>
          </w:p>
        </w:tc>
        <w:tc>
          <w:tcPr>
            <w:tcW w:w="80" w:type="dxa"/>
            <w:vAlign w:val="bottom"/>
            <w:tcBorders>
              <w:bottom w:val="single" w:sz="8" w:color="CCEDFF"/>
            </w:tcBorders>
            <w:shd w:val="clear" w:color="auto" w:fill="CCEDFF"/>
          </w:tcPr>
          <w:p>
            <w:pPr>
              <w:spacing w:after="0"/>
              <w:rPr>
                <w:sz w:val="23"/>
                <w:szCs w:val="23"/>
                <w:color w:val="auto"/>
              </w:rPr>
            </w:pPr>
          </w:p>
        </w:tc>
        <w:tc>
          <w:tcPr>
            <w:tcW w:w="400" w:type="dxa"/>
            <w:vAlign w:val="bottom"/>
            <w:tcBorders>
              <w:bottom w:val="single" w:sz="8" w:color="CCEDFF"/>
            </w:tcBorders>
            <w:shd w:val="clear" w:color="auto" w:fill="CCEDFF"/>
          </w:tcPr>
          <w:p>
            <w:pPr>
              <w:spacing w:after="0"/>
              <w:rPr>
                <w:sz w:val="23"/>
                <w:szCs w:val="23"/>
                <w:color w:val="auto"/>
              </w:rPr>
            </w:pPr>
          </w:p>
        </w:tc>
        <w:tc>
          <w:tcPr>
            <w:tcW w:w="10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754</w:t>
            </w:r>
          </w:p>
        </w:tc>
        <w:tc>
          <w:tcPr>
            <w:tcW w:w="80" w:type="dxa"/>
            <w:vAlign w:val="bottom"/>
            <w:tcBorders>
              <w:bottom w:val="single" w:sz="8" w:color="CCEDFF"/>
            </w:tcBorders>
            <w:shd w:val="clear" w:color="auto" w:fill="CCEDFF"/>
          </w:tcPr>
          <w:p>
            <w:pPr>
              <w:spacing w:after="0"/>
              <w:rPr>
                <w:sz w:val="23"/>
                <w:szCs w:val="23"/>
                <w:color w:val="auto"/>
              </w:rPr>
            </w:pPr>
          </w:p>
        </w:tc>
        <w:tc>
          <w:tcPr>
            <w:tcW w:w="300" w:type="dxa"/>
            <w:vAlign w:val="bottom"/>
            <w:tcBorders>
              <w:bottom w:val="single" w:sz="8" w:color="CCEDFF"/>
            </w:tcBorders>
            <w:shd w:val="clear" w:color="auto" w:fill="CCEDFF"/>
          </w:tcPr>
          <w:p>
            <w:pPr>
              <w:spacing w:after="0"/>
              <w:rPr>
                <w:sz w:val="23"/>
                <w:szCs w:val="23"/>
                <w:color w:val="auto"/>
              </w:rPr>
            </w:pPr>
          </w:p>
        </w:tc>
        <w:tc>
          <w:tcPr>
            <w:tcW w:w="108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2,387</w:t>
            </w:r>
          </w:p>
        </w:tc>
        <w:tc>
          <w:tcPr>
            <w:tcW w:w="80" w:type="dxa"/>
            <w:vAlign w:val="bottom"/>
            <w:tcBorders>
              <w:bottom w:val="single" w:sz="8" w:color="CCEDFF"/>
            </w:tcBorders>
            <w:shd w:val="clear" w:color="auto" w:fill="CCEDFF"/>
          </w:tcPr>
          <w:p>
            <w:pPr>
              <w:spacing w:after="0"/>
              <w:rPr>
                <w:sz w:val="23"/>
                <w:szCs w:val="23"/>
                <w:color w:val="auto"/>
              </w:rPr>
            </w:pPr>
          </w:p>
        </w:tc>
        <w:tc>
          <w:tcPr>
            <w:tcW w:w="400" w:type="dxa"/>
            <w:vAlign w:val="bottom"/>
            <w:tcBorders>
              <w:bottom w:val="single" w:sz="8" w:color="CCEDFF"/>
            </w:tcBorders>
            <w:shd w:val="clear" w:color="auto" w:fill="CCEDFF"/>
          </w:tcPr>
          <w:p>
            <w:pPr>
              <w:spacing w:after="0"/>
              <w:rPr>
                <w:sz w:val="23"/>
                <w:szCs w:val="23"/>
                <w:color w:val="auto"/>
              </w:rPr>
            </w:pPr>
          </w:p>
        </w:tc>
        <w:tc>
          <w:tcPr>
            <w:tcW w:w="10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1,273</w:t>
            </w:r>
          </w:p>
        </w:tc>
      </w:tr>
      <w:tr>
        <w:trPr>
          <w:trHeight w:val="26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75,479</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84,291</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144,527</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167,573</w:t>
            </w:r>
          </w:p>
        </w:tc>
      </w:tr>
      <w:tr>
        <w:trPr>
          <w:trHeight w:val="20"/>
        </w:trPr>
        <w:tc>
          <w:tcPr>
            <w:tcW w:w="5400" w:type="dxa"/>
            <w:vAlign w:val="bottom"/>
            <w:tcBorders>
              <w:bottom w:val="single" w:sz="8" w:color="CCED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D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D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D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4"/>
        </w:trPr>
        <w:tc>
          <w:tcPr>
            <w:tcW w:w="540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Adjusted EBITDA margin (%) (q)</w:t>
            </w:r>
          </w:p>
        </w:tc>
        <w:tc>
          <w:tcPr>
            <w:tcW w:w="120" w:type="dxa"/>
            <w:vAlign w:val="bottom"/>
            <w:tcBorders>
              <w:bottom w:val="single" w:sz="8" w:color="CCEDFF"/>
            </w:tcBorders>
            <w:shd w:val="clear" w:color="auto" w:fill="CCEDFF"/>
          </w:tcPr>
          <w:p>
            <w:pPr>
              <w:spacing w:after="0"/>
              <w:rPr>
                <w:sz w:val="21"/>
                <w:szCs w:val="21"/>
                <w:color w:val="auto"/>
              </w:rPr>
            </w:pPr>
          </w:p>
        </w:tc>
        <w:tc>
          <w:tcPr>
            <w:tcW w:w="13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80" w:type="dxa"/>
            <w:vAlign w:val="bottom"/>
            <w:tcBorders>
              <w:bottom w:val="single" w:sz="8" w:color="CCEDFF"/>
            </w:tcBorders>
            <w:shd w:val="clear" w:color="auto" w:fill="CCEDFF"/>
          </w:tcPr>
          <w:p>
            <w:pPr>
              <w:spacing w:after="0"/>
              <w:rPr>
                <w:sz w:val="21"/>
                <w:szCs w:val="21"/>
                <w:color w:val="auto"/>
              </w:rPr>
            </w:pPr>
          </w:p>
        </w:tc>
        <w:tc>
          <w:tcPr>
            <w:tcW w:w="400" w:type="dxa"/>
            <w:vAlign w:val="bottom"/>
            <w:tcBorders>
              <w:bottom w:val="single" w:sz="8" w:color="CCEDFF"/>
            </w:tcBorders>
            <w:shd w:val="clear" w:color="auto" w:fill="CCEDFF"/>
          </w:tcPr>
          <w:p>
            <w:pPr>
              <w:spacing w:after="0"/>
              <w:rPr>
                <w:sz w:val="21"/>
                <w:szCs w:val="21"/>
                <w:color w:val="auto"/>
              </w:rPr>
            </w:pPr>
          </w:p>
        </w:tc>
        <w:tc>
          <w:tcPr>
            <w:tcW w:w="10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80" w:type="dxa"/>
            <w:vAlign w:val="bottom"/>
            <w:tcBorders>
              <w:bottom w:val="single" w:sz="8" w:color="CCEDFF"/>
            </w:tcBorders>
            <w:shd w:val="clear" w:color="auto" w:fill="CCEDFF"/>
          </w:tcPr>
          <w:p>
            <w:pPr>
              <w:spacing w:after="0"/>
              <w:rPr>
                <w:sz w:val="21"/>
                <w:szCs w:val="21"/>
                <w:color w:val="auto"/>
              </w:rPr>
            </w:pPr>
          </w:p>
        </w:tc>
        <w:tc>
          <w:tcPr>
            <w:tcW w:w="300" w:type="dxa"/>
            <w:vAlign w:val="bottom"/>
            <w:tcBorders>
              <w:bottom w:val="single" w:sz="8" w:color="CCEDFF"/>
            </w:tcBorders>
            <w:shd w:val="clear" w:color="auto" w:fill="CCEDFF"/>
          </w:tcPr>
          <w:p>
            <w:pPr>
              <w:spacing w:after="0"/>
              <w:rPr>
                <w:sz w:val="21"/>
                <w:szCs w:val="21"/>
                <w:color w:val="auto"/>
              </w:rPr>
            </w:pPr>
          </w:p>
        </w:tc>
        <w:tc>
          <w:tcPr>
            <w:tcW w:w="10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80" w:type="dxa"/>
            <w:vAlign w:val="bottom"/>
            <w:tcBorders>
              <w:bottom w:val="single" w:sz="8" w:color="CCEDFF"/>
            </w:tcBorders>
            <w:shd w:val="clear" w:color="auto" w:fill="CCEDFF"/>
          </w:tcPr>
          <w:p>
            <w:pPr>
              <w:spacing w:after="0"/>
              <w:rPr>
                <w:sz w:val="21"/>
                <w:szCs w:val="21"/>
                <w:color w:val="auto"/>
              </w:rPr>
            </w:pPr>
          </w:p>
        </w:tc>
        <w:tc>
          <w:tcPr>
            <w:tcW w:w="400" w:type="dxa"/>
            <w:vAlign w:val="bottom"/>
            <w:tcBorders>
              <w:bottom w:val="single" w:sz="8" w:color="CCEDFF"/>
            </w:tcBorders>
            <w:shd w:val="clear" w:color="auto" w:fill="CCEDFF"/>
          </w:tcPr>
          <w:p>
            <w:pPr>
              <w:spacing w:after="0"/>
              <w:rPr>
                <w:sz w:val="21"/>
                <w:szCs w:val="21"/>
                <w:color w:val="auto"/>
              </w:rPr>
            </w:pPr>
          </w:p>
        </w:tc>
        <w:tc>
          <w:tcPr>
            <w:tcW w:w="10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18.0 %</w:t>
            </w:r>
          </w:p>
        </w:tc>
      </w:tr>
      <w:tr>
        <w:trPr>
          <w:trHeight w:val="257"/>
        </w:trPr>
        <w:tc>
          <w:tcPr>
            <w:tcW w:w="5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0"/>
        </w:trPr>
        <w:tc>
          <w:tcPr>
            <w:tcW w:w="540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75,479</w:t>
            </w:r>
          </w:p>
        </w:tc>
        <w:tc>
          <w:tcPr>
            <w:tcW w:w="80" w:type="dxa"/>
            <w:vAlign w:val="bottom"/>
            <w:tcBorders>
              <w:bottom w:val="single" w:sz="8" w:color="CCEDFF"/>
            </w:tcBorders>
            <w:shd w:val="clear" w:color="auto" w:fill="CCEDFF"/>
          </w:tcPr>
          <w:p>
            <w:pPr>
              <w:spacing w:after="0"/>
              <w:rPr>
                <w:sz w:val="21"/>
                <w:szCs w:val="21"/>
                <w:color w:val="auto"/>
              </w:rPr>
            </w:pPr>
          </w:p>
        </w:tc>
        <w:tc>
          <w:tcPr>
            <w:tcW w:w="400" w:type="dxa"/>
            <w:vAlign w:val="bottom"/>
            <w:tcBorders>
              <w:bottom w:val="single" w:sz="8" w:color="CCEDFF"/>
            </w:tcBorders>
            <w:shd w:val="clear" w:color="auto" w:fill="CCED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84,291</w:t>
            </w:r>
          </w:p>
        </w:tc>
        <w:tc>
          <w:tcPr>
            <w:tcW w:w="80" w:type="dxa"/>
            <w:vAlign w:val="bottom"/>
            <w:tcBorders>
              <w:bottom w:val="single" w:sz="8" w:color="CCEDFF"/>
            </w:tcBorders>
            <w:shd w:val="clear" w:color="auto" w:fill="CCEDFF"/>
          </w:tcPr>
          <w:p>
            <w:pPr>
              <w:spacing w:after="0"/>
              <w:rPr>
                <w:sz w:val="21"/>
                <w:szCs w:val="21"/>
                <w:color w:val="auto"/>
              </w:rPr>
            </w:pPr>
          </w:p>
        </w:tc>
        <w:tc>
          <w:tcPr>
            <w:tcW w:w="300" w:type="dxa"/>
            <w:vAlign w:val="bottom"/>
            <w:tcBorders>
              <w:bottom w:val="single" w:sz="8" w:color="CCEDFF"/>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144,527</w:t>
            </w:r>
          </w:p>
        </w:tc>
        <w:tc>
          <w:tcPr>
            <w:tcW w:w="80" w:type="dxa"/>
            <w:vAlign w:val="bottom"/>
            <w:tcBorders>
              <w:bottom w:val="single" w:sz="8" w:color="CCEDFF"/>
            </w:tcBorders>
            <w:shd w:val="clear" w:color="auto" w:fill="CCEDFF"/>
          </w:tcPr>
          <w:p>
            <w:pPr>
              <w:spacing w:after="0"/>
              <w:rPr>
                <w:sz w:val="21"/>
                <w:szCs w:val="21"/>
                <w:color w:val="auto"/>
              </w:rPr>
            </w:pPr>
          </w:p>
        </w:tc>
        <w:tc>
          <w:tcPr>
            <w:tcW w:w="400" w:type="dxa"/>
            <w:vAlign w:val="bottom"/>
            <w:tcBorders>
              <w:bottom w:val="single" w:sz="8" w:color="CCEDFF"/>
            </w:tcBorders>
            <w:shd w:val="clear" w:color="auto" w:fill="CCED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167,573</w:t>
            </w:r>
          </w:p>
        </w:tc>
      </w:tr>
      <w:tr>
        <w:trPr>
          <w:trHeight w:val="243"/>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Depreciation and amortization (o)</w:t>
            </w:r>
          </w:p>
        </w:tc>
        <w:tc>
          <w:tcPr>
            <w:tcW w:w="12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23,921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21,428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44,751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42,484</w:t>
            </w: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40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Less: Interest expense</w:t>
            </w:r>
          </w:p>
        </w:tc>
        <w:tc>
          <w:tcPr>
            <w:tcW w:w="120" w:type="dxa"/>
            <w:vAlign w:val="bottom"/>
            <w:tcBorders>
              <w:bottom w:val="single" w:sz="8" w:color="CCEDFF"/>
            </w:tcBorders>
            <w:shd w:val="clear" w:color="auto" w:fill="CCEDFF"/>
          </w:tcPr>
          <w:p>
            <w:pPr>
              <w:spacing w:after="0"/>
              <w:rPr>
                <w:sz w:val="21"/>
                <w:szCs w:val="21"/>
                <w:color w:val="auto"/>
              </w:rPr>
            </w:pPr>
          </w:p>
        </w:tc>
        <w:tc>
          <w:tcPr>
            <w:tcW w:w="13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12,779</w:t>
            </w:r>
          </w:p>
        </w:tc>
        <w:tc>
          <w:tcPr>
            <w:tcW w:w="80" w:type="dxa"/>
            <w:vAlign w:val="bottom"/>
            <w:tcBorders>
              <w:bottom w:val="single" w:sz="8" w:color="CCEDFF"/>
            </w:tcBorders>
            <w:shd w:val="clear" w:color="auto" w:fill="CCEDFF"/>
          </w:tcPr>
          <w:p>
            <w:pPr>
              <w:spacing w:after="0"/>
              <w:rPr>
                <w:sz w:val="21"/>
                <w:szCs w:val="21"/>
                <w:color w:val="auto"/>
              </w:rPr>
            </w:pPr>
          </w:p>
        </w:tc>
        <w:tc>
          <w:tcPr>
            <w:tcW w:w="400" w:type="dxa"/>
            <w:vAlign w:val="bottom"/>
            <w:tcBorders>
              <w:bottom w:val="single" w:sz="8" w:color="CCEDFF"/>
            </w:tcBorders>
            <w:shd w:val="clear" w:color="auto" w:fill="CCEDFF"/>
          </w:tcPr>
          <w:p>
            <w:pPr>
              <w:spacing w:after="0"/>
              <w:rPr>
                <w:sz w:val="21"/>
                <w:szCs w:val="21"/>
                <w:color w:val="auto"/>
              </w:rPr>
            </w:pPr>
          </w:p>
        </w:tc>
        <w:tc>
          <w:tcPr>
            <w:tcW w:w="10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10,754</w:t>
            </w:r>
          </w:p>
        </w:tc>
        <w:tc>
          <w:tcPr>
            <w:tcW w:w="80" w:type="dxa"/>
            <w:vAlign w:val="bottom"/>
            <w:tcBorders>
              <w:bottom w:val="single" w:sz="8" w:color="CCEDFF"/>
            </w:tcBorders>
            <w:shd w:val="clear" w:color="auto" w:fill="CCEDFF"/>
          </w:tcPr>
          <w:p>
            <w:pPr>
              <w:spacing w:after="0"/>
              <w:rPr>
                <w:sz w:val="21"/>
                <w:szCs w:val="21"/>
                <w:color w:val="auto"/>
              </w:rPr>
            </w:pPr>
          </w:p>
        </w:tc>
        <w:tc>
          <w:tcPr>
            <w:tcW w:w="300" w:type="dxa"/>
            <w:vAlign w:val="bottom"/>
            <w:tcBorders>
              <w:bottom w:val="single" w:sz="8" w:color="CCEDFF"/>
            </w:tcBorders>
            <w:shd w:val="clear" w:color="auto" w:fill="CCEDFF"/>
          </w:tcPr>
          <w:p>
            <w:pPr>
              <w:spacing w:after="0"/>
              <w:rPr>
                <w:sz w:val="21"/>
                <w:szCs w:val="21"/>
                <w:color w:val="auto"/>
              </w:rPr>
            </w:pPr>
          </w:p>
        </w:tc>
        <w:tc>
          <w:tcPr>
            <w:tcW w:w="108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22,324</w:t>
            </w:r>
          </w:p>
        </w:tc>
        <w:tc>
          <w:tcPr>
            <w:tcW w:w="80" w:type="dxa"/>
            <w:vAlign w:val="bottom"/>
            <w:tcBorders>
              <w:bottom w:val="single" w:sz="8" w:color="CCEDFF"/>
            </w:tcBorders>
            <w:shd w:val="clear" w:color="auto" w:fill="CCEDFF"/>
          </w:tcPr>
          <w:p>
            <w:pPr>
              <w:spacing w:after="0"/>
              <w:rPr>
                <w:sz w:val="21"/>
                <w:szCs w:val="21"/>
                <w:color w:val="auto"/>
              </w:rPr>
            </w:pPr>
          </w:p>
        </w:tc>
        <w:tc>
          <w:tcPr>
            <w:tcW w:w="400" w:type="dxa"/>
            <w:vAlign w:val="bottom"/>
            <w:tcBorders>
              <w:bottom w:val="single" w:sz="8" w:color="CCEDFF"/>
            </w:tcBorders>
            <w:shd w:val="clear" w:color="auto" w:fill="CCEDFF"/>
          </w:tcPr>
          <w:p>
            <w:pPr>
              <w:spacing w:after="0"/>
              <w:rPr>
                <w:sz w:val="21"/>
                <w:szCs w:val="21"/>
                <w:color w:val="auto"/>
              </w:rPr>
            </w:pPr>
          </w:p>
        </w:tc>
        <w:tc>
          <w:tcPr>
            <w:tcW w:w="10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21,578</w:t>
            </w:r>
          </w:p>
        </w:tc>
      </w:tr>
      <w:tr>
        <w:trPr>
          <w:trHeight w:val="225"/>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Taxes on income before equity in net income of associated</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4"/>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companies - adjusted (p)</w:t>
            </w:r>
          </w:p>
        </w:tc>
        <w:tc>
          <w:tcPr>
            <w:tcW w:w="12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10,460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13,877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21,104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27,606</w:t>
            </w: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40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Plus: Acquisition-related depreciation and amortization (n)</w:t>
            </w:r>
          </w:p>
        </w:tc>
        <w:tc>
          <w:tcPr>
            <w:tcW w:w="120" w:type="dxa"/>
            <w:vAlign w:val="bottom"/>
            <w:tcBorders>
              <w:bottom w:val="single" w:sz="8" w:color="CCEDFF"/>
            </w:tcBorders>
            <w:shd w:val="clear" w:color="auto" w:fill="CCEDFF"/>
          </w:tcPr>
          <w:p>
            <w:pPr>
              <w:spacing w:after="0"/>
              <w:rPr>
                <w:sz w:val="23"/>
                <w:szCs w:val="23"/>
                <w:color w:val="auto"/>
              </w:rPr>
            </w:pPr>
          </w:p>
        </w:tc>
        <w:tc>
          <w:tcPr>
            <w:tcW w:w="13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1,681</w:t>
            </w:r>
          </w:p>
        </w:tc>
        <w:tc>
          <w:tcPr>
            <w:tcW w:w="80" w:type="dxa"/>
            <w:vAlign w:val="bottom"/>
            <w:tcBorders>
              <w:bottom w:val="single" w:sz="8" w:color="CCEDFF"/>
            </w:tcBorders>
            <w:shd w:val="clear" w:color="auto" w:fill="CCEDFF"/>
          </w:tcPr>
          <w:p>
            <w:pPr>
              <w:spacing w:after="0"/>
              <w:rPr>
                <w:sz w:val="23"/>
                <w:szCs w:val="23"/>
                <w:color w:val="auto"/>
              </w:rPr>
            </w:pPr>
          </w:p>
        </w:tc>
        <w:tc>
          <w:tcPr>
            <w:tcW w:w="400" w:type="dxa"/>
            <w:vAlign w:val="bottom"/>
            <w:tcBorders>
              <w:bottom w:val="single" w:sz="8" w:color="CCEDFF"/>
            </w:tcBorders>
            <w:shd w:val="clear" w:color="auto" w:fill="CCEDFF"/>
          </w:tcPr>
          <w:p>
            <w:pPr>
              <w:spacing w:after="0"/>
              <w:rPr>
                <w:sz w:val="23"/>
                <w:szCs w:val="23"/>
                <w:color w:val="auto"/>
              </w:rPr>
            </w:pPr>
          </w:p>
        </w:tc>
        <w:tc>
          <w:tcPr>
            <w:tcW w:w="1080" w:type="dxa"/>
            <w:vAlign w:val="bottom"/>
            <w:tcBorders>
              <w:bottom w:val="single" w:sz="8" w:color="CCEDFF"/>
            </w:tcBorders>
            <w:gridSpan w:val="2"/>
            <w:shd w:val="clear" w:color="auto" w:fill="CCED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DFF"/>
            </w:tcBorders>
            <w:shd w:val="clear" w:color="auto" w:fill="CCEDFF"/>
          </w:tcPr>
          <w:p>
            <w:pPr>
              <w:spacing w:after="0"/>
              <w:rPr>
                <w:sz w:val="23"/>
                <w:szCs w:val="23"/>
                <w:color w:val="auto"/>
              </w:rPr>
            </w:pPr>
          </w:p>
        </w:tc>
        <w:tc>
          <w:tcPr>
            <w:tcW w:w="108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1,681</w:t>
            </w:r>
          </w:p>
        </w:tc>
        <w:tc>
          <w:tcPr>
            <w:tcW w:w="80" w:type="dxa"/>
            <w:vAlign w:val="bottom"/>
            <w:tcBorders>
              <w:bottom w:val="single" w:sz="8" w:color="CCEDFF"/>
            </w:tcBorders>
            <w:shd w:val="clear" w:color="auto" w:fill="CCEDFF"/>
          </w:tcPr>
          <w:p>
            <w:pPr>
              <w:spacing w:after="0"/>
              <w:rPr>
                <w:sz w:val="23"/>
                <w:szCs w:val="23"/>
                <w:color w:val="auto"/>
              </w:rPr>
            </w:pPr>
          </w:p>
        </w:tc>
        <w:tc>
          <w:tcPr>
            <w:tcW w:w="400" w:type="dxa"/>
            <w:vAlign w:val="bottom"/>
            <w:tcBorders>
              <w:bottom w:val="single" w:sz="8" w:color="CCEDFF"/>
            </w:tcBorders>
            <w:shd w:val="clear" w:color="auto" w:fill="CCEDFF"/>
          </w:tcPr>
          <w:p>
            <w:pPr>
              <w:spacing w:after="0"/>
              <w:rPr>
                <w:sz w:val="23"/>
                <w:szCs w:val="23"/>
                <w:color w:val="auto"/>
              </w:rPr>
            </w:pPr>
          </w:p>
        </w:tc>
        <w:tc>
          <w:tcPr>
            <w:tcW w:w="10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38,232</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58,029</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75,905</w:t>
            </w:r>
          </w:p>
        </w:tc>
      </w:tr>
      <w:tr>
        <w:trPr>
          <w:trHeight w:val="21"/>
        </w:trPr>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736"/>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99"/>
              </w:rPr>
              <w:t>36</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3"/>
        </w:trPr>
        <w:tc>
          <w:tcPr>
            <w:tcW w:w="54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3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2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4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Earnings per Diluted Share Reconciliations</w:t>
            </w:r>
          </w:p>
        </w:tc>
        <w:tc>
          <w:tcPr>
            <w:tcW w:w="840" w:type="dxa"/>
            <w:vAlign w:val="bottom"/>
          </w:tcPr>
          <w:p>
            <w:pPr>
              <w:spacing w:after="0"/>
              <w:rPr>
                <w:sz w:val="20"/>
                <w:szCs w:val="20"/>
                <w:color w:val="auto"/>
              </w:rPr>
            </w:pPr>
          </w:p>
        </w:tc>
        <w:tc>
          <w:tcPr>
            <w:tcW w:w="138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Pr>
          <w:p>
            <w:pPr>
              <w:spacing w:after="0"/>
              <w:rPr>
                <w:sz w:val="20"/>
                <w:szCs w:val="20"/>
                <w:color w:val="auto"/>
              </w:rPr>
            </w:pPr>
          </w:p>
        </w:tc>
      </w:tr>
      <w:tr>
        <w:trPr>
          <w:trHeight w:val="27"/>
        </w:trPr>
        <w:tc>
          <w:tcPr>
            <w:tcW w:w="58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6"/>
        </w:trPr>
        <w:tc>
          <w:tcPr>
            <w:tcW w:w="58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5840" w:type="dxa"/>
            <w:vAlign w:val="bottom"/>
            <w:tcBorders>
              <w:bottom w:val="single" w:sz="8" w:color="CCED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D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D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5"/>
        </w:trPr>
        <w:tc>
          <w:tcPr>
            <w:tcW w:w="5840" w:type="dxa"/>
            <w:vAlign w:val="bottom"/>
            <w:shd w:val="clear" w:color="auto" w:fill="CCEDFF"/>
          </w:tcPr>
          <w:p>
            <w:pPr>
              <w:ind w:left="20"/>
              <w:spacing w:after="0" w:line="205" w:lineRule="exact"/>
              <w:rPr>
                <w:sz w:val="20"/>
                <w:szCs w:val="20"/>
                <w:color w:val="auto"/>
              </w:rPr>
            </w:pPr>
            <w:r>
              <w:rPr>
                <w:rFonts w:ascii="Times New Roman" w:cs="Times New Roman" w:eastAsia="Times New Roman" w:hAnsi="Times New Roman"/>
                <w:sz w:val="18"/>
                <w:szCs w:val="18"/>
                <w:color w:val="auto"/>
              </w:rPr>
              <w:t>GAAP (loss) earnings per diluted share attributable to Quaker Chemical</w:t>
            </w:r>
          </w:p>
        </w:tc>
        <w:tc>
          <w:tcPr>
            <w:tcW w:w="840" w:type="dxa"/>
            <w:vAlign w:val="bottom"/>
            <w:shd w:val="clear" w:color="auto" w:fill="CCEDFF"/>
          </w:tcPr>
          <w:p>
            <w:pPr>
              <w:spacing w:after="0"/>
              <w:rPr>
                <w:sz w:val="17"/>
                <w:szCs w:val="17"/>
                <w:color w:val="auto"/>
              </w:rPr>
            </w:pPr>
          </w:p>
        </w:tc>
        <w:tc>
          <w:tcPr>
            <w:tcW w:w="460" w:type="dxa"/>
            <w:vAlign w:val="bottom"/>
            <w:shd w:val="clear" w:color="auto" w:fill="CCEDFF"/>
          </w:tcPr>
          <w:p>
            <w:pPr>
              <w:spacing w:after="0"/>
              <w:rPr>
                <w:sz w:val="17"/>
                <w:szCs w:val="17"/>
                <w:color w:val="auto"/>
              </w:rPr>
            </w:pPr>
          </w:p>
        </w:tc>
        <w:tc>
          <w:tcPr>
            <w:tcW w:w="100" w:type="dxa"/>
            <w:vAlign w:val="bottom"/>
            <w:shd w:val="clear" w:color="auto" w:fill="CCEDFF"/>
          </w:tcPr>
          <w:p>
            <w:pPr>
              <w:spacing w:after="0"/>
              <w:rPr>
                <w:sz w:val="17"/>
                <w:szCs w:val="17"/>
                <w:color w:val="auto"/>
              </w:rPr>
            </w:pPr>
          </w:p>
        </w:tc>
        <w:tc>
          <w:tcPr>
            <w:tcW w:w="820" w:type="dxa"/>
            <w:vAlign w:val="bottom"/>
            <w:shd w:val="clear" w:color="auto" w:fill="CCEDFF"/>
          </w:tcPr>
          <w:p>
            <w:pPr>
              <w:spacing w:after="0"/>
              <w:rPr>
                <w:sz w:val="17"/>
                <w:szCs w:val="17"/>
                <w:color w:val="auto"/>
              </w:rPr>
            </w:pPr>
          </w:p>
        </w:tc>
        <w:tc>
          <w:tcPr>
            <w:tcW w:w="460" w:type="dxa"/>
            <w:vAlign w:val="bottom"/>
            <w:shd w:val="clear" w:color="auto" w:fill="CCEDFF"/>
          </w:tcPr>
          <w:p>
            <w:pPr>
              <w:spacing w:after="0"/>
              <w:rPr>
                <w:sz w:val="17"/>
                <w:szCs w:val="17"/>
                <w:color w:val="auto"/>
              </w:rPr>
            </w:pPr>
          </w:p>
        </w:tc>
        <w:tc>
          <w:tcPr>
            <w:tcW w:w="80" w:type="dxa"/>
            <w:vAlign w:val="bottom"/>
            <w:shd w:val="clear" w:color="auto" w:fill="CCEDFF"/>
          </w:tcPr>
          <w:p>
            <w:pPr>
              <w:spacing w:after="0"/>
              <w:rPr>
                <w:sz w:val="17"/>
                <w:szCs w:val="17"/>
                <w:color w:val="auto"/>
              </w:rPr>
            </w:pPr>
          </w:p>
        </w:tc>
        <w:tc>
          <w:tcPr>
            <w:tcW w:w="300" w:type="dxa"/>
            <w:vAlign w:val="bottom"/>
            <w:shd w:val="clear" w:color="auto" w:fill="CCEDFF"/>
          </w:tcPr>
          <w:p>
            <w:pPr>
              <w:spacing w:after="0"/>
              <w:rPr>
                <w:sz w:val="17"/>
                <w:szCs w:val="17"/>
                <w:color w:val="auto"/>
              </w:rPr>
            </w:pPr>
          </w:p>
        </w:tc>
        <w:tc>
          <w:tcPr>
            <w:tcW w:w="980" w:type="dxa"/>
            <w:vAlign w:val="bottom"/>
            <w:shd w:val="clear" w:color="auto" w:fill="CCEDFF"/>
          </w:tcPr>
          <w:p>
            <w:pPr>
              <w:spacing w:after="0"/>
              <w:rPr>
                <w:sz w:val="17"/>
                <w:szCs w:val="17"/>
                <w:color w:val="auto"/>
              </w:rPr>
            </w:pPr>
          </w:p>
        </w:tc>
        <w:tc>
          <w:tcPr>
            <w:tcW w:w="100" w:type="dxa"/>
            <w:vAlign w:val="bottom"/>
            <w:shd w:val="clear" w:color="auto" w:fill="CCEDFF"/>
          </w:tcPr>
          <w:p>
            <w:pPr>
              <w:spacing w:after="0"/>
              <w:rPr>
                <w:sz w:val="17"/>
                <w:szCs w:val="17"/>
                <w:color w:val="auto"/>
              </w:rPr>
            </w:pPr>
          </w:p>
        </w:tc>
        <w:tc>
          <w:tcPr>
            <w:tcW w:w="360" w:type="dxa"/>
            <w:vAlign w:val="bottom"/>
            <w:shd w:val="clear" w:color="auto" w:fill="CCEDFF"/>
          </w:tcPr>
          <w:p>
            <w:pPr>
              <w:spacing w:after="0"/>
              <w:rPr>
                <w:sz w:val="17"/>
                <w:szCs w:val="17"/>
                <w:color w:val="auto"/>
              </w:rPr>
            </w:pPr>
          </w:p>
        </w:tc>
        <w:tc>
          <w:tcPr>
            <w:tcW w:w="900" w:type="dxa"/>
            <w:vAlign w:val="bottom"/>
            <w:shd w:val="clear" w:color="auto" w:fill="CCEDFF"/>
          </w:tcPr>
          <w:p>
            <w:pPr>
              <w:spacing w:after="0"/>
              <w:rPr>
                <w:sz w:val="17"/>
                <w:szCs w:val="17"/>
                <w:color w:val="auto"/>
              </w:rPr>
            </w:pPr>
          </w:p>
        </w:tc>
      </w:tr>
      <w:tr>
        <w:trPr>
          <w:trHeight w:val="241"/>
        </w:trPr>
        <w:tc>
          <w:tcPr>
            <w:tcW w:w="5840" w:type="dxa"/>
            <w:vAlign w:val="bottom"/>
            <w:tcBorders>
              <w:bottom w:val="single" w:sz="8" w:color="CCEDFF"/>
            </w:tcBorders>
            <w:shd w:val="clear" w:color="auto" w:fill="CCEDFF"/>
          </w:tcPr>
          <w:p>
            <w:pPr>
              <w:ind w:left="180"/>
              <w:spacing w:after="0"/>
              <w:rPr>
                <w:sz w:val="20"/>
                <w:szCs w:val="20"/>
                <w:color w:val="auto"/>
              </w:rPr>
            </w:pPr>
            <w:r>
              <w:rPr>
                <w:rFonts w:ascii="Times New Roman" w:cs="Times New Roman" w:eastAsia="Times New Roman" w:hAnsi="Times New Roman"/>
                <w:sz w:val="18"/>
                <w:szCs w:val="18"/>
                <w:color w:val="auto"/>
              </w:rPr>
              <w:t>Corporation common shareholders</w:t>
            </w:r>
          </w:p>
        </w:tc>
        <w:tc>
          <w:tcPr>
            <w:tcW w:w="840" w:type="dxa"/>
            <w:vAlign w:val="bottom"/>
            <w:tcBorders>
              <w:bottom w:val="single" w:sz="8" w:color="CCEDFF"/>
            </w:tcBorders>
            <w:shd w:val="clear" w:color="auto" w:fill="CCED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96"/>
              </w:rPr>
              <w:t>(3.78)</w:t>
            </w:r>
          </w:p>
        </w:tc>
        <w:tc>
          <w:tcPr>
            <w:tcW w:w="100" w:type="dxa"/>
            <w:vAlign w:val="bottom"/>
            <w:tcBorders>
              <w:bottom w:val="single" w:sz="8" w:color="CCEDFF"/>
            </w:tcBorders>
            <w:shd w:val="clear" w:color="auto" w:fill="CCEDFF"/>
          </w:tcPr>
          <w:p>
            <w:pPr>
              <w:spacing w:after="0"/>
              <w:rPr>
                <w:sz w:val="20"/>
                <w:szCs w:val="20"/>
                <w:color w:val="auto"/>
              </w:rPr>
            </w:pPr>
          </w:p>
        </w:tc>
        <w:tc>
          <w:tcPr>
            <w:tcW w:w="820" w:type="dxa"/>
            <w:vAlign w:val="bottom"/>
            <w:tcBorders>
              <w:bottom w:val="single" w:sz="8" w:color="CCEDFF"/>
            </w:tcBorders>
            <w:shd w:val="clear" w:color="auto" w:fill="CCED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Borders>
              <w:bottom w:val="single" w:sz="8" w:color="CCEDFF"/>
            </w:tcBorders>
            <w:shd w:val="clear" w:color="auto" w:fill="CCEDFF"/>
          </w:tcPr>
          <w:p>
            <w:pPr>
              <w:spacing w:after="0"/>
              <w:rPr>
                <w:sz w:val="20"/>
                <w:szCs w:val="20"/>
                <w:color w:val="auto"/>
              </w:rPr>
            </w:pPr>
          </w:p>
        </w:tc>
        <w:tc>
          <w:tcPr>
            <w:tcW w:w="300" w:type="dxa"/>
            <w:vAlign w:val="bottom"/>
            <w:tcBorders>
              <w:bottom w:val="single" w:sz="8" w:color="CCEDFF"/>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CEDFF"/>
            </w:tcBorders>
            <w:shd w:val="clear" w:color="auto" w:fill="CCEDFF"/>
          </w:tcPr>
          <w:p>
            <w:pPr>
              <w:spacing w:after="0"/>
              <w:rPr>
                <w:sz w:val="20"/>
                <w:szCs w:val="20"/>
                <w:color w:val="auto"/>
              </w:rPr>
            </w:pPr>
          </w:p>
        </w:tc>
        <w:tc>
          <w:tcPr>
            <w:tcW w:w="360" w:type="dxa"/>
            <w:vAlign w:val="bottom"/>
            <w:tcBorders>
              <w:bottom w:val="single" w:sz="8" w:color="CCEDFF"/>
            </w:tcBorders>
            <w:shd w:val="clear" w:color="auto" w:fill="CCED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43"/>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income in a captive insurance company (f)</w:t>
            </w: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(0.12)</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(0.02)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7"/>
        </w:trPr>
        <w:tc>
          <w:tcPr>
            <w:tcW w:w="5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84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Acquisition-related step-up inventory amortization (a)</w:t>
            </w:r>
          </w:p>
        </w:tc>
        <w:tc>
          <w:tcPr>
            <w:tcW w:w="840" w:type="dxa"/>
            <w:vAlign w:val="bottom"/>
            <w:tcBorders>
              <w:bottom w:val="single" w:sz="8" w:color="CCEDFF"/>
            </w:tcBorders>
            <w:shd w:val="clear" w:color="auto" w:fill="CCEDFF"/>
          </w:tcPr>
          <w:p>
            <w:pPr>
              <w:spacing w:after="0"/>
              <w:rPr>
                <w:sz w:val="21"/>
                <w:szCs w:val="21"/>
                <w:color w:val="auto"/>
              </w:rPr>
            </w:pPr>
          </w:p>
        </w:tc>
        <w:tc>
          <w:tcPr>
            <w:tcW w:w="4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Borders>
              <w:bottom w:val="single" w:sz="8" w:color="CCEDFF"/>
            </w:tcBorders>
            <w:shd w:val="clear" w:color="auto" w:fill="CCEDFF"/>
          </w:tcPr>
          <w:p>
            <w:pPr>
              <w:spacing w:after="0"/>
              <w:rPr>
                <w:sz w:val="21"/>
                <w:szCs w:val="21"/>
                <w:color w:val="auto"/>
              </w:rPr>
            </w:pPr>
          </w:p>
        </w:tc>
        <w:tc>
          <w:tcPr>
            <w:tcW w:w="820" w:type="dxa"/>
            <w:vAlign w:val="bottom"/>
            <w:tcBorders>
              <w:bottom w:val="single" w:sz="8" w:color="CCEDFF"/>
            </w:tcBorders>
            <w:shd w:val="clear" w:color="auto" w:fill="CCEDFF"/>
          </w:tcPr>
          <w:p>
            <w:pPr>
              <w:spacing w:after="0"/>
              <w:rPr>
                <w:sz w:val="21"/>
                <w:szCs w:val="21"/>
                <w:color w:val="auto"/>
              </w:rPr>
            </w:pPr>
          </w:p>
        </w:tc>
        <w:tc>
          <w:tcPr>
            <w:tcW w:w="540" w:type="dxa"/>
            <w:vAlign w:val="bottom"/>
            <w:tcBorders>
              <w:bottom w:val="single" w:sz="8" w:color="CCEDFF"/>
            </w:tcBorders>
            <w:gridSpan w:val="2"/>
            <w:shd w:val="clear" w:color="auto" w:fill="CCED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DFF"/>
            </w:tcBorders>
            <w:shd w:val="clear" w:color="auto" w:fill="CCEDFF"/>
          </w:tcPr>
          <w:p>
            <w:pPr>
              <w:spacing w:after="0"/>
              <w:rPr>
                <w:sz w:val="21"/>
                <w:szCs w:val="21"/>
                <w:color w:val="auto"/>
              </w:rPr>
            </w:pPr>
          </w:p>
        </w:tc>
        <w:tc>
          <w:tcPr>
            <w:tcW w:w="9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Borders>
              <w:bottom w:val="single" w:sz="8" w:color="CCEDFF"/>
            </w:tcBorders>
            <w:shd w:val="clear" w:color="auto" w:fill="CCEDFF"/>
          </w:tcPr>
          <w:p>
            <w:pPr>
              <w:spacing w:after="0"/>
              <w:rPr>
                <w:sz w:val="21"/>
                <w:szCs w:val="21"/>
                <w:color w:val="auto"/>
              </w:rPr>
            </w:pPr>
          </w:p>
        </w:tc>
        <w:tc>
          <w:tcPr>
            <w:tcW w:w="360" w:type="dxa"/>
            <w:vAlign w:val="bottom"/>
            <w:tcBorders>
              <w:bottom w:val="single" w:sz="8" w:color="CCEDFF"/>
            </w:tcBorders>
            <w:shd w:val="clear" w:color="auto" w:fill="CCEDFF"/>
          </w:tcPr>
          <w:p>
            <w:pPr>
              <w:spacing w:after="0"/>
              <w:rPr>
                <w:sz w:val="21"/>
                <w:szCs w:val="21"/>
                <w:color w:val="auto"/>
              </w:rPr>
            </w:pPr>
          </w:p>
        </w:tc>
        <w:tc>
          <w:tcPr>
            <w:tcW w:w="9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related charges, net (b)</w:t>
            </w: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7"/>
        </w:trPr>
        <w:tc>
          <w:tcPr>
            <w:tcW w:w="5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840" w:type="dxa"/>
            <w:vAlign w:val="bottom"/>
            <w:tcBorders>
              <w:bottom w:val="single" w:sz="8" w:color="CCEDFF"/>
            </w:tcBorders>
            <w:shd w:val="clear" w:color="auto" w:fill="CCEDFF"/>
          </w:tcPr>
          <w:p>
            <w:pPr>
              <w:ind w:left="100"/>
              <w:spacing w:after="0"/>
              <w:rPr>
                <w:sz w:val="20"/>
                <w:szCs w:val="20"/>
                <w:color w:val="auto"/>
              </w:rPr>
            </w:pPr>
            <w:r>
              <w:rPr>
                <w:rFonts w:ascii="Times New Roman" w:cs="Times New Roman" w:eastAsia="Times New Roman" w:hAnsi="Times New Roman"/>
                <w:sz w:val="18"/>
                <w:szCs w:val="18"/>
                <w:color w:val="auto"/>
              </w:rPr>
              <w:t>Acquisition-related expenses (c)</w:t>
            </w:r>
          </w:p>
        </w:tc>
        <w:tc>
          <w:tcPr>
            <w:tcW w:w="840" w:type="dxa"/>
            <w:vAlign w:val="bottom"/>
            <w:tcBorders>
              <w:bottom w:val="single" w:sz="8" w:color="CCEDFF"/>
            </w:tcBorders>
            <w:shd w:val="clear" w:color="auto" w:fill="CCEDFF"/>
          </w:tcPr>
          <w:p>
            <w:pPr>
              <w:spacing w:after="0"/>
              <w:rPr>
                <w:sz w:val="21"/>
                <w:szCs w:val="21"/>
                <w:color w:val="auto"/>
              </w:rPr>
            </w:pPr>
          </w:p>
        </w:tc>
        <w:tc>
          <w:tcPr>
            <w:tcW w:w="4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DFF"/>
            </w:tcBorders>
            <w:shd w:val="clear" w:color="auto" w:fill="CCEDFF"/>
          </w:tcPr>
          <w:p>
            <w:pPr>
              <w:spacing w:after="0"/>
              <w:rPr>
                <w:sz w:val="21"/>
                <w:szCs w:val="21"/>
                <w:color w:val="auto"/>
              </w:rPr>
            </w:pPr>
          </w:p>
        </w:tc>
        <w:tc>
          <w:tcPr>
            <w:tcW w:w="820" w:type="dxa"/>
            <w:vAlign w:val="bottom"/>
            <w:tcBorders>
              <w:bottom w:val="single" w:sz="8" w:color="CCEDFF"/>
            </w:tcBorders>
            <w:shd w:val="clear" w:color="auto" w:fill="CCEDFF"/>
          </w:tcPr>
          <w:p>
            <w:pPr>
              <w:spacing w:after="0"/>
              <w:rPr>
                <w:sz w:val="21"/>
                <w:szCs w:val="21"/>
                <w:color w:val="auto"/>
              </w:rPr>
            </w:pPr>
          </w:p>
        </w:tc>
        <w:tc>
          <w:tcPr>
            <w:tcW w:w="4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Borders>
              <w:bottom w:val="single" w:sz="8" w:color="CCEDFF"/>
            </w:tcBorders>
            <w:shd w:val="clear" w:color="auto" w:fill="CCEDFF"/>
          </w:tcPr>
          <w:p>
            <w:pPr>
              <w:spacing w:after="0"/>
              <w:rPr>
                <w:sz w:val="21"/>
                <w:szCs w:val="21"/>
                <w:color w:val="auto"/>
              </w:rPr>
            </w:pPr>
          </w:p>
        </w:tc>
        <w:tc>
          <w:tcPr>
            <w:tcW w:w="300" w:type="dxa"/>
            <w:vAlign w:val="bottom"/>
            <w:tcBorders>
              <w:bottom w:val="single" w:sz="8" w:color="CCEDFF"/>
            </w:tcBorders>
            <w:shd w:val="clear" w:color="auto" w:fill="CCEDFF"/>
          </w:tcPr>
          <w:p>
            <w:pPr>
              <w:spacing w:after="0"/>
              <w:rPr>
                <w:sz w:val="21"/>
                <w:szCs w:val="21"/>
                <w:color w:val="auto"/>
              </w:rPr>
            </w:pPr>
          </w:p>
        </w:tc>
        <w:tc>
          <w:tcPr>
            <w:tcW w:w="9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Borders>
              <w:bottom w:val="single" w:sz="8" w:color="CCEDFF"/>
            </w:tcBorders>
            <w:shd w:val="clear" w:color="auto" w:fill="CCEDFF"/>
          </w:tcPr>
          <w:p>
            <w:pPr>
              <w:spacing w:after="0"/>
              <w:rPr>
                <w:sz w:val="21"/>
                <w:szCs w:val="21"/>
                <w:color w:val="auto"/>
              </w:rPr>
            </w:pPr>
          </w:p>
        </w:tc>
        <w:tc>
          <w:tcPr>
            <w:tcW w:w="360" w:type="dxa"/>
            <w:vAlign w:val="bottom"/>
            <w:tcBorders>
              <w:bottom w:val="single" w:sz="8" w:color="CCEDFF"/>
            </w:tcBorders>
            <w:shd w:val="clear" w:color="auto" w:fill="CCEDFF"/>
          </w:tcPr>
          <w:p>
            <w:pPr>
              <w:spacing w:after="0"/>
              <w:rPr>
                <w:sz w:val="21"/>
                <w:szCs w:val="21"/>
                <w:color w:val="auto"/>
              </w:rPr>
            </w:pPr>
          </w:p>
        </w:tc>
        <w:tc>
          <w:tcPr>
            <w:tcW w:w="9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43"/>
        </w:trPr>
        <w:tc>
          <w:tcPr>
            <w:tcW w:w="5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 on inventory and other adjustments (d)</w:t>
            </w: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(0.16)</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84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Customer insolvency costs (h)</w:t>
            </w:r>
          </w:p>
        </w:tc>
        <w:tc>
          <w:tcPr>
            <w:tcW w:w="840" w:type="dxa"/>
            <w:vAlign w:val="bottom"/>
            <w:tcBorders>
              <w:bottom w:val="single" w:sz="8" w:color="CCEDFF"/>
            </w:tcBorders>
            <w:shd w:val="clear" w:color="auto" w:fill="CCEDFF"/>
          </w:tcPr>
          <w:p>
            <w:pPr>
              <w:spacing w:after="0"/>
              <w:rPr>
                <w:sz w:val="21"/>
                <w:szCs w:val="21"/>
                <w:color w:val="auto"/>
              </w:rPr>
            </w:pPr>
          </w:p>
        </w:tc>
        <w:tc>
          <w:tcPr>
            <w:tcW w:w="560" w:type="dxa"/>
            <w:vAlign w:val="bottom"/>
            <w:tcBorders>
              <w:bottom w:val="single" w:sz="8" w:color="CCEDFF"/>
            </w:tcBorders>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DFF"/>
            </w:tcBorders>
            <w:shd w:val="clear" w:color="auto" w:fill="CCEDFF"/>
          </w:tcPr>
          <w:p>
            <w:pPr>
              <w:spacing w:after="0"/>
              <w:rPr>
                <w:sz w:val="21"/>
                <w:szCs w:val="21"/>
                <w:color w:val="auto"/>
              </w:rPr>
            </w:pPr>
          </w:p>
        </w:tc>
        <w:tc>
          <w:tcPr>
            <w:tcW w:w="540" w:type="dxa"/>
            <w:vAlign w:val="bottom"/>
            <w:tcBorders>
              <w:bottom w:val="single" w:sz="8" w:color="CCEDFF"/>
            </w:tcBorders>
            <w:gridSpan w:val="2"/>
            <w:shd w:val="clear" w:color="auto" w:fill="CCED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DFF"/>
            </w:tcBorders>
            <w:shd w:val="clear" w:color="auto" w:fill="CCEDFF"/>
          </w:tcPr>
          <w:p>
            <w:pPr>
              <w:spacing w:after="0"/>
              <w:rPr>
                <w:sz w:val="21"/>
                <w:szCs w:val="21"/>
                <w:color w:val="auto"/>
              </w:rPr>
            </w:pPr>
          </w:p>
        </w:tc>
        <w:tc>
          <w:tcPr>
            <w:tcW w:w="1080" w:type="dxa"/>
            <w:vAlign w:val="bottom"/>
            <w:tcBorders>
              <w:bottom w:val="single" w:sz="8" w:color="CCEDFF"/>
            </w:tcBorders>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DFF"/>
            </w:tcBorders>
            <w:shd w:val="clear" w:color="auto" w:fill="CCEDFF"/>
          </w:tcPr>
          <w:p>
            <w:pPr>
              <w:spacing w:after="0"/>
              <w:rPr>
                <w:sz w:val="21"/>
                <w:szCs w:val="21"/>
                <w:color w:val="auto"/>
              </w:rPr>
            </w:pPr>
          </w:p>
        </w:tc>
        <w:tc>
          <w:tcPr>
            <w:tcW w:w="9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43"/>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charges (l)</w:t>
            </w: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84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Product liability claim costs, net (i)</w:t>
            </w:r>
          </w:p>
        </w:tc>
        <w:tc>
          <w:tcPr>
            <w:tcW w:w="840" w:type="dxa"/>
            <w:vAlign w:val="bottom"/>
            <w:tcBorders>
              <w:bottom w:val="single" w:sz="8" w:color="CCEDFF"/>
            </w:tcBorders>
            <w:shd w:val="clear" w:color="auto" w:fill="CCEDFF"/>
          </w:tcPr>
          <w:p>
            <w:pPr>
              <w:spacing w:after="0"/>
              <w:rPr>
                <w:sz w:val="21"/>
                <w:szCs w:val="21"/>
                <w:color w:val="auto"/>
              </w:rPr>
            </w:pPr>
          </w:p>
        </w:tc>
        <w:tc>
          <w:tcPr>
            <w:tcW w:w="560" w:type="dxa"/>
            <w:vAlign w:val="bottom"/>
            <w:tcBorders>
              <w:bottom w:val="single" w:sz="8" w:color="CCEDFF"/>
            </w:tcBorders>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DFF"/>
            </w:tcBorders>
            <w:shd w:val="clear" w:color="auto" w:fill="CCEDFF"/>
          </w:tcPr>
          <w:p>
            <w:pPr>
              <w:spacing w:after="0"/>
              <w:rPr>
                <w:sz w:val="21"/>
                <w:szCs w:val="21"/>
                <w:color w:val="auto"/>
              </w:rPr>
            </w:pPr>
          </w:p>
        </w:tc>
        <w:tc>
          <w:tcPr>
            <w:tcW w:w="540" w:type="dxa"/>
            <w:vAlign w:val="bottom"/>
            <w:tcBorders>
              <w:bottom w:val="single" w:sz="8" w:color="CCEDFF"/>
            </w:tcBorders>
            <w:gridSpan w:val="2"/>
            <w:shd w:val="clear" w:color="auto" w:fill="CCED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DFF"/>
            </w:tcBorders>
            <w:shd w:val="clear" w:color="auto" w:fill="CCEDFF"/>
          </w:tcPr>
          <w:p>
            <w:pPr>
              <w:spacing w:after="0"/>
              <w:rPr>
                <w:sz w:val="21"/>
                <w:szCs w:val="21"/>
                <w:color w:val="auto"/>
              </w:rPr>
            </w:pPr>
          </w:p>
        </w:tc>
        <w:tc>
          <w:tcPr>
            <w:tcW w:w="1080" w:type="dxa"/>
            <w:vAlign w:val="bottom"/>
            <w:tcBorders>
              <w:bottom w:val="single" w:sz="8" w:color="CCEDFF"/>
            </w:tcBorders>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DFF"/>
            </w:tcBorders>
            <w:shd w:val="clear" w:color="auto" w:fill="CCEDFF"/>
          </w:tcPr>
          <w:p>
            <w:pPr>
              <w:spacing w:after="0"/>
              <w:rPr>
                <w:sz w:val="21"/>
                <w:szCs w:val="21"/>
                <w:color w:val="auto"/>
              </w:rPr>
            </w:pPr>
          </w:p>
        </w:tc>
        <w:tc>
          <w:tcPr>
            <w:tcW w:w="9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43"/>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Currency conversion impacts of hyper-inflationary economies (g)</w:t>
            </w: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7"/>
        </w:trPr>
        <w:tc>
          <w:tcPr>
            <w:tcW w:w="5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84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(Gain) loss on acquisition-related hedges (j)</w:t>
            </w:r>
          </w:p>
        </w:tc>
        <w:tc>
          <w:tcPr>
            <w:tcW w:w="840" w:type="dxa"/>
            <w:vAlign w:val="bottom"/>
            <w:tcBorders>
              <w:bottom w:val="single" w:sz="8" w:color="CCEDFF"/>
            </w:tcBorders>
            <w:shd w:val="clear" w:color="auto" w:fill="CCEDFF"/>
          </w:tcPr>
          <w:p>
            <w:pPr>
              <w:spacing w:after="0"/>
              <w:rPr>
                <w:sz w:val="21"/>
                <w:szCs w:val="21"/>
                <w:color w:val="auto"/>
              </w:rPr>
            </w:pPr>
          </w:p>
        </w:tc>
        <w:tc>
          <w:tcPr>
            <w:tcW w:w="4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96"/>
              </w:rPr>
              <w:t>(0.02)</w:t>
            </w:r>
          </w:p>
        </w:tc>
        <w:tc>
          <w:tcPr>
            <w:tcW w:w="100" w:type="dxa"/>
            <w:vAlign w:val="bottom"/>
            <w:tcBorders>
              <w:bottom w:val="single" w:sz="8" w:color="CCEDFF"/>
            </w:tcBorders>
            <w:shd w:val="clear" w:color="auto" w:fill="CCEDFF"/>
          </w:tcPr>
          <w:p>
            <w:pPr>
              <w:spacing w:after="0"/>
              <w:rPr>
                <w:sz w:val="21"/>
                <w:szCs w:val="21"/>
                <w:color w:val="auto"/>
              </w:rPr>
            </w:pPr>
          </w:p>
        </w:tc>
        <w:tc>
          <w:tcPr>
            <w:tcW w:w="820" w:type="dxa"/>
            <w:vAlign w:val="bottom"/>
            <w:tcBorders>
              <w:bottom w:val="single" w:sz="8" w:color="CCEDFF"/>
            </w:tcBorders>
            <w:shd w:val="clear" w:color="auto" w:fill="CCEDFF"/>
          </w:tcPr>
          <w:p>
            <w:pPr>
              <w:spacing w:after="0"/>
              <w:rPr>
                <w:sz w:val="21"/>
                <w:szCs w:val="21"/>
                <w:color w:val="auto"/>
              </w:rPr>
            </w:pPr>
          </w:p>
        </w:tc>
        <w:tc>
          <w:tcPr>
            <w:tcW w:w="540" w:type="dxa"/>
            <w:vAlign w:val="bottom"/>
            <w:tcBorders>
              <w:bottom w:val="single" w:sz="8" w:color="CCEDFF"/>
            </w:tcBorders>
            <w:gridSpan w:val="2"/>
            <w:shd w:val="clear" w:color="auto" w:fill="CCED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DFF"/>
            </w:tcBorders>
            <w:shd w:val="clear" w:color="auto" w:fill="CCEDFF"/>
          </w:tcPr>
          <w:p>
            <w:pPr>
              <w:spacing w:after="0"/>
              <w:rPr>
                <w:sz w:val="21"/>
                <w:szCs w:val="21"/>
                <w:color w:val="auto"/>
              </w:rPr>
            </w:pPr>
          </w:p>
        </w:tc>
        <w:tc>
          <w:tcPr>
            <w:tcW w:w="9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DFF"/>
            </w:tcBorders>
            <w:shd w:val="clear" w:color="auto" w:fill="CCEDFF"/>
          </w:tcPr>
          <w:p>
            <w:pPr>
              <w:spacing w:after="0"/>
              <w:rPr>
                <w:sz w:val="21"/>
                <w:szCs w:val="21"/>
                <w:color w:val="auto"/>
              </w:rPr>
            </w:pPr>
          </w:p>
        </w:tc>
        <w:tc>
          <w:tcPr>
            <w:tcW w:w="360" w:type="dxa"/>
            <w:vAlign w:val="bottom"/>
            <w:tcBorders>
              <w:bottom w:val="single" w:sz="8" w:color="CCEDFF"/>
            </w:tcBorders>
            <w:shd w:val="clear" w:color="auto" w:fill="CCEDFF"/>
          </w:tcPr>
          <w:p>
            <w:pPr>
              <w:spacing w:after="0"/>
              <w:rPr>
                <w:sz w:val="21"/>
                <w:szCs w:val="21"/>
                <w:color w:val="auto"/>
              </w:rPr>
            </w:pPr>
          </w:p>
        </w:tc>
        <w:tc>
          <w:tcPr>
            <w:tcW w:w="9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of assets (k)</w:t>
            </w: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(0.02)</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84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Other charges (e)</w:t>
            </w:r>
          </w:p>
        </w:tc>
        <w:tc>
          <w:tcPr>
            <w:tcW w:w="840" w:type="dxa"/>
            <w:vAlign w:val="bottom"/>
            <w:tcBorders>
              <w:bottom w:val="single" w:sz="8" w:color="CCEDFF"/>
            </w:tcBorders>
            <w:shd w:val="clear" w:color="auto" w:fill="CCEDFF"/>
          </w:tcPr>
          <w:p>
            <w:pPr>
              <w:spacing w:after="0"/>
              <w:rPr>
                <w:sz w:val="21"/>
                <w:szCs w:val="21"/>
                <w:color w:val="auto"/>
              </w:rPr>
            </w:pPr>
          </w:p>
        </w:tc>
        <w:tc>
          <w:tcPr>
            <w:tcW w:w="4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DFF"/>
            </w:tcBorders>
            <w:shd w:val="clear" w:color="auto" w:fill="CCEDFF"/>
          </w:tcPr>
          <w:p>
            <w:pPr>
              <w:spacing w:after="0"/>
              <w:rPr>
                <w:sz w:val="21"/>
                <w:szCs w:val="21"/>
                <w:color w:val="auto"/>
              </w:rPr>
            </w:pPr>
          </w:p>
        </w:tc>
        <w:tc>
          <w:tcPr>
            <w:tcW w:w="820" w:type="dxa"/>
            <w:vAlign w:val="bottom"/>
            <w:tcBorders>
              <w:bottom w:val="single" w:sz="8" w:color="CCEDFF"/>
            </w:tcBorders>
            <w:shd w:val="clear" w:color="auto" w:fill="CCEDFF"/>
          </w:tcPr>
          <w:p>
            <w:pPr>
              <w:spacing w:after="0"/>
              <w:rPr>
                <w:sz w:val="21"/>
                <w:szCs w:val="21"/>
                <w:color w:val="auto"/>
              </w:rPr>
            </w:pPr>
          </w:p>
        </w:tc>
        <w:tc>
          <w:tcPr>
            <w:tcW w:w="4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Borders>
              <w:bottom w:val="single" w:sz="8" w:color="CCEDFF"/>
            </w:tcBorders>
            <w:shd w:val="clear" w:color="auto" w:fill="CCEDFF"/>
          </w:tcPr>
          <w:p>
            <w:pPr>
              <w:spacing w:after="0"/>
              <w:rPr>
                <w:sz w:val="21"/>
                <w:szCs w:val="21"/>
                <w:color w:val="auto"/>
              </w:rPr>
            </w:pPr>
          </w:p>
        </w:tc>
        <w:tc>
          <w:tcPr>
            <w:tcW w:w="300" w:type="dxa"/>
            <w:vAlign w:val="bottom"/>
            <w:tcBorders>
              <w:bottom w:val="single" w:sz="8" w:color="CCEDFF"/>
            </w:tcBorders>
            <w:shd w:val="clear" w:color="auto" w:fill="CCEDFF"/>
          </w:tcPr>
          <w:p>
            <w:pPr>
              <w:spacing w:after="0"/>
              <w:rPr>
                <w:sz w:val="21"/>
                <w:szCs w:val="21"/>
                <w:color w:val="auto"/>
              </w:rPr>
            </w:pPr>
          </w:p>
        </w:tc>
        <w:tc>
          <w:tcPr>
            <w:tcW w:w="9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DFF"/>
            </w:tcBorders>
            <w:shd w:val="clear" w:color="auto" w:fill="CCEDFF"/>
          </w:tcPr>
          <w:p>
            <w:pPr>
              <w:spacing w:after="0"/>
              <w:rPr>
                <w:sz w:val="21"/>
                <w:szCs w:val="21"/>
                <w:color w:val="auto"/>
              </w:rPr>
            </w:pPr>
          </w:p>
        </w:tc>
        <w:tc>
          <w:tcPr>
            <w:tcW w:w="360" w:type="dxa"/>
            <w:vAlign w:val="bottom"/>
            <w:tcBorders>
              <w:bottom w:val="single" w:sz="8" w:color="CCEDFF"/>
            </w:tcBorders>
            <w:shd w:val="clear" w:color="auto" w:fill="CCEDFF"/>
          </w:tcPr>
          <w:p>
            <w:pPr>
              <w:spacing w:after="0"/>
              <w:rPr>
                <w:sz w:val="21"/>
                <w:szCs w:val="21"/>
                <w:color w:val="auto"/>
              </w:rPr>
            </w:pPr>
          </w:p>
        </w:tc>
        <w:tc>
          <w:tcPr>
            <w:tcW w:w="9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43"/>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Discrete tax items (m)</w:t>
            </w: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7"/>
        </w:trPr>
        <w:tc>
          <w:tcPr>
            <w:tcW w:w="5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84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Acquisition-related depreciation and amortization (n)</w:t>
            </w:r>
          </w:p>
        </w:tc>
        <w:tc>
          <w:tcPr>
            <w:tcW w:w="840" w:type="dxa"/>
            <w:vAlign w:val="bottom"/>
            <w:tcBorders>
              <w:bottom w:val="single" w:sz="8" w:color="CCEDFF"/>
            </w:tcBorders>
            <w:shd w:val="clear" w:color="auto" w:fill="CCEDFF"/>
          </w:tcPr>
          <w:p>
            <w:pPr>
              <w:spacing w:after="0"/>
              <w:rPr>
                <w:sz w:val="23"/>
                <w:szCs w:val="23"/>
                <w:color w:val="auto"/>
              </w:rPr>
            </w:pPr>
          </w:p>
        </w:tc>
        <w:tc>
          <w:tcPr>
            <w:tcW w:w="4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DFF"/>
            </w:tcBorders>
            <w:shd w:val="clear" w:color="auto" w:fill="CCEDFF"/>
          </w:tcPr>
          <w:p>
            <w:pPr>
              <w:spacing w:after="0"/>
              <w:rPr>
                <w:sz w:val="23"/>
                <w:szCs w:val="23"/>
                <w:color w:val="auto"/>
              </w:rPr>
            </w:pPr>
          </w:p>
        </w:tc>
        <w:tc>
          <w:tcPr>
            <w:tcW w:w="820" w:type="dxa"/>
            <w:vAlign w:val="bottom"/>
            <w:tcBorders>
              <w:bottom w:val="single" w:sz="8" w:color="CCEDFF"/>
            </w:tcBorders>
            <w:shd w:val="clear" w:color="auto" w:fill="CCEDFF"/>
          </w:tcPr>
          <w:p>
            <w:pPr>
              <w:spacing w:after="0"/>
              <w:rPr>
                <w:sz w:val="23"/>
                <w:szCs w:val="23"/>
                <w:color w:val="auto"/>
              </w:rPr>
            </w:pPr>
          </w:p>
        </w:tc>
        <w:tc>
          <w:tcPr>
            <w:tcW w:w="540" w:type="dxa"/>
            <w:vAlign w:val="bottom"/>
            <w:tcBorders>
              <w:bottom w:val="single" w:sz="8" w:color="CCEDFF"/>
            </w:tcBorders>
            <w:gridSpan w:val="2"/>
            <w:shd w:val="clear" w:color="auto" w:fill="CCED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DFF"/>
            </w:tcBorders>
            <w:shd w:val="clear" w:color="auto" w:fill="CCEDFF"/>
          </w:tcPr>
          <w:p>
            <w:pPr>
              <w:spacing w:after="0"/>
              <w:rPr>
                <w:sz w:val="23"/>
                <w:szCs w:val="23"/>
                <w:color w:val="auto"/>
              </w:rPr>
            </w:pPr>
          </w:p>
        </w:tc>
        <w:tc>
          <w:tcPr>
            <w:tcW w:w="9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DFF"/>
            </w:tcBorders>
            <w:shd w:val="clear" w:color="auto" w:fill="CCEDFF"/>
          </w:tcPr>
          <w:p>
            <w:pPr>
              <w:spacing w:after="0"/>
              <w:rPr>
                <w:sz w:val="23"/>
                <w:szCs w:val="23"/>
                <w:color w:val="auto"/>
              </w:rPr>
            </w:pPr>
          </w:p>
        </w:tc>
        <w:tc>
          <w:tcPr>
            <w:tcW w:w="360" w:type="dxa"/>
            <w:vAlign w:val="bottom"/>
            <w:tcBorders>
              <w:bottom w:val="single" w:sz="8" w:color="CCEDFF"/>
            </w:tcBorders>
            <w:shd w:val="clear" w:color="auto" w:fill="CCEDFF"/>
          </w:tcPr>
          <w:p>
            <w:pPr>
              <w:spacing w:after="0"/>
              <w:rPr>
                <w:sz w:val="23"/>
                <w:szCs w:val="23"/>
                <w:color w:val="auto"/>
              </w:rPr>
            </w:pPr>
          </w:p>
        </w:tc>
        <w:tc>
          <w:tcPr>
            <w:tcW w:w="9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earnings per diluted share (r)</w:t>
            </w: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1"/>
        </w:trPr>
        <w:tc>
          <w:tcPr>
            <w:tcW w:w="5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340" w:hanging="332"/>
        <w:spacing w:after="0" w:line="266" w:lineRule="auto"/>
        <w:tabs>
          <w:tab w:leader="none" w:pos="33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Acquisition-related step-up inventory amortization represents the amortization of the fair value step-up in Dipsol’s inventories as a result of the acquisition which is recorded within Cost of goods sold in the Company’s Condensed Consolidated Statements of Operations. See Note 2,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to the Condensed Consolidated Financial Statements for additional information.</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Restructuring and related charges, net represent the costs incurred by the Company associated with the Company’s restructuring program and facility closures. See Note 7, </w:t>
      </w:r>
      <w:r>
        <w:rPr>
          <w:rFonts w:ascii="Times New Roman" w:cs="Times New Roman" w:eastAsia="Times New Roman" w:hAnsi="Times New Roman"/>
          <w:sz w:val="18"/>
          <w:szCs w:val="18"/>
          <w:i w:val="1"/>
          <w:iCs w:val="1"/>
          <w:color w:val="auto"/>
        </w:rPr>
        <w:t>Restructuring and Related Activities</w:t>
      </w:r>
      <w:r>
        <w:rPr>
          <w:rFonts w:ascii="Times New Roman" w:cs="Times New Roman" w:eastAsia="Times New Roman" w:hAnsi="Times New Roman"/>
          <w:sz w:val="18"/>
          <w:szCs w:val="18"/>
          <w:color w:val="auto"/>
        </w:rPr>
        <w:t>, to the Condensed Consolidated Financial Statements for additional information.</w:t>
      </w:r>
    </w:p>
    <w:p>
      <w:pPr>
        <w:spacing w:after="0" w:line="5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expenses include expenses associated with the Company’s recent and potential acquisitions, including legal, financial, consulting and other costs.</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on inventory and other adjustments represents immaterial out-of-period adjustments for inventory and other items and is recorded within Cost of goods sold and SG&amp;A in the Company’s Condensed Consolidated Statements of Operations.</w:t>
      </w:r>
    </w:p>
    <w:p>
      <w:pPr>
        <w:spacing w:after="0" w:line="53"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3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charges include professional fees incurred in connection with tax audits, the non-service components of pension expense, certain consultant and advisory expenses for the Company’s long-term strategic planning and other items. See Note 9, </w:t>
      </w:r>
      <w:r>
        <w:rPr>
          <w:rFonts w:ascii="Times New Roman" w:cs="Times New Roman" w:eastAsia="Times New Roman" w:hAnsi="Times New Roman"/>
          <w:sz w:val="18"/>
          <w:szCs w:val="18"/>
          <w:i w:val="1"/>
          <w:iCs w:val="1"/>
          <w:color w:val="auto"/>
        </w:rPr>
        <w:t>Pension and Other Postretirement Benefits</w:t>
      </w:r>
      <w:r>
        <w:rPr>
          <w:rFonts w:ascii="Times New Roman" w:cs="Times New Roman" w:eastAsia="Times New Roman" w:hAnsi="Times New Roman"/>
          <w:sz w:val="18"/>
          <w:szCs w:val="18"/>
          <w:color w:val="auto"/>
        </w:rPr>
        <w:t xml:space="preserve">, and Note 10, </w:t>
      </w:r>
      <w:r>
        <w:rPr>
          <w:rFonts w:ascii="Times New Roman" w:cs="Times New Roman" w:eastAsia="Times New Roman" w:hAnsi="Times New Roman"/>
          <w:sz w:val="18"/>
          <w:szCs w:val="18"/>
          <w:i w:val="1"/>
          <w:iCs w:val="1"/>
          <w:color w:val="auto"/>
        </w:rPr>
        <w:t>Other (expense) income, net,</w:t>
      </w:r>
      <w:r>
        <w:rPr>
          <w:rFonts w:ascii="Times New Roman" w:cs="Times New Roman" w:eastAsia="Times New Roman" w:hAnsi="Times New Roman"/>
          <w:sz w:val="18"/>
          <w:szCs w:val="18"/>
          <w:color w:val="auto"/>
        </w:rPr>
        <w:t xml:space="preserve"> to the Condensed Consolidated Financial Statements for additional information.</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income in a captive insurance company represents the after-tax income attributable to the Company’s interest in Primex, Ltd. (“Primex”), a captive insurance company. The Company holds a 32% investment in and has significant influence over Primex, and therefore accounts for this interest under the equity method of accounting.</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conversion impacts of hyper-inflationary economies represents the foreign currency remeasurement impacts associated with the Company’s affiliates in Argentina and Türkiye whose local economies are designated as hyper-inflationary under U.S. GAAP. These pre-tax foreign currency remeasurement impacts are not deductible for tax purposes for both the three and six months ended June 30, 2025 and 2024. The charges incurred relate to the immediate recognition of foreign currency remeasurement in the Condensed Consolidated Statements of Operations.</w:t>
      </w:r>
    </w:p>
    <w:p>
      <w:pPr>
        <w:spacing w:after="0" w:line="71" w:lineRule="exact"/>
        <w:rPr>
          <w:rFonts w:ascii="Times New Roman" w:cs="Times New Roman" w:eastAsia="Times New Roman" w:hAnsi="Times New Roman"/>
          <w:sz w:val="18"/>
          <w:szCs w:val="18"/>
          <w:color w:val="auto"/>
        </w:rPr>
      </w:pPr>
    </w:p>
    <w:p>
      <w:pPr>
        <w:ind w:left="340" w:hanging="332"/>
        <w:spacing w:after="0" w:line="282" w:lineRule="auto"/>
        <w:tabs>
          <w:tab w:leader="none" w:pos="3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insolvency costs represent charges associated with a specific reserve for trade accounts receivable within the Company’s EMEA reportable segment related to a specific customer that filed for bankruptcy protection.</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Product liability claim costs, net represents expense related to the payments by the Company in connection with a product liability dispute with a customer, net of insurance recoveries during the six months ended June 30, 2024. See Note 10, </w:t>
      </w:r>
      <w:r>
        <w:rPr>
          <w:rFonts w:ascii="Times New Roman" w:cs="Times New Roman" w:eastAsia="Times New Roman" w:hAnsi="Times New Roman"/>
          <w:sz w:val="18"/>
          <w:szCs w:val="18"/>
          <w:i w:val="1"/>
          <w:iCs w:val="1"/>
          <w:color w:val="auto"/>
        </w:rPr>
        <w:t>Other (expense) income, net,</w:t>
      </w:r>
      <w:r>
        <w:rPr>
          <w:rFonts w:ascii="Times New Roman" w:cs="Times New Roman" w:eastAsia="Times New Roman" w:hAnsi="Times New Roman"/>
          <w:sz w:val="18"/>
          <w:szCs w:val="18"/>
          <w:color w:val="auto"/>
        </w:rPr>
        <w:t xml:space="preserve"> to the Condensed Consolidated Financial Statements for additional information.</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31" w:lineRule="exact"/>
        <w:rPr>
          <w:sz w:val="20"/>
          <w:szCs w:val="20"/>
          <w:color w:val="auto"/>
        </w:rPr>
      </w:pPr>
    </w:p>
    <w:p>
      <w:pPr>
        <w:jc w:val="both"/>
        <w:ind w:left="340" w:hanging="332"/>
        <w:spacing w:after="0" w:line="261"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(Gain) loss on acquisition-related hedges represents the mark-to-market and settlement of the foreign exchange forward contracts entered into March 2025 for an aggregate notional amount totaling $155.3 million to hedge the variability of exchange rate impacts between the U.S. Dollar and Japanese yen in connection with the acquisition of Dipsol. See Note 2, </w:t>
      </w:r>
      <w:r>
        <w:rPr>
          <w:rFonts w:ascii="Times New Roman" w:cs="Times New Roman" w:eastAsia="Times New Roman" w:hAnsi="Times New Roman"/>
          <w:sz w:val="18"/>
          <w:szCs w:val="18"/>
          <w:i w:val="1"/>
          <w:iCs w:val="1"/>
          <w:color w:val="auto"/>
        </w:rPr>
        <w:t>Business Acquisitions</w:t>
      </w:r>
      <w:r>
        <w:rPr>
          <w:rFonts w:ascii="Times New Roman" w:cs="Times New Roman" w:eastAsia="Times New Roman" w:hAnsi="Times New Roman"/>
          <w:sz w:val="18"/>
          <w:szCs w:val="18"/>
          <w:color w:val="auto"/>
        </w:rPr>
        <w:t xml:space="preserve">, and Note 17, </w:t>
      </w:r>
      <w:r>
        <w:rPr>
          <w:rFonts w:ascii="Times New Roman" w:cs="Times New Roman" w:eastAsia="Times New Roman" w:hAnsi="Times New Roman"/>
          <w:sz w:val="18"/>
          <w:szCs w:val="18"/>
          <w:i w:val="1"/>
          <w:iCs w:val="1"/>
          <w:color w:val="auto"/>
        </w:rPr>
        <w:t>Hedging Activities</w:t>
      </w:r>
      <w:r>
        <w:rPr>
          <w:rFonts w:ascii="Times New Roman" w:cs="Times New Roman" w:eastAsia="Times New Roman" w:hAnsi="Times New Roman"/>
          <w:sz w:val="18"/>
          <w:szCs w:val="18"/>
          <w:color w:val="auto"/>
        </w:rPr>
        <w:t>, to the Condensed Consolidated Financial Statements for additional information.</w:t>
      </w:r>
    </w:p>
    <w:p>
      <w:pPr>
        <w:spacing w:after="0" w:line="7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Gain on sale of assets represents the gain recognized on the sale of certain property previously classified as held for sale and gain on sale of other assets that are not considered core to the Company’s operations. See Note 7, </w:t>
      </w:r>
      <w:r>
        <w:rPr>
          <w:rFonts w:ascii="Times New Roman" w:cs="Times New Roman" w:eastAsia="Times New Roman" w:hAnsi="Times New Roman"/>
          <w:sz w:val="18"/>
          <w:szCs w:val="18"/>
          <w:i w:val="1"/>
          <w:iCs w:val="1"/>
          <w:color w:val="auto"/>
        </w:rPr>
        <w:t>Restructuring and Related Activities</w:t>
      </w:r>
      <w:r>
        <w:rPr>
          <w:rFonts w:ascii="Times New Roman" w:cs="Times New Roman" w:eastAsia="Times New Roman" w:hAnsi="Times New Roman"/>
          <w:sz w:val="18"/>
          <w:szCs w:val="18"/>
          <w:color w:val="auto"/>
        </w:rPr>
        <w:t>, to the Condensed Consolidated Financial Statements for additional information.</w:t>
      </w:r>
    </w:p>
    <w:p>
      <w:pPr>
        <w:spacing w:after="0" w:line="67"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Impairment charges represents the non-cash charge taken to write down the remaining carrying value of goodwill in the EMEA reportable segment. See Note 13,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xml:space="preserve"> to the Condensed Consolidated Financial Statements for additional information.</w:t>
      </w:r>
    </w:p>
    <w:p>
      <w:pPr>
        <w:spacing w:after="0" w:line="51" w:lineRule="exact"/>
        <w:rPr>
          <w:rFonts w:ascii="Times New Roman" w:cs="Times New Roman" w:eastAsia="Times New Roman" w:hAnsi="Times New Roman"/>
          <w:sz w:val="18"/>
          <w:szCs w:val="18"/>
          <w:color w:val="auto"/>
        </w:rPr>
      </w:pPr>
    </w:p>
    <w:p>
      <w:pPr>
        <w:ind w:left="340" w:hanging="332"/>
        <w:spacing w:after="0" w:line="284" w:lineRule="auto"/>
        <w:tabs>
          <w:tab w:leader="none" w:pos="33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Discrete tax items include certain impacts of uncertain tax positions. See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to the Condensed Consolidated Financial Statements for more information.</w:t>
      </w:r>
    </w:p>
    <w:p>
      <w:pPr>
        <w:spacing w:after="0" w:line="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Acquisition-related depreciation and amortization represents amortization expense recorded for definite-lived intangible assets in connection with the Dipsol and Natech acquisitions and depreciation expense recorded in connection with the fair value step-up of Dipsol’s property, plant, and equipment. See Note 2, </w:t>
      </w:r>
      <w:r>
        <w:rPr>
          <w:rFonts w:ascii="Times New Roman" w:cs="Times New Roman" w:eastAsia="Times New Roman" w:hAnsi="Times New Roman"/>
          <w:sz w:val="18"/>
          <w:szCs w:val="18"/>
          <w:i w:val="1"/>
          <w:iCs w:val="1"/>
          <w:color w:val="auto"/>
        </w:rPr>
        <w:t>Business Acquisitions</w:t>
      </w:r>
      <w:r>
        <w:rPr>
          <w:rFonts w:ascii="Times New Roman" w:cs="Times New Roman" w:eastAsia="Times New Roman" w:hAnsi="Times New Roman"/>
          <w:sz w:val="18"/>
          <w:szCs w:val="18"/>
          <w:color w:val="auto"/>
        </w:rPr>
        <w:t xml:space="preserve">, and Note 13,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for more information.</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for the three and six months ended June 30, 2025 and 2024 each includes approximately $0.2 million and $0.5 million, respectively, of amortization expense recorded within equity in net income of associated companies in the Company’s Condensed Consolidated Statements of Operations. This is attributable to the amortization of the fair value purchase accounting step-up in connection with the acquisition of the Company’s 50% equity interest in Korea Houghton Corporation.</w:t>
      </w:r>
    </w:p>
    <w:p>
      <w:pPr>
        <w:spacing w:after="0" w:line="7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on income before equity in net income of associated companies – adjusted presents the impact of any current and deferred income tax expense (benefit), as applicable, of the reconciling items presented in the reconciliation of net income attributable to Quaker Chemical Corporation to adjusted EBITDA and was determined utilizing the applicable rates in the taxing jurisdictions in which the adjustments occurred, subject to deductibility. This caption also includes the impact of specific tax charges and benefits for the three and six months ended June 30, 2025 and 2024.</w:t>
      </w:r>
    </w:p>
    <w:p>
      <w:pPr>
        <w:spacing w:after="0" w:line="71" w:lineRule="exact"/>
        <w:rPr>
          <w:rFonts w:ascii="Times New Roman" w:cs="Times New Roman" w:eastAsia="Times New Roman" w:hAnsi="Times New Roman"/>
          <w:sz w:val="18"/>
          <w:szCs w:val="18"/>
          <w:color w:val="auto"/>
        </w:rPr>
      </w:pPr>
    </w:p>
    <w:p>
      <w:pPr>
        <w:ind w:left="340" w:hanging="332"/>
        <w:spacing w:after="0" w:line="282"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calculates adjusted EBITDA margin, non-GAAP operating margin, and non-GAAP gross margin as the percentage of adjusted EBITDA, non-GAAP operating income, and non-GAAP gross profit to consolidated net sales.</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given period, the Company calculates non-GAAP earnings per diluted share as non-GAAP net income attributable to the Company per weighted average diluted shares outstanding using the “two-class share method”.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Company’s off-balance sheet items outstanding as of June 30, 2025 include approximately $7 million of bank letters of credit and guarantees. The bank letters of credit and guarantees are not significant to the Company’s liquidity or capital resources.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May Affect Our Future Results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Certain information included in this Report and other materials filed or to be filed by us with the SEC, as well as information included in oral statements or other written statements made or to be made by us, contain or may contain forward-looking statements that fall under the safe harbor provisions of the Private Securities Litigation Reform Act of 1995 and the Securities Act of 1933, as amended. These statements can be identified by the fact that they do not relate strictly to historical or current facts and can generally be identified by words such as “may,” “could,” “should,” “would,” “believe,” “expect,” “anticipate,” “estimate,” “intend,” “outlook,” “target,” “possible,” “potential,” “plan” or similar expressions, but these terms are not the exclusive means of identifying such statements. Such statements include information relating to current and future business activities, operational matters, capital spending, and financing sources. We have based these forward-looking statements on assumptions, projections and expectations about future events that we believe are reasonable based on currently available information, including statements regarding the potential effects of economic downturns, tariffs, including retaliatory tariffs, “trade wars” and uncertainty surrounding changes in tariffs, inflation, and global supply chain constraints on the Company’s business, results of operations, and financial condition; our expectation that we will maintain sufficient liquidity and remain in compliance with the terms of the Company’s credit facility; expectations about future demand and raw material costs; and statements regarding the impact of increased raw material costs and pricing initiatives.</w:t>
      </w:r>
    </w:p>
    <w:p>
      <w:pPr>
        <w:spacing w:after="0" w:line="8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forward-looking statements include statements with respect to our beliefs, plans, objectives, goals, expectations, anticipations, intentions, financial condition, results of operations, future performance, and business, which may differ materially from expectations, estimates and projections of many factors, including, but not limited to:</w:t>
      </w:r>
    </w:p>
    <w:p>
      <w:pPr>
        <w:spacing w:after="0" w:line="68" w:lineRule="exact"/>
        <w:rPr>
          <w:sz w:val="20"/>
          <w:szCs w:val="20"/>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extent of the impacts on our business from acts of war, terrorism and military conflicts, including those in Ukraine and the Middle East, as well as related economic, political and governmental actions taken by various governments and governmental organizations in response;</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increases in raw material costs, supply chain constraints and other impacts of economic downturns, as well as high interest rates and their impact on our and our customers’ business operations;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timing, impacts, benefits and other uncertainties of acquisitions and divestitures, including our ability to realize synergies, integrate acquisitions and acquired businesses or separate divested assets and businesses;</w:t>
      </w:r>
    </w:p>
    <w:p>
      <w:pPr>
        <w:spacing w:after="0" w:line="53" w:lineRule="exact"/>
        <w:rPr>
          <w:rFonts w:ascii="Times New Roman" w:cs="Times New Roman" w:eastAsia="Times New Roman" w:hAnsi="Times New Roman"/>
          <w:sz w:val="18"/>
          <w:szCs w:val="18"/>
          <w:color w:val="auto"/>
        </w:rPr>
      </w:pPr>
    </w:p>
    <w:p>
      <w:pPr>
        <w:ind w:left="660" w:right="20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macroeconomic factors, including potential for changes in global and regional economic conditions, the possibility of global or regional slowdowns or recessions, other macroeconomic stresses and uncertainties, including potential impacts related to the recent actions of the federal government and responses thereto, as well as other political and geopolitical events, civil disturbances and endemics/pandemics or extreme weather events and other natural disasters that may adversely affect regional economic conditions and housing market;</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political conditions and legislative and regulatory activity (or inactivity), including adoption of (or failure to adopt) new laws, regulations and executive orders, changes in existing laws, regulations and executive orders or the way they are interpreted or applied, and adoption of laws, regulations or executive orders that conflict among jurisdictions in which we operate; and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results and plans including our sustainability goals and enterprise strategy.</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major risk is that demand for the Company’s products and services is largely derived from the demand for our customers’ products, which subjects the Company to uncertainties related to downturns in a customer’s business and unanticipated customer production slowdowns and shutdowns.</w:t>
      </w:r>
    </w:p>
    <w:p>
      <w:pPr>
        <w:spacing w:after="0" w:line="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Other major risks and uncertainties include, but are not limited to, legislative and regulatory developments including changes to existing laws and regulations, or the way they are interpreted, applied or enforced; tariffs, trade restrictions and the economic and other sanctions imposed by other nations on Russia and Belarus and/or other governments or government organizations; suspensions of activities in Russia by many multinational companies; foreign currency fluctuations; significant changes in applicable tax rates and regulations and the potential impacts therefrom, including those arising from H.R.1, commonly known as the “One Big Beautiful Bill Act”; future terrorist attacks and other acts of violence; the impacts of consolidation in our industry, including loss or consolidation of a major customer; the effects of climate change, fires or other natural disasters; and the potential occurrence of cyber-security breaches, cyber-security attacks, and other technology outages and security incidents. Furthermore, the Company is subject to the same business cycles as those experienced by our customers in the steel, automotive, aerospace, industrial equipment, aluminum, and durable goods industries.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3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Any or all of the forward-looking statements in this Report, in the Company’s 2024 Form 10-K and in any other public statements we make may prove to be incorrect due to inaccurate assumptions or unforeseen risks and uncertainties. In addition to the factors above, our forward-looking statements are qualified with respect to the risks disclosed elsewhere in this Report, including Item 2, Management’s Discussion and Analysis of Financial Condition and Results of Operations. These risks, uncertainties, and possible inaccurate assumptions relevant to our business could materially impact our future performance and cause our actual results to differ materially from expected and historical results. We undertake no obligation to publicly update any forward-looking statement, whether as a result of new information, future events or otherwise. However, additional disclosures on related subjects can be found in the Company’s subsequent reports on Forms 10-K, 10-Q, 8-K and other related filings. We caution you not to place undue reliance on our forward-looking statements.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Quaker Houghton on the Internet</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Financial results, news and other information about Quaker Houghton can be accessed from the Company’s website at https://www.quakerhoughton.com. This site includes important information on the Company’s locations, products and services, financial reports, news releases and career opportunities. The Company’s periodic and current reports on Forms 10-K, 10-Q, 8-K, and other filings, including exhibits and supplemental schedules filed therewith, and amendments to those reports, filed with the SEC are available on the Company’s website, free of charge, as soon as reasonably practicable after they are electronically filed with or furnished to the SEC. Information contained on, or that may be accessed through, the Company’s website is not incorporated by reference in this Report and, accordingly, you should not consider that information part of this Report.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evaluated the information required under this Item that was disclosed in Part II, Item 7A, of our Annual Report on Form 10-K for the year ended December 31, 2024, and we believe there has been no material change to that information.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As required by Rule 13a-15(b) under the Securities Exchange Act of 1934, as amended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our management, including our principal executive officer and principal financial officer, has evaluated the effectiveness of our disclosure controls and procedures (as defined in Rule 13a-15(e) under the Exchange Act) as of the end of the period covered by this Report. Based on that evaluation, our principal executive officer and our principal financial officer have concluded that, as of June 30, 2025, the end of the period covered by this Report, our disclosure controls and procedures (as defined in Rule 13a-15(e) under the Exchange Act) were effective.</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As required by Rule 13a-15(d) under the Exchange Act, our management, including our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and principal financial officer, has evaluated our internal control over financial reporting to determine whether any changes to our internal control over financial reporting occurred during the quarter ended June 30, 2025 that have materially affected, or are reasonably likely to materially affect, our internal control over financial reporting. Based on that evaluation, there were no changes that have materially affected, or are reasonably likely to materially affect, our internal control over financial reporting during the quarter ended June 30, 2025.</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3 and 4 of Part II are inapplicable and have been omitted.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Incorporated by reference is the information in Note 18,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Condensed Consolidated Financial Statements in Part I, Item 1, of this Report.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ind w:right="40" w:firstLine="324"/>
        <w:spacing w:after="0" w:line="237" w:lineRule="auto"/>
        <w:rPr>
          <w:sz w:val="20"/>
          <w:szCs w:val="20"/>
          <w:color w:val="auto"/>
        </w:rPr>
      </w:pPr>
      <w:r>
        <w:rPr>
          <w:rFonts w:ascii="Times New Roman" w:cs="Times New Roman" w:eastAsia="Times New Roman" w:hAnsi="Times New Roman"/>
          <w:sz w:val="18"/>
          <w:szCs w:val="18"/>
          <w:color w:val="auto"/>
        </w:rPr>
        <w:t>The Company’s business, financial condition, results of operations and cash flows are subject to various risks that could cause actual results to vary materially from recent results or from anticipated future results. In addition to the other information set forth in this Report, you should carefully consider the risk factors previously disclosed in Part I, Item 1A of the Company’s 2024 Form 10-K. There have been no material changes to the risk factors described therein. However, the primary and secondary impacts of recent government actions including tariffs and trade policies, have impacted the global economy, disrupted global supply chains, created significant uncertainty and volatility in financial markets, and increased the risk of recession and elevated unemployment levels, and those conditions could continue or worsen. Accordingly, these actions and their impact on, among other things, the macroeconomic environment and regulatory policies could exacerbate the other risks and uncertainties set forth in “Item 1A. Risk Factors” in our 2024 10-K and could negatively impact our businesses and financial results.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shares of the Company’s common stock acquired by the Company during the period covered by this Report:</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40" w:type="dxa"/>
            <w:vAlign w:val="bottom"/>
          </w:tcPr>
          <w:p>
            <w:pPr>
              <w:spacing w:after="0"/>
              <w:rPr>
                <w:sz w:val="18"/>
                <w:szCs w:val="18"/>
                <w:color w:val="auto"/>
              </w:rPr>
            </w:pPr>
          </w:p>
        </w:tc>
        <w:tc>
          <w:tcPr>
            <w:tcW w:w="19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w:t>
            </w:r>
          </w:p>
        </w:tc>
      </w:tr>
      <w:tr>
        <w:trPr>
          <w:trHeight w:val="216"/>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w:t>
            </w:r>
          </w:p>
        </w:tc>
        <w:tc>
          <w:tcPr>
            <w:tcW w:w="280" w:type="dxa"/>
            <w:vAlign w:val="bottom"/>
          </w:tcPr>
          <w:p>
            <w:pPr>
              <w:spacing w:after="0"/>
              <w:rPr>
                <w:sz w:val="18"/>
                <w:szCs w:val="18"/>
                <w:color w:val="auto"/>
              </w:rPr>
            </w:pPr>
          </w:p>
        </w:tc>
        <w:tc>
          <w:tcPr>
            <w:tcW w:w="18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r>
      <w:tr>
        <w:trPr>
          <w:trHeight w:val="216"/>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280" w:type="dxa"/>
            <w:vAlign w:val="bottom"/>
          </w:tcPr>
          <w:p>
            <w:pPr>
              <w:spacing w:after="0"/>
              <w:rPr>
                <w:sz w:val="18"/>
                <w:szCs w:val="18"/>
                <w:color w:val="auto"/>
              </w:rPr>
            </w:pPr>
          </w:p>
        </w:tc>
        <w:tc>
          <w:tcPr>
            <w:tcW w:w="18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Shares Purchased as part</w:t>
            </w:r>
          </w:p>
        </w:tc>
        <w:tc>
          <w:tcPr>
            <w:tcW w:w="2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Shares that May Yet be</w:t>
            </w:r>
          </w:p>
        </w:tc>
      </w:tr>
      <w:tr>
        <w:trPr>
          <w:trHeight w:val="216"/>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280" w:type="dxa"/>
            <w:vAlign w:val="bottom"/>
          </w:tcPr>
          <w:p>
            <w:pPr>
              <w:spacing w:after="0"/>
              <w:rPr>
                <w:sz w:val="18"/>
                <w:szCs w:val="18"/>
                <w:color w:val="auto"/>
              </w:rPr>
            </w:pPr>
          </w:p>
        </w:tc>
        <w:tc>
          <w:tcPr>
            <w:tcW w:w="18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of Publicly Announced</w:t>
            </w:r>
          </w:p>
        </w:tc>
        <w:tc>
          <w:tcPr>
            <w:tcW w:w="140" w:type="dxa"/>
            <w:vAlign w:val="bottom"/>
          </w:tcPr>
          <w:p>
            <w:pPr>
              <w:spacing w:after="0"/>
              <w:rPr>
                <w:sz w:val="18"/>
                <w:szCs w:val="18"/>
                <w:color w:val="auto"/>
              </w:rPr>
            </w:pPr>
          </w:p>
        </w:tc>
        <w:tc>
          <w:tcPr>
            <w:tcW w:w="19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Purchased Under the</w:t>
            </w:r>
          </w:p>
        </w:tc>
      </w:tr>
      <w:tr>
        <w:trPr>
          <w:trHeight w:val="238"/>
        </w:trPr>
        <w:tc>
          <w:tcPr>
            <w:tcW w:w="270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Purchased (1)(2)</w:t>
            </w:r>
          </w:p>
        </w:tc>
        <w:tc>
          <w:tcPr>
            <w:tcW w:w="280" w:type="dxa"/>
            <w:vAlign w:val="bottom"/>
          </w:tcPr>
          <w:p>
            <w:pPr>
              <w:spacing w:after="0"/>
              <w:rPr>
                <w:sz w:val="20"/>
                <w:szCs w:val="20"/>
                <w:color w:val="auto"/>
              </w:rPr>
            </w:pPr>
          </w:p>
        </w:tc>
        <w:tc>
          <w:tcPr>
            <w:tcW w:w="18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Per Share (1)(2)</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Plans or Programs (2)</w:t>
            </w:r>
          </w:p>
        </w:tc>
        <w:tc>
          <w:tcPr>
            <w:tcW w:w="140" w:type="dxa"/>
            <w:vAlign w:val="bottom"/>
          </w:tcPr>
          <w:p>
            <w:pPr>
              <w:spacing w:after="0"/>
              <w:rPr>
                <w:sz w:val="20"/>
                <w:szCs w:val="20"/>
                <w:color w:val="auto"/>
              </w:rPr>
            </w:pPr>
          </w:p>
        </w:tc>
        <w:tc>
          <w:tcPr>
            <w:tcW w:w="19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Plans or Programs (2)</w:t>
            </w:r>
          </w:p>
        </w:tc>
      </w:tr>
      <w:tr>
        <w:trPr>
          <w:trHeight w:val="27"/>
        </w:trPr>
        <w:tc>
          <w:tcPr>
            <w:tcW w:w="2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3"/>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 April 30</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114.19</w:t>
            </w:r>
          </w:p>
        </w:tc>
        <w:tc>
          <w:tcPr>
            <w:tcW w:w="8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100,758,700</w:t>
            </w:r>
          </w:p>
        </w:tc>
      </w:tr>
      <w:tr>
        <w:trPr>
          <w:trHeight w:val="24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 May 31</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107.95</w:t>
            </w:r>
          </w:p>
        </w:tc>
        <w:tc>
          <w:tcPr>
            <w:tcW w:w="8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84,565,774</w:t>
            </w:r>
          </w:p>
        </w:tc>
      </w:tr>
      <w:tr>
        <w:trPr>
          <w:trHeight w:val="27"/>
        </w:trPr>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 June 30</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146,113</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112.93</w:t>
            </w:r>
          </w:p>
        </w:tc>
        <w:tc>
          <w:tcPr>
            <w:tcW w:w="8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146,113</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68,065,837</w:t>
            </w:r>
          </w:p>
        </w:tc>
      </w:tr>
      <w:tr>
        <w:trPr>
          <w:trHeight w:val="257"/>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296,309</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110.41</w:t>
            </w:r>
          </w:p>
        </w:tc>
        <w:tc>
          <w:tcPr>
            <w:tcW w:w="80" w:type="dxa"/>
            <w:vAlign w:val="bottom"/>
          </w:tcPr>
          <w:p>
            <w:pPr>
              <w:spacing w:after="0"/>
              <w:rPr>
                <w:sz w:val="22"/>
                <w:szCs w:val="22"/>
                <w:color w:val="auto"/>
              </w:rPr>
            </w:pP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296,113</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68,065,837</w:t>
            </w:r>
          </w:p>
        </w:tc>
      </w:tr>
      <w:tr>
        <w:trPr>
          <w:trHeight w:val="20"/>
        </w:trPr>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60" w:hanging="328"/>
        <w:spacing w:after="0" w:line="261" w:lineRule="auto"/>
        <w:tabs>
          <w:tab w:leader="none" w:pos="6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196 of these shares were acquired from employees related to the surrender of Quaker Chemical Corporation shares in payment of the vesting of restricted stock awards or units. The price paid for shares acquired from employees pursuant to employee benefit and share-based compensation plans is based on the closing price of the Company’s common stock on the date of vesting as specified by the plan pursuant to which the applicable option, restricted stock award, or restricted stock unit was granted.</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28, 2024, the Board of Directors of the Company approved, and the Company announced, a share repurchase program, pursuant to which the Company is authorized to repurchase up to $150 million of Quaker Chemical Corporation common stock (the “2024 Share Repurchase Program”), which replaced the prior authorization and has no expiration date. The number of shares to be repurchased and the timing of such transactions will depend on a variety of factors, including market conditions.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 on the Payment of Dividends</w:t>
      </w:r>
    </w:p>
    <w:p>
      <w:pPr>
        <w:spacing w:after="0" w:line="117"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Credit Facility has certain limitations on the payment of dividends and other so-called restricted payment covenants. See Note 14,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to the Condensed Consolidated Financial Statements, in Part I, Item 1, of this Report.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 and Policies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director or officer (as defined in Rule 16a-1(f) promulgated under the Exchange Act) of the Company adopted or terminated any Rule 10b5-1 trading arrangement or any non-Rule 10b5-1 trading arrangement (as such terms are defined in Item 408 of Regulation S-K) during the quarter ended June 30,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1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Table of Content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Exhibits</w:t>
            </w:r>
          </w:p>
        </w:tc>
        <w:tc>
          <w:tcPr>
            <w:tcW w:w="2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60" w:type="dxa"/>
            <w:vAlign w:val="bottom"/>
            <w:gridSpan w:val="9"/>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Amended and Restated Articles of Incorporation (as amended through July 24, 2019). Incorporated by reference to Exhibit 3.1 as</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962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filed by the Registrant with its quarterly report on Form 10-Q filed on August 1,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60" w:type="dxa"/>
            <w:vAlign w:val="bottom"/>
            <w:gridSpan w:val="9"/>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Amended and Restated By-laws (effective December 19, 2022). Incorporated by reference to Exhibit 3.1 as filed by the Registrant</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964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within its current report on Form 8-K on December 20, 2022.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20" w:type="dxa"/>
            <w:vAlign w:val="bottom"/>
            <w:shd w:val="clear" w:color="auto" w:fill="0000FF"/>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of the Company pursuant to Rule 13a-14(a) of the Securities Exchange Act of 1934.*</w:t>
            </w:r>
          </w:p>
        </w:tc>
        <w:tc>
          <w:tcPr>
            <w:tcW w:w="58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6900" w:type="dxa"/>
            <w:vAlign w:val="bottom"/>
            <w:gridSpan w:val="3"/>
          </w:tcPr>
          <w:p>
            <w:pPr>
              <w:spacing w:after="0"/>
              <w:rPr>
                <w:sz w:val="5"/>
                <w:szCs w:val="5"/>
                <w:color w:val="auto"/>
              </w:rPr>
            </w:pPr>
          </w:p>
        </w:tc>
        <w:tc>
          <w:tcPr>
            <w:tcW w:w="60" w:type="dxa"/>
            <w:vAlign w:val="bottom"/>
          </w:tcPr>
          <w:p>
            <w:pPr>
              <w:spacing w:after="0"/>
              <w:rPr>
                <w:sz w:val="5"/>
                <w:szCs w:val="5"/>
                <w:color w:val="auto"/>
              </w:rPr>
            </w:pPr>
          </w:p>
        </w:tc>
        <w:tc>
          <w:tcPr>
            <w:tcW w:w="20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2"/>
                <w:szCs w:val="22"/>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of the Company pursuant to Rule 13a-14(a) of the Securities Exchange Act of 1934.*</w:t>
            </w:r>
          </w:p>
        </w:tc>
        <w:tc>
          <w:tcPr>
            <w:tcW w:w="640" w:type="dxa"/>
            <w:vAlign w:val="bottom"/>
            <w:gridSpan w:val="4"/>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6900" w:type="dxa"/>
            <w:vAlign w:val="bottom"/>
            <w:gridSpan w:val="3"/>
          </w:tcPr>
          <w:p>
            <w:pPr>
              <w:spacing w:after="0"/>
              <w:rPr>
                <w:sz w:val="5"/>
                <w:szCs w:val="5"/>
                <w:color w:val="auto"/>
              </w:rPr>
            </w:pPr>
          </w:p>
        </w:tc>
        <w:tc>
          <w:tcPr>
            <w:tcW w:w="60" w:type="dxa"/>
            <w:vAlign w:val="bottom"/>
          </w:tcPr>
          <w:p>
            <w:pPr>
              <w:spacing w:after="0"/>
              <w:rPr>
                <w:sz w:val="5"/>
                <w:szCs w:val="5"/>
                <w:color w:val="auto"/>
              </w:rPr>
            </w:pPr>
          </w:p>
        </w:tc>
        <w:tc>
          <w:tcPr>
            <w:tcW w:w="2060" w:type="dxa"/>
            <w:vAlign w:val="bottom"/>
          </w:tcPr>
          <w:p>
            <w:pPr>
              <w:spacing w:after="0"/>
              <w:rPr>
                <w:sz w:val="5"/>
                <w:szCs w:val="5"/>
                <w:color w:val="auto"/>
              </w:rPr>
            </w:pPr>
          </w:p>
        </w:tc>
        <w:tc>
          <w:tcPr>
            <w:tcW w:w="6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2"/>
                <w:szCs w:val="22"/>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9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of the Company Pursuant to 18 U.S. C. Section 1350.**</w:t>
            </w:r>
          </w:p>
        </w:tc>
        <w:tc>
          <w:tcPr>
            <w:tcW w:w="2700" w:type="dxa"/>
            <w:vAlign w:val="bottom"/>
            <w:gridSpan w:val="5"/>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6900" w:type="dxa"/>
            <w:vAlign w:val="bottom"/>
            <w:gridSpan w:val="3"/>
          </w:tcPr>
          <w:p>
            <w:pPr>
              <w:spacing w:after="0"/>
              <w:rPr>
                <w:sz w:val="5"/>
                <w:szCs w:val="5"/>
                <w:color w:val="auto"/>
              </w:rPr>
            </w:pPr>
          </w:p>
        </w:tc>
        <w:tc>
          <w:tcPr>
            <w:tcW w:w="60" w:type="dxa"/>
            <w:vAlign w:val="bottom"/>
          </w:tcPr>
          <w:p>
            <w:pPr>
              <w:spacing w:after="0"/>
              <w:rPr>
                <w:sz w:val="5"/>
                <w:szCs w:val="5"/>
                <w:color w:val="auto"/>
              </w:rPr>
            </w:pPr>
          </w:p>
        </w:tc>
        <w:tc>
          <w:tcPr>
            <w:tcW w:w="27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2"/>
                <w:szCs w:val="22"/>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of the Company Pursuant to 18 U.S. C. Section 1350.**</w:t>
            </w:r>
          </w:p>
        </w:tc>
        <w:tc>
          <w:tcPr>
            <w:tcW w:w="2760" w:type="dxa"/>
            <w:vAlign w:val="bottom"/>
            <w:gridSpan w:val="6"/>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6900" w:type="dxa"/>
            <w:vAlign w:val="bottom"/>
            <w:gridSpan w:val="3"/>
          </w:tcPr>
          <w:p>
            <w:pPr>
              <w:spacing w:after="0"/>
              <w:rPr>
                <w:sz w:val="5"/>
                <w:szCs w:val="5"/>
                <w:color w:val="auto"/>
              </w:rPr>
            </w:pPr>
          </w:p>
        </w:tc>
        <w:tc>
          <w:tcPr>
            <w:tcW w:w="27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70"/>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Schema Document*</w:t>
            </w:r>
          </w:p>
        </w:tc>
        <w:tc>
          <w:tcPr>
            <w:tcW w:w="0" w:type="dxa"/>
            <w:vAlign w:val="bottom"/>
          </w:tcPr>
          <w:p>
            <w:pPr>
              <w:spacing w:after="0"/>
              <w:rPr>
                <w:sz w:val="1"/>
                <w:szCs w:val="1"/>
                <w:color w:val="auto"/>
              </w:rPr>
            </w:pPr>
          </w:p>
        </w:tc>
      </w:tr>
      <w:tr>
        <w:trPr>
          <w:trHeight w:val="270"/>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c>
          <w:tcPr>
            <w:tcW w:w="0" w:type="dxa"/>
            <w:vAlign w:val="bottom"/>
          </w:tcPr>
          <w:p>
            <w:pPr>
              <w:spacing w:after="0"/>
              <w:rPr>
                <w:sz w:val="1"/>
                <w:szCs w:val="1"/>
                <w:color w:val="auto"/>
              </w:rPr>
            </w:pPr>
          </w:p>
        </w:tc>
      </w:tr>
      <w:tr>
        <w:trPr>
          <w:trHeight w:val="270"/>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c>
          <w:tcPr>
            <w:tcW w:w="0" w:type="dxa"/>
            <w:vAlign w:val="bottom"/>
          </w:tcPr>
          <w:p>
            <w:pPr>
              <w:spacing w:after="0"/>
              <w:rPr>
                <w:sz w:val="1"/>
                <w:szCs w:val="1"/>
                <w:color w:val="auto"/>
              </w:rPr>
            </w:pPr>
          </w:p>
        </w:tc>
      </w:tr>
      <w:tr>
        <w:trPr>
          <w:trHeight w:val="270"/>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c>
          <w:tcPr>
            <w:tcW w:w="0" w:type="dxa"/>
            <w:vAlign w:val="bottom"/>
          </w:tcPr>
          <w:p>
            <w:pPr>
              <w:spacing w:after="0"/>
              <w:rPr>
                <w:sz w:val="1"/>
                <w:szCs w:val="1"/>
                <w:color w:val="auto"/>
              </w:rPr>
            </w:pPr>
          </w:p>
        </w:tc>
      </w:tr>
      <w:tr>
        <w:trPr>
          <w:trHeight w:val="270"/>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380" w:hanging="1354"/>
        <w:spacing w:after="0"/>
        <w:tabs>
          <w:tab w:leader="none" w:pos="13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Cover Page Interactive Data File (formatted as Inline XBRL and contained in Exhibit 101.INS)*</w:t>
      </w:r>
    </w:p>
    <w:p>
      <w:pPr>
        <w:spacing w:after="0" w:line="23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34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QUAKER CHEMICAL CORPORATION</w:t>
            </w:r>
          </w:p>
        </w:tc>
        <w:tc>
          <w:tcPr>
            <w:tcW w:w="0" w:type="dxa"/>
            <w:vAlign w:val="bottom"/>
          </w:tcPr>
          <w:p>
            <w:pPr>
              <w:spacing w:after="0"/>
              <w:rPr>
                <w:sz w:val="1"/>
                <w:szCs w:val="1"/>
                <w:color w:val="auto"/>
              </w:rPr>
            </w:pPr>
          </w:p>
        </w:tc>
      </w:tr>
      <w:tr>
        <w:trPr>
          <w:trHeight w:val="378"/>
        </w:trPr>
        <w:tc>
          <w:tcPr>
            <w:tcW w:w="34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62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(Registrant)</w:t>
            </w:r>
          </w:p>
        </w:tc>
        <w:tc>
          <w:tcPr>
            <w:tcW w:w="0" w:type="dxa"/>
            <w:vAlign w:val="bottom"/>
          </w:tcPr>
          <w:p>
            <w:pPr>
              <w:spacing w:after="0"/>
              <w:rPr>
                <w:sz w:val="1"/>
                <w:szCs w:val="1"/>
                <w:color w:val="auto"/>
              </w:rPr>
            </w:pPr>
          </w:p>
        </w:tc>
      </w:tr>
      <w:tr>
        <w:trPr>
          <w:trHeight w:val="648"/>
        </w:trPr>
        <w:tc>
          <w:tcPr>
            <w:tcW w:w="34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Thomas Coler</w:t>
            </w:r>
          </w:p>
        </w:tc>
        <w:tc>
          <w:tcPr>
            <w:tcW w:w="0" w:type="dxa"/>
            <w:vAlign w:val="bottom"/>
          </w:tcPr>
          <w:p>
            <w:pPr>
              <w:spacing w:after="0"/>
              <w:rPr>
                <w:sz w:val="1"/>
                <w:szCs w:val="1"/>
                <w:color w:val="auto"/>
              </w:rPr>
            </w:pPr>
          </w:p>
        </w:tc>
      </w:tr>
      <w:tr>
        <w:trPr>
          <w:trHeight w:val="27"/>
        </w:trPr>
        <w:tc>
          <w:tcPr>
            <w:tcW w:w="3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July 31, 2025</w:t>
            </w:r>
          </w:p>
        </w:tc>
        <w:tc>
          <w:tcPr>
            <w:tcW w:w="214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460" w:type="dxa"/>
            <w:vAlign w:val="bottom"/>
            <w:vMerge w:val="continue"/>
          </w:tcPr>
          <w:p>
            <w:pPr>
              <w:spacing w:after="0"/>
              <w:rPr>
                <w:sz w:val="18"/>
                <w:szCs w:val="18"/>
                <w:color w:val="auto"/>
              </w:rPr>
            </w:pPr>
          </w:p>
        </w:tc>
        <w:tc>
          <w:tcPr>
            <w:tcW w:w="214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Thomas Coler, Executive Vice President, Chief Financial Officer (officer</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duly authorized on behalf of, and principal financial officer of, the</w:t>
            </w:r>
          </w:p>
        </w:tc>
        <w:tc>
          <w:tcPr>
            <w:tcW w:w="0" w:type="dxa"/>
            <w:vAlign w:val="bottom"/>
          </w:tcPr>
          <w:p>
            <w:pPr>
              <w:spacing w:after="0"/>
              <w:rPr>
                <w:sz w:val="1"/>
                <w:szCs w:val="1"/>
                <w:color w:val="auto"/>
              </w:rPr>
            </w:pPr>
          </w:p>
        </w:tc>
      </w:tr>
      <w:tr>
        <w:trPr>
          <w:trHeight w:val="238"/>
        </w:trPr>
        <w:tc>
          <w:tcPr>
            <w:tcW w:w="34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Registrant)</w:t>
            </w:r>
          </w:p>
        </w:tc>
        <w:tc>
          <w:tcPr>
            <w:tcW w:w="0" w:type="dxa"/>
            <w:vAlign w:val="bottom"/>
          </w:tcPr>
          <w:p>
            <w:pPr>
              <w:spacing w:after="0"/>
              <w:rPr>
                <w:sz w:val="1"/>
                <w:szCs w:val="1"/>
                <w:color w:val="auto"/>
              </w:rPr>
            </w:pPr>
          </w:p>
        </w:tc>
      </w:tr>
      <w:tr>
        <w:trPr>
          <w:trHeight w:val="770"/>
        </w:trPr>
        <w:tc>
          <w:tcPr>
            <w:tcW w:w="3460" w:type="dxa"/>
            <w:vAlign w:val="bottom"/>
          </w:tcPr>
          <w:p>
            <w:pPr>
              <w:spacing w:after="0"/>
              <w:rPr>
                <w:sz w:val="24"/>
                <w:szCs w:val="24"/>
                <w:color w:val="auto"/>
              </w:rPr>
            </w:pPr>
          </w:p>
        </w:tc>
        <w:tc>
          <w:tcPr>
            <w:tcW w:w="7760" w:type="dxa"/>
            <w:vAlign w:val="bottom"/>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45" w:name="page46"/>
    <w:bookmarkEnd w:id="45"/>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ind w:left="340" w:right="36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OF THE COMPANY PURSUANT TO RULE 13a 14(a) OF THE SECURITIES EXCHANGE ACT OF 1934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A. Berquist, certify that:</w:t>
      </w:r>
    </w:p>
    <w:p>
      <w:pPr>
        <w:spacing w:after="0" w:line="225"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Quaker Chemical Corporation;</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2"/>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7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July 31, 2025</w:t>
      </w:r>
    </w:p>
    <w:p>
      <w:pPr>
        <w:spacing w:after="0" w:line="3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Joseph A. Berquist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Joseph A. Berquist</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43" w:right="339" w:bottom="1440" w:gutter="0" w:footer="0" w:header="0"/>
        </w:sectPr>
      </w:pPr>
    </w:p>
    <w:bookmarkStart w:id="46" w:name="page47"/>
    <w:bookmarkEnd w:id="46"/>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ind w:left="340" w:right="38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OF THE COMPANY PURSUANT TO RULE 13a-14(a) OF THE SECURITIES EXCHANGE ACT OF 1934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Coler, certify that:</w:t>
      </w:r>
    </w:p>
    <w:p>
      <w:pPr>
        <w:spacing w:after="0" w:line="225"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Quaker Chemical Corporation;</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7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July 31, 2025</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Thomas Coler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Thomas Coler</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143" w:right="339" w:bottom="1440" w:gutter="0" w:footer="0" w:header="0"/>
          <w:type w:val="continuous"/>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undersigned hereby certifies that the Form 10-Q Quarterly Report of Quaker Chemical Corporation (the “Company”) for the quarterly period ended June 30, 2025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July 31, 2025</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Joseph A. Berquist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Joseph A. Berquist</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 of Quaker Chemical Corporation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43"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undersigned hereby certifies that the Form 10-Q Quarterly Report of Quaker Chemical Corporation (the “Company”) for the quarterly period ended June 30, 2025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July 31, 2025</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Thomas Coler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Thomas Coler</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 of Quaker Chemical Corporation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lowerLetter"/>
      <w:start w:val="10"/>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
      <w:numFmt w:val="bullet"/>
      <w:start w:val="1"/>
    </w:lvl>
    <w:lvl w:ilvl="1">
      <w:lvlJc w:val="left"/>
      <w:lvlText w:val="%2"/>
      <w:numFmt w:val="decimal"/>
      <w:start w:val="104"/>
    </w:lvl>
  </w:abstractNum>
  <w:abstractNum w:abstractNumId="13">
    <w:nsid w:val="1BEFD79F"/>
    <w:multiLevelType w:val="hybridMultilevel"/>
    <w:lvl w:ilvl="0">
      <w:lvlJc w:val="left"/>
      <w:lvlText w:val="**"/>
      <w:numFmt w:val="bullet"/>
      <w:start w:val="1"/>
    </w:lvl>
    <w:lvl w:ilvl="1">
      <w:lvlJc w:val="left"/>
      <w:lvlText w:val="%2"/>
      <w:numFmt w:val="decimal"/>
      <w:start w:val="1"/>
    </w:lvl>
  </w:abstractNum>
  <w:abstractNum w:abstractNumId="14">
    <w:nsid w:val="41A7C4C9"/>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68" Type="http://schemas.openxmlformats.org/officeDocument/2006/relationships/hyperlink" Target="https://www.sec.gov/Archives/edgar/data/81362/000008136219000013/exhibit31.htm" TargetMode="External"/><Relationship Id="rId69" Type="http://schemas.openxmlformats.org/officeDocument/2006/relationships/hyperlink" Target="https://www.sec.gov/Archives/edgar/data/81362/000110465922128616/tm2233147d1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2025-07-31T15:46:27Z</dcterms:created>
  <dcterms:modified xsi:type="dcterms:W3CDTF">2025-07-31T15:46:27Z</dcterms:modified>
</cp:coreProperties>
</file>