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4957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FRISBY JEFFRY D</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QUAKER CHEMICAL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240" w:space="598"/>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7"/>
                <w:szCs w:val="17"/>
                <w:color w:val="0000FF"/>
              </w:rPr>
              <w:t>19428-2380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7,280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0000FF"/>
              </w:rPr>
              <w:t>18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7,298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jc w:val="center"/>
              <w:ind w:right="2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1,198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jc w:val="right"/>
              <w:ind w:right="58"/>
              <w:spacing w:after="0" w:line="128" w:lineRule="exact"/>
              <w:rPr>
                <w:sz w:val="20"/>
                <w:szCs w:val="20"/>
                <w:color w:val="auto"/>
              </w:rPr>
            </w:pPr>
            <w:r>
              <w:rPr>
                <w:rFonts w:ascii="Times New Roman" w:cs="Times New Roman" w:eastAsia="Times New Roman" w:hAnsi="Times New Roman"/>
                <w:sz w:val="13"/>
                <w:szCs w:val="13"/>
                <w:color w:val="0000FF"/>
              </w:rPr>
              <w:t>1,198</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jc w:val="center"/>
              <w:ind w:right="2"/>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18</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5"/>
                <w:szCs w:val="5"/>
                <w:color w:val="auto"/>
              </w:rPr>
            </w:pPr>
          </w:p>
        </w:tc>
        <w:tc>
          <w:tcPr>
            <w:tcW w:w="7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jc w:val="right"/>
              <w:ind w:right="138"/>
              <w:spacing w:after="0" w:line="141" w:lineRule="exact"/>
              <w:rPr>
                <w:sz w:val="20"/>
                <w:szCs w:val="20"/>
                <w:color w:val="auto"/>
              </w:rPr>
            </w:pPr>
            <w:r>
              <w:rPr>
                <w:rFonts w:ascii="Times New Roman" w:cs="Times New Roman" w:eastAsia="Times New Roman" w:hAnsi="Times New Roman"/>
                <w:sz w:val="13"/>
                <w:szCs w:val="13"/>
                <w:color w:val="0000FF"/>
              </w:rPr>
              <w:t>18</w:t>
            </w:r>
          </w:p>
        </w:tc>
        <w:tc>
          <w:tcPr>
            <w:tcW w:w="780" w:type="dxa"/>
            <w:vAlign w:val="bottom"/>
            <w:gridSpan w:val="2"/>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975</w:t>
            </w:r>
            <w:r>
              <w:rPr>
                <w:rFonts w:ascii="Times New Roman" w:cs="Times New Roman" w:eastAsia="Times New Roman" w:hAnsi="Times New Roman"/>
                <w:sz w:val="21"/>
                <w:szCs w:val="21"/>
                <w:color w:val="008000"/>
                <w:vertAlign w:val="superscript"/>
              </w:rPr>
              <w:t>(5)</w:t>
            </w: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06/01/2026</w:t>
            </w:r>
          </w:p>
        </w:tc>
        <w:tc>
          <w:tcPr>
            <w:tcW w:w="1100" w:type="dxa"/>
            <w:vAlign w:val="bottom"/>
          </w:tcPr>
          <w:p>
            <w:pPr>
              <w:spacing w:after="0"/>
              <w:rPr>
                <w:sz w:val="5"/>
                <w:szCs w:val="5"/>
                <w:color w:val="auto"/>
              </w:rPr>
            </w:pPr>
          </w:p>
        </w:tc>
        <w:tc>
          <w:tcPr>
            <w:tcW w:w="76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2"/>
              </w:rPr>
              <w:t>975</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-2533015</wp:posOffset>
            </wp:positionV>
            <wp:extent cx="2921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80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restricted stock unit. The rights accrued when and as dividends were paid on KWR common stock. Each dividend equivalent right was the economic equivalent of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time-based restricted stock units that vested 100% on May 31, 2026.</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100% on May 31, 2027. Dividend equivalent rights accrue with respect to these restricted stock units when and as dividends are paid on KWR's common stock.</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Victoria K. Gehris,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Jeffry D. Frisby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028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61274"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2026-06-02T15:38:28Z</dcterms:created>
  <dcterms:modified xsi:type="dcterms:W3CDTF">2026-06-02T15:38:28Z</dcterms:modified>
</cp:coreProperties>
</file>