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5661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661025"/>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480"/>
          </w:cols>
          <w:pgMar w:left="460" w:top="217" w:right="359" w:bottom="46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Foufopoulos - De Ridder Lucrece</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901 E. HECTOR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QUAKER CHEMICAL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KWR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05/31/2026</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1" w:lineRule="exact"/>
        <w:rPr>
          <w:sz w:val="24"/>
          <w:szCs w:val="24"/>
          <w:color w:val="auto"/>
        </w:rPr>
      </w:pPr>
    </w:p>
    <w:p>
      <w:pPr>
        <w:sectPr>
          <w:pgSz w:w="11900" w:h="16838" w:orient="portrait"/>
          <w:cols w:equalWidth="0" w:num="3">
            <w:col w:w="3180" w:space="720"/>
            <w:col w:w="3240" w:space="598"/>
            <w:col w:w="3342"/>
          </w:cols>
          <w:pgMar w:left="460" w:top="217" w:right="359" w:bottom="463"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CONSHOHOCKEN PA</w:t>
            </w:r>
          </w:p>
        </w:tc>
        <w:tc>
          <w:tcPr>
            <w:tcW w:w="1600" w:type="dxa"/>
            <w:vAlign w:val="bottom"/>
          </w:tcPr>
          <w:p>
            <w:pPr>
              <w:jc w:val="right"/>
              <w:ind w:right="226"/>
              <w:spacing w:after="0"/>
              <w:rPr>
                <w:sz w:val="20"/>
                <w:szCs w:val="20"/>
                <w:color w:val="auto"/>
              </w:rPr>
            </w:pPr>
            <w:r>
              <w:rPr>
                <w:rFonts w:ascii="Times New Roman" w:cs="Times New Roman" w:eastAsia="Times New Roman" w:hAnsi="Times New Roman"/>
                <w:sz w:val="17"/>
                <w:szCs w:val="17"/>
                <w:color w:val="0000FF"/>
              </w:rPr>
              <w:t>19428-2380</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6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60" w:space="140"/>
            <w:col w:w="7180"/>
          </w:cols>
          <w:pgMar w:left="460" w:top="217" w:right="359" w:bottom="46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w w:val="96"/>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8"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Amount</w:t>
            </w:r>
          </w:p>
        </w:tc>
        <w:tc>
          <w:tcPr>
            <w:tcW w:w="68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4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0000FF"/>
              </w:rPr>
              <w:t>05/31/2026</w:t>
            </w: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1,198</w:t>
            </w:r>
          </w:p>
        </w:tc>
        <w:tc>
          <w:tcPr>
            <w:tcW w:w="68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5"/>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Pr>
          <w:p>
            <w:pPr>
              <w:spacing w:after="0"/>
              <w:rPr>
                <w:sz w:val="22"/>
                <w:szCs w:val="22"/>
                <w:color w:val="auto"/>
              </w:rPr>
            </w:pPr>
          </w:p>
        </w:tc>
        <w:tc>
          <w:tcPr>
            <w:tcW w:w="1260" w:type="dxa"/>
            <w:vAlign w:val="bottom"/>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2,628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4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0000FF"/>
              </w:rPr>
              <w:t>05/31/2026</w:t>
            </w: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18</w:t>
            </w:r>
          </w:p>
        </w:tc>
        <w:tc>
          <w:tcPr>
            <w:tcW w:w="68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5"/>
              <w:spacing w:after="0"/>
              <w:rPr>
                <w:sz w:val="20"/>
                <w:szCs w:val="20"/>
                <w:color w:val="auto"/>
              </w:rPr>
            </w:pPr>
            <w:r>
              <w:rPr>
                <w:rFonts w:ascii="Times New Roman" w:cs="Times New Roman" w:eastAsia="Times New Roman" w:hAnsi="Times New Roman"/>
                <w:sz w:val="11"/>
                <w:szCs w:val="11"/>
                <w:color w:val="008000"/>
                <w:w w:val="93"/>
              </w:rPr>
              <w:t>(2)</w:t>
            </w:r>
          </w:p>
        </w:tc>
        <w:tc>
          <w:tcPr>
            <w:tcW w:w="60" w:type="dxa"/>
            <w:vAlign w:val="bottom"/>
          </w:tcPr>
          <w:p>
            <w:pPr>
              <w:spacing w:after="0"/>
              <w:rPr>
                <w:sz w:val="22"/>
                <w:szCs w:val="22"/>
                <w:color w:val="auto"/>
              </w:rPr>
            </w:pPr>
          </w:p>
        </w:tc>
        <w:tc>
          <w:tcPr>
            <w:tcW w:w="1260" w:type="dxa"/>
            <w:vAlign w:val="bottom"/>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2,646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05/31/2026</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365</w:t>
            </w:r>
            <w:r>
              <w:rPr>
                <w:rFonts w:ascii="Times New Roman" w:cs="Times New Roman" w:eastAsia="Times New Roman" w:hAnsi="Times New Roman"/>
                <w:sz w:val="21"/>
                <w:szCs w:val="21"/>
                <w:color w:val="008000"/>
                <w:vertAlign w:val="superscript"/>
              </w:rPr>
              <w:t>(3)</w:t>
            </w:r>
          </w:p>
        </w:tc>
        <w:tc>
          <w:tcPr>
            <w:tcW w:w="680" w:type="dxa"/>
            <w:vAlign w:val="bottom"/>
            <w:tcBorders>
              <w:bottom w:val="single" w:sz="8" w:color="2C2C2C"/>
            </w:tcBorders>
          </w:tcPr>
          <w:p>
            <w:pPr>
              <w:jc w:val="right"/>
              <w:ind w:right="156"/>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143.53</w:t>
            </w:r>
          </w:p>
        </w:tc>
        <w:tc>
          <w:tcPr>
            <w:tcW w:w="1260" w:type="dxa"/>
            <w:vAlign w:val="bottom"/>
            <w:tcBorders>
              <w:bottom w:val="single" w:sz="8" w:color="2C2C2C"/>
            </w:tcBorders>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2,281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82"/>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82"/>
              <w:spacing w:after="0" w:line="128"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36"/>
              <w:spacing w:after="0"/>
              <w:rPr>
                <w:sz w:val="20"/>
                <w:szCs w:val="20"/>
                <w:color w:val="auto"/>
              </w:rPr>
            </w:pPr>
            <w:r>
              <w:rPr>
                <w:rFonts w:ascii="Arial" w:cs="Arial" w:eastAsia="Arial" w:hAnsi="Arial"/>
                <w:sz w:val="12"/>
                <w:szCs w:val="12"/>
                <w:b w:val="1"/>
                <w:bCs w:val="1"/>
                <w:color w:val="auto"/>
                <w:w w:val="99"/>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1,198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05/31/2026</w:t>
            </w:r>
          </w:p>
        </w:tc>
        <w:tc>
          <w:tcPr>
            <w:tcW w:w="1100" w:type="dxa"/>
            <w:vAlign w:val="bottom"/>
          </w:tcPr>
          <w:p>
            <w:pPr>
              <w:spacing w:after="0"/>
              <w:rPr>
                <w:sz w:val="11"/>
                <w:szCs w:val="11"/>
                <w:color w:val="auto"/>
              </w:rPr>
            </w:pPr>
          </w:p>
        </w:tc>
        <w:tc>
          <w:tcPr>
            <w:tcW w:w="74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1"/>
                <w:szCs w:val="11"/>
                <w:color w:val="auto"/>
              </w:rPr>
            </w:pPr>
          </w:p>
        </w:tc>
        <w:tc>
          <w:tcPr>
            <w:tcW w:w="460" w:type="dxa"/>
            <w:vAlign w:val="bottom"/>
          </w:tcPr>
          <w:p>
            <w:pPr>
              <w:jc w:val="right"/>
              <w:ind w:right="38"/>
              <w:spacing w:after="0" w:line="128" w:lineRule="exact"/>
              <w:rPr>
                <w:sz w:val="20"/>
                <w:szCs w:val="20"/>
                <w:color w:val="auto"/>
              </w:rPr>
            </w:pPr>
            <w:r>
              <w:rPr>
                <w:rFonts w:ascii="Times New Roman" w:cs="Times New Roman" w:eastAsia="Times New Roman" w:hAnsi="Times New Roman"/>
                <w:sz w:val="13"/>
                <w:szCs w:val="13"/>
                <w:color w:val="0000FF"/>
              </w:rPr>
              <w:t>1,198</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62"/>
              <w:spacing w:after="0" w:line="128"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81"/>
              <w:spacing w:after="0" w:line="128"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1"/>
                <w:szCs w:val="11"/>
                <w:color w:val="auto"/>
              </w:rPr>
            </w:pP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ind w:right="15"/>
              <w:spacing w:after="0"/>
              <w:rPr>
                <w:sz w:val="20"/>
                <w:szCs w:val="20"/>
                <w:color w:val="auto"/>
              </w:rPr>
            </w:pPr>
            <w:r>
              <w:rPr>
                <w:rFonts w:ascii="Times New Roman" w:cs="Times New Roman" w:eastAsia="Times New Roman" w:hAnsi="Times New Roman"/>
                <w:sz w:val="17"/>
                <w:szCs w:val="17"/>
                <w:color w:val="0000FF"/>
                <w:w w:val="93"/>
              </w:rPr>
              <w:t>18</w:t>
            </w:r>
          </w:p>
        </w:tc>
        <w:tc>
          <w:tcPr>
            <w:tcW w:w="60" w:type="dxa"/>
            <w:vAlign w:val="bottom"/>
          </w:tcPr>
          <w:p>
            <w:pPr>
              <w:spacing w:after="0"/>
              <w:rPr>
                <w:sz w:val="15"/>
                <w:szCs w:val="15"/>
                <w:color w:val="auto"/>
              </w:rPr>
            </w:pPr>
          </w:p>
        </w:tc>
        <w:tc>
          <w:tcPr>
            <w:tcW w:w="680" w:type="dxa"/>
            <w:vAlign w:val="bottom"/>
            <w:gridSpan w:val="2"/>
            <w:vMerge w:val="restart"/>
          </w:tcPr>
          <w:p>
            <w:pPr>
              <w:jc w:val="center"/>
              <w:ind w:right="62"/>
              <w:spacing w:after="0"/>
              <w:rPr>
                <w:sz w:val="20"/>
                <w:szCs w:val="20"/>
                <w:color w:val="auto"/>
              </w:rPr>
            </w:pPr>
            <w:r>
              <w:rPr>
                <w:rFonts w:ascii="Times New Roman" w:cs="Times New Roman" w:eastAsia="Times New Roman" w:hAnsi="Times New Roman"/>
                <w:sz w:val="11"/>
                <w:szCs w:val="11"/>
                <w:color w:val="008000"/>
                <w:w w:val="93"/>
              </w:rPr>
              <w:t>(2)</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05/31/2026</w:t>
            </w:r>
          </w:p>
        </w:tc>
        <w:tc>
          <w:tcPr>
            <w:tcW w:w="110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5"/>
                <w:szCs w:val="5"/>
                <w:color w:val="auto"/>
              </w:rPr>
            </w:pPr>
          </w:p>
        </w:tc>
        <w:tc>
          <w:tcPr>
            <w:tcW w:w="460" w:type="dxa"/>
            <w:vAlign w:val="bottom"/>
            <w:vMerge w:val="restart"/>
          </w:tcPr>
          <w:p>
            <w:pPr>
              <w:jc w:val="right"/>
              <w:ind w:right="118"/>
              <w:spacing w:after="0" w:line="141" w:lineRule="exact"/>
              <w:rPr>
                <w:sz w:val="20"/>
                <w:szCs w:val="20"/>
                <w:color w:val="auto"/>
              </w:rPr>
            </w:pPr>
            <w:r>
              <w:rPr>
                <w:rFonts w:ascii="Times New Roman" w:cs="Times New Roman" w:eastAsia="Times New Roman" w:hAnsi="Times New Roman"/>
                <w:sz w:val="13"/>
                <w:szCs w:val="13"/>
                <w:color w:val="0000FF"/>
              </w:rPr>
              <w:t>18</w:t>
            </w:r>
          </w:p>
        </w:tc>
        <w:tc>
          <w:tcPr>
            <w:tcW w:w="780" w:type="dxa"/>
            <w:vAlign w:val="bottom"/>
            <w:gridSpan w:val="2"/>
            <w:vMerge w:val="continue"/>
          </w:tcPr>
          <w:p>
            <w:pPr>
              <w:spacing w:after="0"/>
              <w:rPr>
                <w:sz w:val="5"/>
                <w:szCs w:val="5"/>
                <w:color w:val="auto"/>
              </w:rPr>
            </w:pPr>
          </w:p>
        </w:tc>
        <w:tc>
          <w:tcPr>
            <w:tcW w:w="68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05/31/2026</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80" w:type="dxa"/>
            <w:vAlign w:val="bottom"/>
            <w:vMerge w:val="restart"/>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975</w:t>
            </w:r>
            <w:r>
              <w:rPr>
                <w:rFonts w:ascii="Times New Roman" w:cs="Times New Roman" w:eastAsia="Times New Roman" w:hAnsi="Times New Roman"/>
                <w:sz w:val="21"/>
                <w:szCs w:val="21"/>
                <w:color w:val="008000"/>
                <w:vertAlign w:val="superscript"/>
              </w:rPr>
              <w:t>(6)</w:t>
            </w:r>
          </w:p>
        </w:tc>
        <w:tc>
          <w:tcPr>
            <w:tcW w:w="4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975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06/01/2026</w:t>
            </w:r>
          </w:p>
        </w:tc>
        <w:tc>
          <w:tcPr>
            <w:tcW w:w="1100" w:type="dxa"/>
            <w:vAlign w:val="bottom"/>
          </w:tcPr>
          <w:p>
            <w:pPr>
              <w:spacing w:after="0"/>
              <w:rPr>
                <w:sz w:val="5"/>
                <w:szCs w:val="5"/>
                <w:color w:val="auto"/>
              </w:rPr>
            </w:pPr>
          </w:p>
        </w:tc>
        <w:tc>
          <w:tcPr>
            <w:tcW w:w="74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w w:val="92"/>
              </w:rPr>
              <w:t>975</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-2533015</wp:posOffset>
            </wp:positionV>
            <wp:extent cx="29210" cy="2538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380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2" w:lineRule="exact"/>
        <w:rPr>
          <w:rFonts w:ascii="Times New Roman" w:cs="Times New Roman" w:eastAsia="Times New Roman" w:hAnsi="Times New Roman"/>
          <w:sz w:val="13"/>
          <w:szCs w:val="13"/>
          <w:color w:val="008000"/>
        </w:rPr>
      </w:pPr>
    </w:p>
    <w:p>
      <w:pPr>
        <w:ind w:left="40" w:right="20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Settlement of dividend equivalent rights in connection with vesting of restricted stock unit. The rights accrued when and as dividends were paid on KWR common stock. Each dividend equivalent right was the economic equivalent of one share of KWR common stock.</w:t>
      </w:r>
    </w:p>
    <w:p>
      <w:pPr>
        <w:spacing w:after="0" w:line="19" w:lineRule="exact"/>
        <w:rPr>
          <w:rFonts w:ascii="Times New Roman" w:cs="Times New Roman" w:eastAsia="Times New Roman" w:hAnsi="Times New Roman"/>
          <w:sz w:val="13"/>
          <w:szCs w:val="13"/>
          <w:color w:val="008000"/>
        </w:rPr>
      </w:pPr>
    </w:p>
    <w:p>
      <w:pPr>
        <w:ind w:left="40" w:right="36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surrendered by reporting person to satisfy statutory withholding tax obligation upon vesting of restricted stock units previously granted on June 1, 2025 under the Company's Long-Term Performance Incentive Plan.</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 2025, the reporting person was granted time-based restricted stock units that vested 100% on May 31, 2026.</w:t>
      </w:r>
    </w:p>
    <w:p>
      <w:pPr>
        <w:spacing w:after="0" w:line="42" w:lineRule="exact"/>
        <w:rPr>
          <w:rFonts w:ascii="Times New Roman" w:cs="Times New Roman" w:eastAsia="Times New Roman" w:hAnsi="Times New Roman"/>
          <w:sz w:val="13"/>
          <w:szCs w:val="13"/>
          <w:color w:val="008000"/>
        </w:rPr>
      </w:pPr>
    </w:p>
    <w:p>
      <w:pPr>
        <w:ind w:left="40" w:right="42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Time-based restricted stock units granted under the Company's Long-Term Performance Incentive Plan to Quaker Houghton's non-management directors as part of their 2026 compensation. Each restricted stock unit represents a contingent right to receive one share of KWR common stock.</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100% on May 31, 2027. Dividend equivalent rights accrue with respect to these restricted stock units when and as dividends are paid on KWR's common stock.</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Victoria K. Gehris,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spacing w:after="0" w:line="1"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Fact for Lucrece Foufopoulos-</w:t>
      </w:r>
      <w:r>
        <w:rPr>
          <w:sz w:val="20"/>
          <w:szCs w:val="20"/>
          <w:color w:val="auto"/>
        </w:rPr>
        <w:tab/>
      </w:r>
      <w:r>
        <w:rPr>
          <w:rFonts w:ascii="Times New Roman" w:cs="Times New Roman" w:eastAsia="Times New Roman" w:hAnsi="Times New Roman"/>
          <w:sz w:val="16"/>
          <w:szCs w:val="16"/>
          <w:color w:val="0000FF"/>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-17145</wp:posOffset>
            </wp:positionV>
            <wp:extent cx="18802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02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De Ridder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-17145</wp:posOffset>
            </wp:positionV>
            <wp:extent cx="4375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46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94178" TargetMode="External"/><Relationship Id="rId14" Type="http://schemas.openxmlformats.org/officeDocument/2006/relationships/hyperlink" Target="http://www.sec.gov/cgi-bin/browse-edgar?action=getcompany&amp;CIK=00000813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2026-06-02T18:37:58Z</dcterms:created>
  <dcterms:modified xsi:type="dcterms:W3CDTF">2026-06-02T18:37:58Z</dcterms:modified>
</cp:coreProperties>
</file>