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14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669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23-0993790</w:t>
            </w:r>
          </w:p>
        </w:tc>
        <w:tc>
          <w:tcPr>
            <w:tcW w:w="0" w:type="dxa"/>
            <w:vAlign w:val="bottom"/>
          </w:tcPr>
          <w:p>
            <w:pPr>
              <w:spacing w:after="0"/>
              <w:rPr>
                <w:sz w:val="1"/>
                <w:szCs w:val="1"/>
                <w:color w:val="auto"/>
              </w:rPr>
            </w:pPr>
          </w:p>
        </w:tc>
      </w:tr>
      <w:tr>
        <w:trPr>
          <w:trHeight w:val="21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56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4"/>
                <w:szCs w:val="14"/>
                <w:b w:val="1"/>
                <w:bCs w:val="1"/>
                <w:color w:val="auto"/>
              </w:rPr>
              <w:t>901 E. Hector Street,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Conshohocken, Pennsylvania</w:t>
            </w:r>
          </w:p>
        </w:tc>
        <w:tc>
          <w:tcPr>
            <w:tcW w:w="3200" w:type="dxa"/>
            <w:vAlign w:val="bottom"/>
            <w:vMerge w:val="restart"/>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19428 – 2380</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0" w:type="dxa"/>
            <w:vAlign w:val="bottom"/>
          </w:tcPr>
          <w:p>
            <w:pPr>
              <w:jc w:val="center"/>
              <w:ind w:left="11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38"/>
        </w:trPr>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186"/>
        </w:trPr>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KWR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3"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188"/>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29"/>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o</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17"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ind w:right="3640"/>
        <w:spacing w:after="0" w:line="4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on October 28, 2024</w:t>
            </w:r>
          </w:p>
        </w:tc>
        <w:tc>
          <w:tcPr>
            <w:tcW w:w="4700" w:type="dxa"/>
            <w:vAlign w:val="bottom"/>
          </w:tcPr>
          <w:p>
            <w:pPr>
              <w:jc w:val="right"/>
              <w:ind w:right="2648"/>
              <w:spacing w:after="0"/>
              <w:rPr>
                <w:sz w:val="20"/>
                <w:szCs w:val="20"/>
                <w:color w:val="auto"/>
              </w:rPr>
            </w:pPr>
            <w:r>
              <w:rPr>
                <w:rFonts w:ascii="Times New Roman" w:cs="Times New Roman" w:eastAsia="Times New Roman" w:hAnsi="Times New Roman"/>
                <w:sz w:val="14"/>
                <w:szCs w:val="14"/>
                <w:b w:val="1"/>
                <w:bCs w:val="1"/>
                <w:color w:val="auto"/>
              </w:rPr>
              <w:t>17,787,813</w:t>
            </w:r>
          </w:p>
        </w:tc>
      </w:tr>
      <w:tr>
        <w:trPr>
          <w:trHeight w:val="1110"/>
        </w:trPr>
        <w:tc>
          <w:tcPr>
            <w:tcW w:w="65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9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40" w:type="dxa"/>
            <w:vAlign w:val="bottom"/>
            <w:tcBorders>
              <w:top w:val="single" w:sz="8" w:color="auto"/>
            </w:tcBorders>
            <w:gridSpan w:val="2"/>
          </w:tcPr>
          <w:p>
            <w:pPr>
              <w:jc w:val="center"/>
              <w:ind w:left="69"/>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September 30,</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2024 and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2023</w:t>
            </w:r>
          </w:p>
        </w:tc>
        <w:tc>
          <w:tcPr>
            <w:tcW w:w="7540" w:type="dxa"/>
            <w:vAlign w:val="bottom"/>
            <w:tcBorders>
              <w:top w:val="single" w:sz="8" w:color="0000FF"/>
            </w:tcBorders>
            <w:gridSpan w:val="11"/>
          </w:tcPr>
          <w:p>
            <w:pPr>
              <w:spacing w:after="0"/>
              <w:rPr>
                <w:sz w:val="17"/>
                <w:szCs w:val="17"/>
                <w:color w:val="auto"/>
              </w:rPr>
            </w:pPr>
          </w:p>
        </w:tc>
        <w:tc>
          <w:tcPr>
            <w:tcW w:w="3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September 30, 2023</w:t>
            </w:r>
          </w:p>
        </w:tc>
        <w:tc>
          <w:tcPr>
            <w:tcW w:w="460" w:type="dxa"/>
            <w:vAlign w:val="bottom"/>
            <w:gridSpan w:val="3"/>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and Nine Months Ended September 30, 2024 and</w:t>
            </w:r>
          </w:p>
        </w:tc>
        <w:tc>
          <w:tcPr>
            <w:tcW w:w="460" w:type="dxa"/>
            <w:vAlign w:val="bottom"/>
            <w:gridSpan w:val="3"/>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2023</w:t>
            </w:r>
          </w:p>
        </w:tc>
        <w:tc>
          <w:tcPr>
            <w:tcW w:w="7160" w:type="dxa"/>
            <w:vAlign w:val="bottom"/>
            <w:tcBorders>
              <w:top w:val="single" w:sz="8" w:color="0000FF"/>
            </w:tcBorders>
            <w:gridSpan w:val="9"/>
          </w:tcPr>
          <w:p>
            <w:pPr>
              <w:spacing w:after="0"/>
              <w:rPr>
                <w:sz w:val="17"/>
                <w:szCs w:val="17"/>
                <w:color w:val="auto"/>
              </w:rPr>
            </w:pPr>
          </w:p>
        </w:tc>
        <w:tc>
          <w:tcPr>
            <w:tcW w:w="70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80" w:type="dxa"/>
            <w:vAlign w:val="bottom"/>
            <w:gridSpan w:val="8"/>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Pr>
          <w:p>
            <w:pPr>
              <w:spacing w:after="0"/>
              <w:rPr>
                <w:sz w:val="21"/>
                <w:szCs w:val="21"/>
                <w:color w:val="auto"/>
              </w:rPr>
            </w:pPr>
          </w:p>
        </w:tc>
        <w:tc>
          <w:tcPr>
            <w:tcW w:w="298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20" w:type="dxa"/>
            <w:vAlign w:val="bottom"/>
            <w:gridSpan w:val="7"/>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tcBorders>
              <w:top w:val="single" w:sz="8" w:color="0000FF"/>
            </w:tcBorders>
          </w:tcPr>
          <w:p>
            <w:pPr>
              <w:spacing w:after="0"/>
              <w:rPr>
                <w:sz w:val="21"/>
                <w:szCs w:val="21"/>
                <w:color w:val="auto"/>
              </w:rPr>
            </w:pPr>
          </w:p>
        </w:tc>
        <w:tc>
          <w:tcPr>
            <w:tcW w:w="19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1"/>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00" w:type="dxa"/>
            <w:vAlign w:val="bottom"/>
          </w:tcPr>
          <w:p>
            <w:pPr>
              <w:spacing w:after="0"/>
              <w:rPr>
                <w:sz w:val="21"/>
                <w:szCs w:val="21"/>
                <w:color w:val="auto"/>
              </w:rPr>
            </w:pPr>
          </w:p>
        </w:tc>
        <w:tc>
          <w:tcPr>
            <w:tcW w:w="8120" w:type="dxa"/>
            <w:vAlign w:val="bottom"/>
            <w:gridSpan w:val="14"/>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20" w:type="dxa"/>
            <w:vAlign w:val="bottom"/>
            <w:gridSpan w:val="7"/>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120" w:type="dxa"/>
            <w:vAlign w:val="bottom"/>
            <w:gridSpan w:val="7"/>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00" w:type="dxa"/>
            <w:vAlign w:val="bottom"/>
            <w:gridSpan w:val="2"/>
          </w:tcPr>
          <w:p>
            <w:pPr>
              <w:spacing w:after="0"/>
              <w:rPr>
                <w:sz w:val="21"/>
                <w:szCs w:val="21"/>
                <w:color w:val="auto"/>
              </w:rPr>
            </w:pPr>
          </w:p>
        </w:tc>
        <w:tc>
          <w:tcPr>
            <w:tcW w:w="8120" w:type="dxa"/>
            <w:vAlign w:val="bottom"/>
            <w:gridSpan w:val="14"/>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r>
              <w:rPr>
                <w:rFonts w:ascii="Times New Roman" w:cs="Times New Roman" w:eastAsia="Times New Roman" w:hAnsi="Times New Roman"/>
                <w:sz w:val="18"/>
                <w:szCs w:val="18"/>
                <w:b w:val="1"/>
                <w:bCs w:val="1"/>
                <w:i w:val="1"/>
                <w:iCs w:val="1"/>
                <w:color w:val="0000FF"/>
              </w:rPr>
              <w:t>.</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14"/>
          </w:tcPr>
          <w:p>
            <w:pPr>
              <w:jc w:val="right"/>
              <w:ind w:right="20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590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590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320" w:type="dxa"/>
            <w:vAlign w:val="bottom"/>
            <w:gridSpan w:val="6"/>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280" w:type="dxa"/>
            <w:vAlign w:val="bottom"/>
            <w:gridSpan w:val="8"/>
          </w:tcPr>
          <w:p>
            <w:pPr>
              <w:jc w:val="center"/>
              <w:ind w:left="133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 Dollars in thousands, except per share data)</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1"/>
                <w:szCs w:val="21"/>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1,486,204</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951,716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534,488</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362,212</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37"/>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166,242</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 and equity in net income of associated companies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118,940</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equity in net income of associated companies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81,984</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92,644</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 basic</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5"/>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shareholders – diluted</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8"/>
                <w:szCs w:val="18"/>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92,644</w:t>
            </w:r>
          </w:p>
        </w:tc>
      </w:tr>
      <w:tr>
        <w:trPr>
          <w:trHeight w:val="237"/>
        </w:trPr>
        <w:tc>
          <w:tcPr>
            <w:tcW w:w="5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7"/>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76,122</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Quaker Chemical Corporation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76,067</w:t>
            </w: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194,527</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444,950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Work-in-process and finished goods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114,810</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62,059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941,853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927,889</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453,419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(245,608)</w:t>
            </w:r>
          </w:p>
        </w:tc>
        <w:tc>
          <w:tcPr>
            <w:tcW w:w="0" w:type="dxa"/>
            <w:vAlign w:val="bottom"/>
          </w:tcPr>
          <w:p>
            <w:pPr>
              <w:spacing w:after="0"/>
              <w:rPr>
                <w:sz w:val="1"/>
                <w:szCs w:val="1"/>
                <w:color w:val="auto"/>
              </w:rPr>
            </w:pPr>
          </w:p>
        </w:tc>
      </w:tr>
      <w:tr>
        <w:trPr>
          <w:trHeight w:val="227"/>
        </w:trPr>
        <w:tc>
          <w:tcPr>
            <w:tcW w:w="8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207,811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lease assets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38,614</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512,518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874,806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896,721</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associated companies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10,737</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2,735,681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184,813</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payable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55,194</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367,510</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700,648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730,623</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22,937</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accrued pension and postretirement benefits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1,289,411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1,329,289</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30,000,000 shares; issued and outstanding</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2024 – 17,852,066 shares; December 31, 2023 – 17,991,988 shares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940,101</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550,641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(128,448)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Quaker shareholders’ equity</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1,445,663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1,384,319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1,446,270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1,384,922</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2,735,681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102,540</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92,644</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undistributed earnings of associated companies, net of dividends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and other,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cash from changes in current assets and current liabilities, net of acquisitions: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restructuring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199,460</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(25,794)</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8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(payments) on revolving credit facilities,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(112,835)</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borrowings on other debt,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(23,459)</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stock related activity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(150,525)</w:t>
            </w: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w:t>
            </w: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9"/>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Excess of Par</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9"/>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928,288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469,920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(138,240)</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1,278,585</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29,541</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income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($0.435 per share)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17,982</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929,674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491,632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(123,177)</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1,316,788</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29,393</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($0.435 per share)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w:t>
            </w:r>
          </w:p>
        </w:tc>
      </w:tr>
      <w:tr>
        <w:trPr>
          <w:trHeight w:val="26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934,941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513,148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(130,108)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1,336,666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33,710</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(24,619)</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($0.455 per share)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w:t>
            </w:r>
          </w:p>
        </w:tc>
      </w:tr>
      <w:tr>
        <w:trPr>
          <w:trHeight w:val="24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938,473</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538,628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(154,724)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1,341,101</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940,101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550,641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1,384,922</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35,258</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($0.455 per share)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w:t>
            </w: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r>
      <w:tr>
        <w:trPr>
          <w:trHeight w:val="26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942,546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577,682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1,391,792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34,910</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(18,774)</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($0.455 per share)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purchased under share repurchase program</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(8,355)</w:t>
            </w:r>
          </w:p>
        </w:tc>
      </w:tr>
      <w:tr>
        <w:trPr>
          <w:trHeight w:val="236"/>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r>
      <w:tr>
        <w:trPr>
          <w:trHeight w:val="26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938,436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604,404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(165,762)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1,395,606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32,372</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income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37,308</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($0.485 per share)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purchased under share repurchase program</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w:t>
            </w:r>
          </w:p>
        </w:tc>
      </w:tr>
      <w:tr>
        <w:trPr>
          <w:trHeight w:val="202"/>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Excise tax on shares purchased under share repurchase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4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program</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4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928,156</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628,103</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(128,448)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1,446,270</w:t>
            </w: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of this Quarterly Report on Form 10-Q for the period ended September 30, 2024 (the “Report”), the terms “Quaker Houghton,” the “Company,” “we,” and “our” refer to Quaker Chemical Corporation (doing business as Quaker Houghton), its subsidiaries, and associated companies, unless the context otherwise requires.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nine months ended September 30, 2024 are not necessarily indicative of the results to be expected for the full year. These financial statements should be read in conjunction with the Company’s Annual Report filed on Form 10-K for the year ended December 31, 2023 (as amended, the “2023 Form 10-K”). Certain prior year amounts in the Condensed Consolidated Statements of Cash Flows have been reclassified to conform to the current year presentation.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sold in its three reportable segments: (i) Americas; (ii) Europe, Middle East and Africa (“EMEA”); and (iii) Asia/Pacific.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Argentina’s and Türkiye’s economies were considered hyper-inflationary under U.S. GAAP effective July 1, 2018 and April 1, 2022, respectively. As of, and for the three and nine months ended September 30, 2024, the Company's Argentine and Turkish subsidiaries together represented approximately 1% and 2% of the Company’s consolidated total assets and net sales, respectively. During the three and nine months ended September 30, 2024, the Company recorded $0.6 million and $0.3 million of net remeasurement losses associated with the applicable currency conversions, respectively. Comparatively, during the three and nine months ended September 30, 2023, the Company recorded $1.2 million and $2.9 million of remeasurement losses associated with the applicable currency conversions, respectively. These gains and losses were recorded within Other income (expense), net, in the Company’s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2024, the Company acquired the Sutai Group (“Sutai”), for approximately $16.2 million, including an initial cash payment of $14.6 million, subject to routine and customary post-closing adjustments related to working capital and net indebtedness levels, as well as earn-out provisions with an initial estimated payout of $1.6 million related to the finalization of 2024 and 2025 earnings. Assets acquired included cash and cash equivalents of $5.5 million. The Company recorded incremental income of $0.4 million during the three and nine months ended September 30, 2024 relating to adjustments to these earnout provisions in Other income (expense), net on the Condensed Consolidated Statements of Operations. As of September 30, 2024, the Company has remaining earnout liabilities recorded on its Condensed Consolidated Balance Sheet of $1.2 million. Sutai is based in Japan and provides impregnation treatment products and services to the automotive and other industries. Sutai is reported as part of the Asia/Pacific reportable segment. This acquisition strengthens Quaker Houghton’s technology portfolio, enabling the Company to better support and optimize production processes for customers across the Japanese, Asia Pacific and global markets. The Company allocated $3.1 million of the purchase price to intangible assets and recognized $5.5 million of goodwill in the Asia/Pacific segment, none of which is deductible for tax purposes. The goodwill is primarily attributable to expected growth synergies. As of September 30, 2024, the allocation of the purchase price has not been finalized.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February 2024, the Company acquired I.K.V. Tribologie IKVT and its subsidiaries (“IKV”) for $35.2 million, including an initial cash payment of $29.7 million, subject to routine and customary post-closing adjustments related to working capital and net indebtedness levels as well as earn-out provisions related to the finalization of 2023 earnings. Assets acquired included approximately $4.8 million of cash and cash equivalents.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$16.4 million of goodwill in the EMEA segment, none of which is deductible for tax purposes. The goodwill is primarily attributable to expected cost and growth synergies. In July 2024, the 2023 earnings were finalized and the Company made a payment of $5.5 million in connection with the post-closing adjustments and earn-out provision. As of September 30, 2024, the allocation of the purchase price has been finalized.</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of Sutai and IKV subsequent to the acquisition dates are included in the unaudited Condensed Consolidated Statements of Operations for the three and nine months ended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in November 2023. This ASU expands on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defined as those expenses that are regularly provided to the chief operating decision maker (“CODM”) and included in the reported measure of segment profit or loss. ASU 2023-07 is effective for annual reports for fiscal years beginning after December 15, 2023, with early adoption permitted. The Company continues to assess the impact of ASU 2023-07. As part of its preliminary assessment, the Company is in the process of identifying the significant segment expenses and other information regularly provided to the CODM and included in the reported measure of segment profitability.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in December 2023. This ASU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disclosure requirements of this standard and the impact on its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segments, which are consistent with its reportable segments, reflect the structure of the Company’s internal organization, the method by which the Company’s resources are allocated, and the manner by which the CODM assesses the Company’s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and Restructuring and related charges, net, are not included in segment operating earnings. Other items not specifically identified with the Company’s reportable segments include Interest expense, net and Other income (expense), net.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750,531</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300,071</w:t>
            </w:r>
          </w:p>
        </w:tc>
        <w:tc>
          <w:tcPr>
            <w:tcW w:w="0" w:type="dxa"/>
            <w:vAlign w:val="bottom"/>
          </w:tcPr>
          <w:p>
            <w:pPr>
              <w:spacing w:after="0"/>
              <w:rPr>
                <w:sz w:val="1"/>
                <w:szCs w:val="1"/>
                <w:color w:val="auto"/>
              </w:rPr>
            </w:pPr>
          </w:p>
        </w:tc>
      </w:tr>
      <w:tr>
        <w:trPr>
          <w:trHeight w:val="26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462,274</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490,612</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1,395,600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1,486,204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204,280</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86,604</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earnings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117,421</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365,927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371,960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(154,001)</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(45,683)</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income of associated companies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inter-segment revenues. All inter-segment transactions have been eliminated from each reportable segment’s net sales and earnings for all periods presented in the above tables.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gridSpan w:val="2"/>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2,316</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EMEA</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4,881</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Asia/Pacific</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1,504</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Resulting in Net Reporting</w:t>
      </w:r>
    </w:p>
    <w:p>
      <w:pPr>
        <w:spacing w:after="0" w:line="11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As part of the Company’s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business, certain third-party product sales to customers are managed by the Company. The Company transferred third-party products under arrangements recognized on a net reporting basis of $19.4 million and $58.5 million for the three and nine months ended September 30, 2024, respectively, and $21.6 million and $63.2 million for the three and nine months ended September 30,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automobiles, aerospace, industrial and agricultural equipment, and durable goods. As previously disclosed in the Company’s 2023 Form 10-K, the Company’s five largest customers combined (each composed of multiple subsidiaries or divisions with semiautonomous purchasing authority) accounted for approximately 12% of consolidated net sales for 2023, with its largest customer accounting for approximately 3% of consolidated net sales.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September 30, 2024 or December 31, 2023.</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approximately $3.7 million and $4.5 million of deferred revenue as of September 30, 2024 and December 31, 2023, respectively. For the nine months ended September 30, 2024, the Company satisfied materially all of the associated performance obligations and recognized into revenue materially all advance payments received and recorded as of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geographic regions, and in most cases, are approximately proportionate to the level of total sales in each region.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disaggregate the Company’s net sales by segment and customer industry.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152,560</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309,714</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462,274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451,527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478,374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944,073</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673,546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410,558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340,705</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245,899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490,612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453,319</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1,032,885</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750,531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435,602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1,486,204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10 years. Operating lease expense is recognized on a straight-line basis over the lease term. In addition, the Company has certain land use leases with remaining lease terms up to 91 years.</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material variable lease costs, sublease income, or finance leases for the three and nine months ended September 30, 2024 and 2023. The components of the Company’s lease expense are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3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00" w:type="dxa"/>
            <w:vAlign w:val="bottom"/>
          </w:tcPr>
          <w:p>
            <w:pPr>
              <w:spacing w:after="0"/>
              <w:rPr>
                <w:sz w:val="20"/>
                <w:szCs w:val="20"/>
                <w:color w:val="auto"/>
              </w:rPr>
            </w:pPr>
          </w:p>
        </w:tc>
        <w:tc>
          <w:tcPr>
            <w:tcW w:w="23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5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3,695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bl>
    <w:p>
      <w:pPr>
        <w:spacing w:after="0" w:line="200" w:lineRule="exact"/>
        <w:rPr>
          <w:sz w:val="20"/>
          <w:szCs w:val="20"/>
          <w:color w:val="auto"/>
        </w:rPr>
      </w:pPr>
    </w:p>
    <w:p>
      <w:pPr>
        <w:sectPr>
          <w:pgSz w:w="11900" w:h="16838" w:orient="portrait"/>
          <w:cols w:equalWidth="0" w:num="1">
            <w:col w:w="11240"/>
          </w:cols>
          <w:pgMar w:left="320" w:top="121" w:right="339" w:bottom="1082"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82"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72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60" w:type="dxa"/>
            <w:vAlign w:val="bottom"/>
            <w:gridSpan w:val="8"/>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8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2"/>
              </w:rPr>
              <w:t>11,029</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80" w:type="dxa"/>
            <w:vAlign w:val="bottom"/>
            <w:tcBorders>
              <w:right w:val="single" w:sz="8" w:color="CCEEFF"/>
            </w:tcBorders>
            <w:shd w:val="clear" w:color="auto" w:fill="CCEEFF"/>
          </w:tcPr>
          <w:p>
            <w:pPr>
              <w:spacing w:after="0"/>
              <w:rPr>
                <w:sz w:val="22"/>
                <w:szCs w:val="22"/>
                <w:color w:val="auto"/>
              </w:rPr>
            </w:pPr>
          </w:p>
        </w:tc>
        <w:tc>
          <w:tcPr>
            <w:tcW w:w="5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0" w:type="dxa"/>
            <w:vAlign w:val="bottom"/>
            <w:tcBorders>
              <w:left w:val="single" w:sz="8" w:color="CCEEFF"/>
            </w:tcBorders>
            <w:shd w:val="clear" w:color="auto" w:fill="CCEEFF"/>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lease liabilities activity:</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418"/>
        </w:trPr>
        <w:tc>
          <w:tcPr>
            <w:tcW w:w="80" w:type="dxa"/>
            <w:vAlign w:val="bottom"/>
          </w:tcPr>
          <w:p>
            <w:pPr>
              <w:spacing w:after="0"/>
              <w:rPr>
                <w:sz w:val="24"/>
                <w:szCs w:val="24"/>
                <w:color w:val="auto"/>
              </w:rPr>
            </w:pPr>
          </w:p>
        </w:tc>
        <w:tc>
          <w:tcPr>
            <w:tcW w:w="70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38,614</w:t>
            </w:r>
          </w:p>
        </w:tc>
        <w:tc>
          <w:tcPr>
            <w:tcW w:w="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11,965</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22,937</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80" w:type="dxa"/>
            <w:vAlign w:val="bottom"/>
          </w:tcPr>
          <w:p>
            <w:pPr>
              <w:spacing w:after="0"/>
              <w:rPr>
                <w:sz w:val="24"/>
                <w:szCs w:val="24"/>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34,902</w:t>
            </w: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60" w:type="dxa"/>
            <w:vAlign w:val="bottom"/>
          </w:tcPr>
          <w:p>
            <w:pPr>
              <w:spacing w:after="0"/>
              <w:rPr>
                <w:sz w:val="21"/>
                <w:szCs w:val="21"/>
                <w:color w:val="auto"/>
              </w:rPr>
            </w:pPr>
          </w:p>
        </w:tc>
      </w:tr>
      <w:tr>
        <w:trPr>
          <w:trHeight w:val="432"/>
        </w:trPr>
        <w:tc>
          <w:tcPr>
            <w:tcW w:w="80" w:type="dxa"/>
            <w:vAlign w:val="bottom"/>
          </w:tcPr>
          <w:p>
            <w:pPr>
              <w:spacing w:after="0"/>
              <w:rPr>
                <w:sz w:val="24"/>
                <w:szCs w:val="24"/>
                <w:color w:val="auto"/>
              </w:rPr>
            </w:pPr>
          </w:p>
        </w:tc>
        <w:tc>
          <w:tcPr>
            <w:tcW w:w="70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2024 were as follows: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5"/>
        </w:trPr>
        <w:tc>
          <w:tcPr>
            <w:tcW w:w="8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2029 and beyond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80" w:type="dxa"/>
            <w:vAlign w:val="bottom"/>
            <w:tcBorders>
              <w:right w:val="single" w:sz="8" w:color="CCEEFF"/>
            </w:tcBorders>
          </w:tcPr>
          <w:p>
            <w:pPr>
              <w:spacing w:after="0"/>
              <w:rPr>
                <w:sz w:val="21"/>
                <w:szCs w:val="21"/>
                <w:color w:val="auto"/>
              </w:rPr>
            </w:pPr>
          </w:p>
        </w:tc>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36,375</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80" w:type="dxa"/>
            <w:vAlign w:val="bottom"/>
            <w:tcBorders>
              <w:right w:val="single" w:sz="8" w:color="CCEEFF"/>
            </w:tcBorders>
          </w:tcPr>
          <w:p>
            <w:pPr>
              <w:spacing w:after="0"/>
              <w:rPr>
                <w:sz w:val="24"/>
                <w:szCs w:val="24"/>
                <w:color w:val="auto"/>
              </w:rPr>
            </w:pPr>
          </w:p>
        </w:tc>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60" w:type="dxa"/>
            <w:vAlign w:val="bottom"/>
            <w:tcBorders>
              <w:left w:val="single" w:sz="8" w:color="CCEEFF"/>
            </w:tcBorders>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initiated a global cost and optimization program to improve its cost structure and drive a more profitable and productive organization. As of September 30, 2024, the program included restructuring and associated severance costs to reduce headcount by approximately 175 positions globally. The program is expected to be substantially complete by the end of the first quarter of 2025.</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 separation benefits vary depending on local regulations within certain foreign countries and include severance and other benefits. The exact timing to complete, and final costs associated with, all actions will depend on a number of factors and are subject to change. In addition to the program described above, the Company continues to take actions to optimize its facilities’ footprint. Restructuring costs incurred during the three and nine months ended September 30, 2024 and 2023 include employee severance, asset related and facility closure costs that are recorded in Restructuring and related charges, net in the Company’s Condensed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accruals for its restructuring program and facility closure actions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December 31, 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September 30, 2024</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plans for closure of certain manufacturing and non-manufacturing facilities, the Company has made available for sale certain facilities and properties. As of September 30, 2024, the Company classified properties in the Americas and EMEA segments with an aggregate book value of approximately $2.2 million as held-for-sale. These assets are recorded in Prepaid expenses and other current assets on the Company’s Condensed Consolidated Balance Sheets. The Company expects to complete the sale of these properties over the next 12 months. During the three and nine months ended September 30, 2024, the Company completed the sale of certain facilities previously classified as held for sale for a net gain of $0.5 million, which is recorded in Other income (expenses), net in the Company’s Condensed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recognized the following share-based compensation expense in its Condensed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60" w:type="dxa"/>
            <w:vAlign w:val="bottom"/>
          </w:tcPr>
          <w:p>
            <w:pPr>
              <w:spacing w:after="0"/>
              <w:rPr>
                <w:sz w:val="20"/>
                <w:szCs w:val="20"/>
                <w:color w:val="auto"/>
              </w:rPr>
            </w:pPr>
          </w:p>
        </w:tc>
        <w:tc>
          <w:tcPr>
            <w:tcW w:w="23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awards and restricted stock units</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2,672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r>
      <w:tr>
        <w:trPr>
          <w:trHeight w:val="27"/>
        </w:trPr>
        <w:tc>
          <w:tcPr>
            <w:tcW w:w="5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stock ownership plan</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1,539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7"/>
        </w:trPr>
        <w:tc>
          <w:tcPr>
            <w:tcW w:w="5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4,285</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unrecognized compensation expense related to unvested stock options was $0.1 million, to be recognized over a weighted average remaining period of 0.5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872 non-vested restricted share awards under its long-term incentive plan (“LTIP”), which are subject to time-based vesting, generally over one to three years. As of September 30, 2024, unrecognized compensation expense related to non-vested restricted shares was $2.1 million, to be recognized over a weighted average remaining period of 1.0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59,678 restricted stock units under its LTIP, which are subject to time-based vesting, generally over one to three years. The fair value of these grants is based on the closing price of the Company’s common stock on the date of grant. As of September 30, 2024, unrecognized compensation expense related to non-vested restricted stock units was $7.9 million, to be recognized over a weighted average remaining period of 1.5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three years and the measurement period of the market-based and performance objectives is generally from January 1 of the year of grant through December 31 of the year prior to issuance of the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mentioned above, a portion of the Company’s PSUs are subject to the achievement of the Company’s TSR relative to the performance of a selected peer group. For PSUs granted prior to 2024, the Company’s peer group was the S&amp;P Midcap 400 Materials group. For PSUs subject to relative TSR performance granted in 2024, the Company made an election to change peer groups to the S&amp;P 1500 Chemical group.</w:t>
      </w:r>
    </w:p>
    <w:p>
      <w:pPr>
        <w:spacing w:after="0" w:line="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 grant date fair value and is recognized on a straight-line vesting method basis over the applicable vesting period. During the nine months ended September 30, 2024, the Company granted 21,019 PSUs with a ROIC condition at a grant date fair value of $200.16 per unit, which was based on the closing trading price of the Company’s common stock on the date of grant. During the nine months ended September 30, 2024, the Company granted 20,883 PSUs with a relative TSR condition. These PSUs are valued using a Monte Carlo simulation on the grant date and had a grant-date fair value of $234.19 per unit, which was developed based on the assumptions set forth in the table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97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Grants</w:t>
            </w:r>
          </w:p>
        </w:tc>
      </w:tr>
      <w:tr>
        <w:trPr>
          <w:trHeight w:val="27"/>
        </w:trPr>
        <w:tc>
          <w:tcPr>
            <w:tcW w:w="9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7"/>
        </w:trPr>
        <w:tc>
          <w:tcPr>
            <w:tcW w:w="9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$10.7 million of total unrecognized compensation cost related to PSUs, which the Company expects to recognize over a weighted-average period of 2.1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 (income) are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0" w:type="dxa"/>
            <w:vAlign w:val="bottom"/>
          </w:tcPr>
          <w:p>
            <w:pPr>
              <w:spacing w:after="0"/>
              <w:rPr>
                <w:sz w:val="20"/>
                <w:szCs w:val="20"/>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5"/>
        </w:trPr>
        <w:tc>
          <w:tcPr>
            <w:tcW w:w="23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9"/>
        </w:trPr>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$5.3 million of contributions have been made to the Company’s U.S. and foreign pension plans. Contributions to other postretirement benefit plans were $0.1 million. Taking into consideration current minimum cash contribution requirements, the Company currently expects to make full year cash contributions of approximately $6.5 million to its U.S. and foreign pension plans and approximately $0.2 million to its other postretirement benefit plans.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Other income (expense), net</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Other income (expense), net are as follows: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6"/>
        </w:trPr>
        <w:tc>
          <w:tcPr>
            <w:tcW w:w="5720" w:type="dxa"/>
            <w:vAlign w:val="bottom"/>
          </w:tcPr>
          <w:p>
            <w:pPr>
              <w:spacing w:after="0"/>
              <w:rPr>
                <w:sz w:val="24"/>
                <w:szCs w:val="24"/>
                <w:color w:val="auto"/>
              </w:rPr>
            </w:pPr>
          </w:p>
        </w:tc>
        <w:tc>
          <w:tcPr>
            <w:tcW w:w="28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20" w:type="dxa"/>
            <w:vAlign w:val="bottom"/>
          </w:tcPr>
          <w:p>
            <w:pPr>
              <w:spacing w:after="0"/>
              <w:rPr>
                <w:sz w:val="20"/>
                <w:szCs w:val="20"/>
                <w:color w:val="auto"/>
              </w:rPr>
            </w:pPr>
          </w:p>
        </w:tc>
        <w:tc>
          <w:tcPr>
            <w:tcW w:w="28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7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 refunds and other related credits</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3,755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third party license fees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7"/>
        </w:trPr>
        <w:tc>
          <w:tcPr>
            <w:tcW w:w="5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disposals of property, plant, equipment and other assets, net</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(2,124)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7"/>
        </w:trPr>
        <w:tc>
          <w:tcPr>
            <w:tcW w:w="5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remediation recoveries, net</w:t>
            </w:r>
          </w:p>
        </w:tc>
        <w:tc>
          <w:tcPr>
            <w:tcW w:w="84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7"/>
        </w:trPr>
        <w:tc>
          <w:tcPr>
            <w:tcW w:w="5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interruption insurance proceeds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liability claim</w:t>
            </w:r>
          </w:p>
        </w:tc>
        <w:tc>
          <w:tcPr>
            <w:tcW w:w="84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 adjustment</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 net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7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2,285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(Loss) gain on disposals of property, plant, equipment and other assets, net, includes the net gains recognized for the sale of certain facilities previously classified as held for sale during the three and nine months ended September 30, 2024. See Note 7 of Notes to the Condensed Consolidated Financial Statements.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Business interruption insurance proceeds during the three and nine months ended September 30, 2024 reflects an insurance recovery of $1.0 million related to production losses due to an electrical fire in 2021 that resulted in temporary shutdown of production at one of the Company’s production facilities. See Note 18 for additional discussion regarding the Company’s business interruption claims.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Facility remediation recoveries, net, during the nine months ended September 30, 2023, reflect insurance recoveries of costs for remediation and restoration of property damage. See Note 18 for additional discussion regarding the Company’s insurance recoveries for facility remediation and property damage.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liability claim costs represents expense related to the payments by the Company in connection with a product liability dispute with a customer during the nine months ended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effective tax rates for the three and nine months ended September 30, 2024 were 28.9% and 29.7%, respectively, compared to 30.9% and 31.1% for the three and nine months ended September 30, 2023, respectively. The Company’s effective tax rates for the three months ended September 30, 2024 was largely driven by the mix of pre-tax earnings, withholding taxes, and changes in uncertain tax positions offset by return to provision adjustments. The effective tax rate for the nine months ended September 30, 2024 was further impacted by certain one-time charges related to an intercompany intangible asset transfer offset by changes in uncertain tax positions. Comparatively, the effective tax rates for the three and nine months ended September 30, 2023 were largely impacted by the mix of pre-tax earnings, changes to the valuation allowance for and the usage of certain foreign tax credits, return to provision adjustments and withholding taxes, partially offset by changes in uncertain tax positions.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earnings per share calculations: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6"/>
        </w:trPr>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92,550</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7"/>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33,506</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102,099</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92,086</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17,837,858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17,908,754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17,889,168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17,889,444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5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92,086</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17,837,858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17,908,754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17,889,168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17,889,444</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r>
      <w:tr>
        <w:trPr>
          <w:trHeight w:val="237"/>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17,864,335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17,921,274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17,909,967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17,906,153</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be anti-dilutive. The number of anti-dilutive shares was 19,374 and 31,377 for the three and nine months ended September 30, 2024, respectively, and 11,598 and 10,453 for the three and nine months ended September 30,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2024 were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512,518</w:t>
            </w: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additions</w:t>
            </w:r>
          </w:p>
        </w:tc>
        <w:tc>
          <w:tcPr>
            <w:tcW w:w="2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6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279,355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532,523</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were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8"/>
                <w:szCs w:val="18"/>
                <w:color w:val="auto"/>
              </w:rPr>
            </w:pPr>
          </w:p>
        </w:tc>
        <w:tc>
          <w:tcPr>
            <w:tcW w:w="27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27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6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rights to sell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281,935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597,690</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formulations and</w:t>
            </w:r>
          </w:p>
        </w:tc>
        <w:tc>
          <w:tcPr>
            <w:tcW w:w="1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167,736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105,734</w:t>
            </w:r>
          </w:p>
        </w:tc>
        <w:tc>
          <w:tcPr>
            <w:tcW w:w="0" w:type="dxa"/>
            <w:vAlign w:val="bottom"/>
          </w:tcPr>
          <w:p>
            <w:pPr>
              <w:spacing w:after="0"/>
              <w:rPr>
                <w:sz w:val="1"/>
                <w:szCs w:val="1"/>
                <w:color w:val="auto"/>
              </w:rPr>
            </w:pPr>
          </w:p>
        </w:tc>
      </w:tr>
      <w:tr>
        <w:trPr>
          <w:trHeight w:val="12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product technology</w:t>
            </w: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5"/>
        </w:trPr>
        <w:tc>
          <w:tcPr>
            <w:tcW w:w="27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definite-lived intangible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1,030,497</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1,009,067</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350,410</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305,527</w:t>
            </w:r>
          </w:p>
        </w:tc>
        <w:tc>
          <w:tcPr>
            <w:tcW w:w="8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680,087</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703,540</w:t>
            </w:r>
          </w:p>
        </w:tc>
        <w:tc>
          <w:tcPr>
            <w:tcW w:w="0" w:type="dxa"/>
            <w:vAlign w:val="bottom"/>
          </w:tcPr>
          <w:p>
            <w:pPr>
              <w:spacing w:after="0"/>
              <w:rPr>
                <w:sz w:val="1"/>
                <w:szCs w:val="1"/>
                <w:color w:val="auto"/>
              </w:rPr>
            </w:pPr>
          </w:p>
        </w:tc>
      </w:tr>
      <w:tr>
        <w:trPr>
          <w:trHeight w:val="113"/>
        </w:trPr>
        <w:tc>
          <w:tcPr>
            <w:tcW w:w="2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amortization expense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43,734</w:t>
            </w:r>
          </w:p>
        </w:tc>
      </w:tr>
      <w:tr>
        <w:trPr>
          <w:trHeight w:val="419"/>
        </w:trPr>
        <w:tc>
          <w:tcPr>
            <w:tcW w:w="20" w:type="dxa"/>
            <w:vAlign w:val="bottom"/>
          </w:tcPr>
          <w:p>
            <w:pPr>
              <w:spacing w:after="0"/>
              <w:rPr>
                <w:sz w:val="24"/>
                <w:szCs w:val="24"/>
                <w:color w:val="auto"/>
              </w:rPr>
            </w:pPr>
          </w:p>
        </w:tc>
        <w:tc>
          <w:tcPr>
            <w:tcW w:w="83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Estimated annual aggregate amortization expense for the current year and subsequent five years is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58,606</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58,308</w:t>
            </w: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57,968</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57,486</w:t>
            </w: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56,397</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indefinite-lived intangible assets for trademarks and tradenames totaling $194.7 million and $193.2 million,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Debt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debt: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80" w:type="dxa"/>
            <w:vAlign w:val="bottom"/>
          </w:tcPr>
          <w:p>
            <w:pPr>
              <w:spacing w:after="0"/>
              <w:rPr>
                <w:sz w:val="24"/>
                <w:szCs w:val="24"/>
                <w:color w:val="auto"/>
              </w:rPr>
            </w:pPr>
          </w:p>
        </w:tc>
        <w:tc>
          <w:tcPr>
            <w:tcW w:w="2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38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spacing w:after="0"/>
              <w:rPr>
                <w:sz w:val="20"/>
                <w:szCs w:val="20"/>
                <w:color w:val="auto"/>
              </w:rPr>
            </w:pPr>
          </w:p>
        </w:tc>
        <w:tc>
          <w:tcPr>
            <w:tcW w:w="12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36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60" w:type="dxa"/>
            <w:vAlign w:val="bottom"/>
            <w:tcBorders>
              <w:bottom w:val="single" w:sz="8" w:color="CCEDFF"/>
            </w:tcBorders>
            <w:shd w:val="clear" w:color="auto" w:fill="CCEDFF"/>
          </w:tcPr>
          <w:p>
            <w:pPr>
              <w:spacing w:after="0"/>
              <w:rPr>
                <w:sz w:val="20"/>
                <w:szCs w:val="20"/>
                <w:color w:val="auto"/>
              </w:rPr>
            </w:pPr>
          </w:p>
        </w:tc>
        <w:tc>
          <w:tcPr>
            <w:tcW w:w="1200" w:type="dxa"/>
            <w:vAlign w:val="bottom"/>
            <w:tcBorders>
              <w:bottom w:val="single" w:sz="8" w:color="CCEDFF"/>
            </w:tcBorders>
            <w:shd w:val="clear" w:color="auto" w:fill="CCED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61,404</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6.32%</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515,543</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561,250</w:t>
            </w: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 Term Loan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151,137</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740,645</w:t>
            </w:r>
          </w:p>
        </w:tc>
        <w:tc>
          <w:tcPr>
            <w:tcW w:w="80" w:type="dxa"/>
            <w:vAlign w:val="bottom"/>
            <w:tcBorders>
              <w:bottom w:val="single" w:sz="8" w:color="CCEDFF"/>
            </w:tcBorders>
            <w:shd w:val="clear" w:color="auto" w:fill="CCEDFF"/>
          </w:tcPr>
          <w:p>
            <w:pPr>
              <w:spacing w:after="0"/>
              <w:rPr>
                <w:sz w:val="21"/>
                <w:szCs w:val="21"/>
                <w:color w:val="auto"/>
              </w:rPr>
            </w:pPr>
          </w:p>
        </w:tc>
        <w:tc>
          <w:tcPr>
            <w:tcW w:w="136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755,612</w:t>
            </w:r>
          </w:p>
        </w:tc>
      </w:tr>
      <w:tr>
        <w:trPr>
          <w:trHeight w:val="243"/>
        </w:trPr>
        <w:tc>
          <w:tcPr>
            <w:tcW w:w="20" w:type="dxa"/>
            <w:vAlign w:val="bottom"/>
          </w:tcPr>
          <w:p>
            <w:pPr>
              <w:spacing w:after="0"/>
              <w:rPr>
                <w:sz w:val="21"/>
                <w:szCs w:val="21"/>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5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13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(38,787)</w:t>
            </w:r>
          </w:p>
        </w:tc>
        <w:tc>
          <w:tcPr>
            <w:tcW w:w="80" w:type="dxa"/>
            <w:vAlign w:val="bottom"/>
            <w:tcBorders>
              <w:bottom w:val="single" w:sz="8" w:color="CCEDFF"/>
            </w:tcBorders>
            <w:shd w:val="clear" w:color="auto" w:fill="CCEDFF"/>
          </w:tcPr>
          <w:p>
            <w:pPr>
              <w:spacing w:after="0"/>
              <w:rPr>
                <w:sz w:val="23"/>
                <w:szCs w:val="23"/>
                <w:color w:val="auto"/>
              </w:rPr>
            </w:pPr>
          </w:p>
        </w:tc>
        <w:tc>
          <w:tcPr>
            <w:tcW w:w="136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60" w:type="dxa"/>
            <w:vAlign w:val="bottom"/>
            <w:tcBorders>
              <w:bottom w:val="single" w:sz="8" w:color="CCEDFF"/>
            </w:tcBorders>
            <w:shd w:val="clear" w:color="auto" w:fill="CCEDFF"/>
          </w:tcPr>
          <w:p>
            <w:pPr>
              <w:spacing w:after="0"/>
              <w:rPr>
                <w:sz w:val="23"/>
                <w:szCs w:val="23"/>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(23,444)</w:t>
            </w:r>
          </w:p>
        </w:tc>
      </w:tr>
      <w:tr>
        <w:trPr>
          <w:trHeight w:val="263"/>
        </w:trPr>
        <w:tc>
          <w:tcPr>
            <w:tcW w:w="20" w:type="dxa"/>
            <w:vAlign w:val="bottom"/>
          </w:tcPr>
          <w:p>
            <w:pPr>
              <w:spacing w:after="0"/>
              <w:rPr>
                <w:sz w:val="22"/>
                <w:szCs w:val="22"/>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700,648</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730,623</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all of the Credit Facility covenants. See Note 19 of Notes to Consolidated Financial Statements in the Company’s 2023 Form 10-K.</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rates incurred on the outstanding borrowings under the Credit Facility during the three and nine months ended September 30, 2024 were approximately 6.1% and 6.2%, respectively. As of September 30, 2024, the interest rate on the outstanding borrowings under the Credit Facility was approximately 5.8%.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$436 million, which is net of bank letters of credit of approximately $3 million, as of September 30, 2024.</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to an average fixed rate of 3.64% plus an applicable margin as provided in the Credit Facility based on the Company’s consolidated net leverage ratio. As of September 30, 2024, the aggregate interest rate on the swaps, including the fixed base rate plus the applicable margin, was approximately 4.9%. See Note 17 of Notes to Condensed Consolidated Financial Statements.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capitalized third-party and credit debt issuance costs attributed to the Euro Term Loan, U.S. Term Loan and Revolver in connection to the amended Credit Facility during the second quarter of 2022. Capitalized costs attributed to the Euro Term Loan and U.S. Term Loan are recorded as a direct offset of Long-term debt on the Condensed Consolidated Balance Sheet. Capitalized costs attributed to the Revolver are recorded within Other assets on the Condensed Consolidated Balance Sheet. These capitalized costs will collectively be amortized into Interest expense over the five-year term of the Credit Facility. As of September 30, 2024, the Company had $1.2 million of debt issuance costs recorded as an offset of Long-term debt and $2.6 million of debt issuance costs recorded within Other assets. Comparatively, as of December 31, 2023, the Company had $1.5 million of debt issuance costs recorded as an offset of Long-term debt and $3.3 million of debt issuance costs recorded within Other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fixed rate, industrial development authority bonds totaling $10.0 million in principal amount due in 2028. These bonds have similar covenants to the Credit Facility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September 30, 2024 was approximately $35 million.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September 30, 2024 were approximately $7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net, in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4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33,585</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40,863</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554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540" w:type="dxa"/>
            <w:vAlign w:val="bottom"/>
            <w:tcBorders>
              <w:bottom w:val="single" w:sz="8" w:color="CCEDFF"/>
            </w:tcBorders>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80" w:type="dxa"/>
            <w:vAlign w:val="bottom"/>
            <w:tcBorders>
              <w:bottom w:val="single" w:sz="8" w:color="CCEDFF"/>
            </w:tcBorders>
            <w:shd w:val="clear" w:color="auto" w:fill="CCEDFF"/>
          </w:tcPr>
          <w:p>
            <w:pPr>
              <w:spacing w:after="0"/>
              <w:rPr>
                <w:sz w:val="24"/>
                <w:szCs w:val="24"/>
                <w:color w:val="auto"/>
              </w:rPr>
            </w:pPr>
          </w:p>
        </w:tc>
        <w:tc>
          <w:tcPr>
            <w:tcW w:w="32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41,922</w:t>
            </w:r>
          </w:p>
        </w:tc>
      </w:tr>
      <w:tr>
        <w:trPr>
          <w:trHeight w:val="20"/>
        </w:trPr>
        <w:tc>
          <w:tcPr>
            <w:tcW w:w="55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September 30, 2024 and as of December 31, 2023, the amounts at which the Company’s total debt were recorded are not materially different from their fair market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9"/>
              </w:rPr>
              <w:t>Note 15 – Accumulated Other Comprehensive Income</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9860" w:type="dxa"/>
            <w:vAlign w:val="bottom"/>
            <w:gridSpan w:val="20"/>
          </w:tcPr>
          <w:p>
            <w:pPr>
              <w:ind w:left="320"/>
              <w:spacing w:after="0"/>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2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Gain (Loss) in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4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0"/>
                <w:szCs w:val="20"/>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8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Borders>
              <w:bottom w:val="single" w:sz="8" w:color="CCEDFF"/>
            </w:tcBorders>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(159,574)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34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DFF"/>
            </w:tcBorders>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DFF"/>
            </w:tcBorders>
            <w:shd w:val="clear" w:color="auto" w:fill="CCEDFF"/>
          </w:tcPr>
          <w:p>
            <w:pPr>
              <w:spacing w:after="0"/>
              <w:rPr>
                <w:sz w:val="24"/>
                <w:szCs w:val="24"/>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(128,448)</w:t>
            </w:r>
          </w:p>
        </w:tc>
        <w:tc>
          <w:tcPr>
            <w:tcW w:w="20" w:type="dxa"/>
            <w:vAlign w:val="bottom"/>
            <w:tcBorders>
              <w:bottom w:val="single" w:sz="8" w:color="auto"/>
            </w:tcBorders>
            <w:shd w:val="clear" w:color="auto" w:fill="CCEDFF"/>
          </w:tcPr>
          <w:p>
            <w:pPr>
              <w:spacing w:after="0"/>
              <w:rPr>
                <w:sz w:val="24"/>
                <w:szCs w:val="24"/>
                <w:color w:val="auto"/>
              </w:rPr>
            </w:pPr>
          </w:p>
        </w:tc>
      </w:tr>
      <w:tr>
        <w:trPr>
          <w:trHeight w:val="20"/>
        </w:trPr>
        <w:tc>
          <w:tcPr>
            <w:tcW w:w="20" w:type="dxa"/>
            <w:vAlign w:val="bottom"/>
            <w:tcBorders>
              <w:top w:val="single" w:sz="8" w:color="CCEDFF"/>
            </w:tcBorders>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(130,738)</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(130,108)</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DFF"/>
            </w:tcBorders>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DFF"/>
            </w:tcBorders>
            <w:shd w:val="clear" w:color="auto" w:fill="CCEDFF"/>
          </w:tcPr>
          <w:p>
            <w:pPr>
              <w:spacing w:after="0"/>
              <w:rPr>
                <w:sz w:val="24"/>
                <w:szCs w:val="24"/>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(156,239)</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(154,724)</w:t>
            </w:r>
          </w:p>
        </w:tc>
        <w:tc>
          <w:tcPr>
            <w:tcW w:w="20" w:type="dxa"/>
            <w:vAlign w:val="bottom"/>
            <w:tcBorders>
              <w:bottom w:val="single" w:sz="8" w:color="auto"/>
            </w:tcBorders>
            <w:shd w:val="clear" w:color="auto" w:fill="CCEDFF"/>
          </w:tcPr>
          <w:p>
            <w:pPr>
              <w:spacing w:after="0"/>
              <w:rPr>
                <w:sz w:val="24"/>
                <w:szCs w:val="24"/>
                <w:color w:val="auto"/>
              </w:rPr>
            </w:pPr>
          </w:p>
        </w:tc>
      </w:tr>
      <w:tr>
        <w:trPr>
          <w:trHeight w:val="20"/>
        </w:trPr>
        <w:tc>
          <w:tcPr>
            <w:tcW w:w="20" w:type="dxa"/>
            <w:vAlign w:val="bottom"/>
            <w:tcBorders>
              <w:top w:val="single" w:sz="8" w:color="CCEDFF"/>
            </w:tcBorders>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360" w:type="dxa"/>
            <w:vAlign w:val="bottom"/>
            <w:tcBorders>
              <w:top w:val="single" w:sz="8" w:color="CCEDFF"/>
              <w:bottom w:val="single" w:sz="8" w:color="auto"/>
            </w:tcBorders>
            <w:gridSpan w:val="2"/>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2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 in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0"/>
                <w:szCs w:val="20"/>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 Securities</w:t>
            </w: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(115,417)</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(124,415)</w:t>
            </w:r>
          </w:p>
        </w:tc>
        <w:tc>
          <w:tcPr>
            <w:tcW w:w="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41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8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(128,448)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(132,161)</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(138,240)</w:t>
            </w:r>
          </w:p>
        </w:tc>
        <w:tc>
          <w:tcPr>
            <w:tcW w:w="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41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(156,239)</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8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(154,724)</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its company-owned life insurance policies at fair value. During June 2023, the Company surrendered and liquidated $1.9 million of these life insurance policies. As a result, the Company owns an immaterial amount of company-owned life insurance policies as of September 30, 2024 and December 31,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for a description of the Company’s derivative instruments.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derivative financial instruments for trading or speculative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income (expense), net. The fair value of the forward contract is determined from sources independent of the Company, including the financial institutions which are party to the derivative instruments.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 foreign exchange forward contracts as of September 30, 2024 were entered into as hedges of Japanese yen and Mexican peso against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and had the following notional U.S. dollar values: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800" w:type="dxa"/>
            <w:vAlign w:val="bottom"/>
          </w:tcPr>
          <w:p>
            <w:pPr>
              <w:spacing w:after="0"/>
              <w:rPr>
                <w:sz w:val="20"/>
                <w:szCs w:val="20"/>
                <w:color w:val="auto"/>
              </w:rPr>
            </w:pPr>
          </w:p>
        </w:tc>
        <w:tc>
          <w:tcPr>
            <w:tcW w:w="7060" w:type="dxa"/>
            <w:vAlign w:val="bottom"/>
            <w:gridSpan w:val="3"/>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28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Mexican Peso</w:t>
            </w:r>
          </w:p>
        </w:tc>
        <w:tc>
          <w:tcPr>
            <w:tcW w:w="7060" w:type="dxa"/>
            <w:vAlign w:val="bottom"/>
            <w:tcBorders>
              <w:bottom w:val="single" w:sz="8" w:color="CCEDFF"/>
            </w:tcBorders>
            <w:gridSpan w:val="3"/>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13,700</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Japanese Yen</w:t>
            </w:r>
          </w:p>
        </w:tc>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2800" w:type="dxa"/>
            <w:vAlign w:val="bottom"/>
            <w:tcBorders>
              <w:bottom w:val="single" w:sz="8" w:color="CCEDFF"/>
            </w:tcBorders>
          </w:tcPr>
          <w:p>
            <w:pPr>
              <w:spacing w:after="0"/>
              <w:rPr>
                <w:sz w:val="2"/>
                <w:szCs w:val="2"/>
                <w:color w:val="auto"/>
              </w:rPr>
            </w:pPr>
          </w:p>
        </w:tc>
        <w:tc>
          <w:tcPr>
            <w:tcW w:w="684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2800" w:type="dxa"/>
            <w:vAlign w:val="bottom"/>
            <w:tcBorders>
              <w:bottom w:val="single" w:sz="8" w:color="CCEDFF"/>
            </w:tcBorders>
            <w:shd w:val="clear" w:color="auto" w:fill="CCEDFF"/>
          </w:tcPr>
          <w:p>
            <w:pPr>
              <w:spacing w:after="0"/>
              <w:rPr>
                <w:sz w:val="24"/>
                <w:szCs w:val="24"/>
                <w:color w:val="auto"/>
              </w:rPr>
            </w:pPr>
          </w:p>
        </w:tc>
        <w:tc>
          <w:tcPr>
            <w:tcW w:w="7060" w:type="dxa"/>
            <w:vAlign w:val="bottom"/>
            <w:tcBorders>
              <w:bottom w:val="single" w:sz="8" w:color="CCEDFF"/>
            </w:tcBorders>
            <w:gridSpan w:val="3"/>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23,700</w:t>
            </w:r>
          </w:p>
        </w:tc>
      </w:tr>
      <w:tr>
        <w:trPr>
          <w:trHeight w:val="20"/>
        </w:trPr>
        <w:tc>
          <w:tcPr>
            <w:tcW w:w="2800" w:type="dxa"/>
            <w:vAlign w:val="bottom"/>
            <w:tcBorders>
              <w:top w:val="single" w:sz="8" w:color="CCEDFF"/>
            </w:tcBorders>
          </w:tcPr>
          <w:p>
            <w:pPr>
              <w:spacing w:after="0" w:line="20" w:lineRule="exact"/>
              <w:rPr>
                <w:sz w:val="1"/>
                <w:szCs w:val="1"/>
                <w:color w:val="auto"/>
              </w:rPr>
            </w:pPr>
          </w:p>
        </w:tc>
        <w:tc>
          <w:tcPr>
            <w:tcW w:w="684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Open foreign exchange forward contracts as of September 30, 2024 had maturities occurring over a period of one month. </w:t>
      </w:r>
      <w:r>
        <w:rPr>
          <w:rFonts w:ascii="Times New Roman" w:cs="Times New Roman" w:eastAsia="Times New Roman" w:hAnsi="Times New Roman"/>
          <w:sz w:val="18"/>
          <w:szCs w:val="18"/>
          <w:i w:val="1"/>
          <w:iCs w:val="1"/>
          <w:color w:val="auto"/>
        </w:rPr>
        <w:t>Interest Rate Swaps</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See Note 14 of Notes to Condensed Consolidated Financial Statements. 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41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Location</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DFF"/>
            </w:tcBorders>
          </w:tcPr>
          <w:p>
            <w:pPr>
              <w:spacing w:after="0"/>
              <w:rPr>
                <w:sz w:val="2"/>
                <w:szCs w:val="2"/>
                <w:color w:val="auto"/>
              </w:rPr>
            </w:pPr>
          </w:p>
        </w:tc>
        <w:tc>
          <w:tcPr>
            <w:tcW w:w="4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CCEDFF"/>
            </w:tcBorders>
            <w:gridSpan w:val="3"/>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 w:type="dxa"/>
            <w:vAlign w:val="bottom"/>
            <w:tcBorders>
              <w:bottom w:val="single" w:sz="8" w:color="CCEDFF"/>
            </w:tcBorders>
            <w:shd w:val="clear" w:color="auto" w:fill="CCEDFF"/>
          </w:tcPr>
          <w:p>
            <w:pPr>
              <w:spacing w:after="0"/>
              <w:rPr>
                <w:sz w:val="21"/>
                <w:szCs w:val="21"/>
                <w:color w:val="auto"/>
              </w:rPr>
            </w:pPr>
          </w:p>
        </w:tc>
        <w:tc>
          <w:tcPr>
            <w:tcW w:w="4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1"/>
                <w:szCs w:val="21"/>
                <w:color w:val="auto"/>
              </w:rPr>
            </w:pPr>
          </w:p>
        </w:tc>
      </w:tr>
      <w:tr>
        <w:trPr>
          <w:trHeight w:val="405"/>
        </w:trPr>
        <w:tc>
          <w:tcPr>
            <w:tcW w:w="40" w:type="dxa"/>
            <w:vAlign w:val="bottom"/>
          </w:tcPr>
          <w:p>
            <w:pPr>
              <w:spacing w:after="0"/>
              <w:rPr>
                <w:sz w:val="24"/>
                <w:szCs w:val="24"/>
                <w:color w:val="auto"/>
              </w:rPr>
            </w:pPr>
          </w:p>
        </w:tc>
        <w:tc>
          <w:tcPr>
            <w:tcW w:w="8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following table presents the net unrealized (loss) gain deferred to AOCI:</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40" w:type="dxa"/>
            <w:vAlign w:val="bottom"/>
            <w:tcBorders>
              <w:bottom w:val="single" w:sz="8" w:color="CCEDFF"/>
            </w:tcBorders>
          </w:tcPr>
          <w:p>
            <w:pPr>
              <w:spacing w:after="0"/>
              <w:rPr>
                <w:sz w:val="2"/>
                <w:szCs w:val="2"/>
                <w:color w:val="auto"/>
              </w:rPr>
            </w:pPr>
          </w:p>
        </w:tc>
        <w:tc>
          <w:tcPr>
            <w:tcW w:w="4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00" w:type="dxa"/>
            <w:vAlign w:val="bottom"/>
            <w:tcBorders>
              <w:bottom w:val="single" w:sz="8" w:color="CCEDFF"/>
            </w:tcBorders>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99"/>
              </w:rPr>
              <w:t>AOCI</w:t>
            </w:r>
          </w:p>
        </w:tc>
        <w:tc>
          <w:tcPr>
            <w:tcW w:w="200" w:type="dxa"/>
            <w:vAlign w:val="bottom"/>
            <w:tcBorders>
              <w:bottom w:val="single" w:sz="8" w:color="CCEDFF"/>
            </w:tcBorders>
            <w:gridSpan w:val="3"/>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Pr>
          <w:p>
            <w:pPr>
              <w:spacing w:after="0"/>
              <w:rPr>
                <w:sz w:val="21"/>
                <w:szCs w:val="21"/>
                <w:color w:val="auto"/>
              </w:rPr>
            </w:pPr>
          </w:p>
        </w:tc>
      </w:tr>
      <w:tr>
        <w:trPr>
          <w:trHeight w:val="743"/>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4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location and the amount of net gain or loss recognized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related to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(2,040)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1,814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its 2023 Form 10-K, the Company is party to certain environmental matters and other litigation. See Note 25 of Notes to Consolidated Financial Statements in the Company’s 2023 Form 10-K. During the three and nine months ended September 30, 2024, there have been no 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$6 million as of September 30, 2024 and December 31, 2023, respectively, for these ongoing matters.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disclosed in its 2023 Form 10-K that one of its North American production facilities experienced an electrical fire in 2021 that resulted in property damage and the temporary shutdown of production. The Company and its insurance carrier reviewed the impact of the electrical fire on the production facility’s operations as it relates to a potential business interruption insurance claim. In July 2024, the Company and its insurance carrier settled this claim for $1.0 million.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Company completed its acquisition of Coral Chemical Company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Since the second quarter of 2022, there have been no material changes to the facts and circumstances of the claim asserted by the Sellers, and the Company continues to believe the potential range of exposure for this claim is $0 to $1.5 million.</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during the three and nine months ended September 30, 2024, there are no new environmental matters or litigation that the Company believes will have a material adverse effect on the Company’s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sales in the third quarter of 2024 were $462.3 million, a decrease of 6% compared to $490.6 million in the third quarter of 2023. This was primarily driven by a decrease in selling price and product mix of approximately 4%, a decrease in sales volumes of 1%, and an unfavorable impact from foreign currency translation of 1%. The decrease in selling price and product mix was primarily attributable to the impact of our index-based customer contracts. The decline in sales volumes was primarily a result of a continuation of soft end market conditions compared to the prior year, primarily in the Americas and Europe, Middle East and Africa (“EMEA”) segments, partially offset by an increase in sales volumes in the Asia/Pacific segment, continued new business wins across all segments and a contribution from acquisitions in the EMEA and Asia/Pacific segments.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generated net income in the third quarter of 2024 of $32.3 million, or $1.81 per diluted share, compared to net income of $33.7 million, or $1.87 per diluted share in the third quarter of 2023. Excluding non-recurring and non-core items in each period, the Company’s third quarter 2024 non-GAAP net income and earnings per diluted share were $34.0 million and $1.89 compared to $36.9 million and $2.05, respectively, in the prior year. The decrease in current quarter earnings was primarily driven by lower net sales, partially offset by lower selling, general, and administrative expenses (“SG&amp;A”) and lower interest expense. The Company’s current quarter adjusted EBITDA was $78.6 million compared to $84.4 million in the third quarter of 2023, primarily driven by lower net sales as described above. See the Non-GAAP Measures section of this Item below, as well as other items discussed in the Company’s Consolidated Operations Review in the Operations section of this Item, below.</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third quarter 2024 operating performance in each of its three reportable segments: (i) Americas; (ii) EMEA; and (iii) Asia/Pacific, reflects similar drivers to that of the Company’s consolidated performance. Operating earnings for all three segments decreased compared to the prior year quarter, primarily driven by a decrease in net sales in the Americas and EMEA segments and a slight decline in operating margin in the Asia/Pacific segment. Additional details of each segment’s operating performance are further discussed in the Company’s Reportable Segments Review, in the Operations section of this Item, below.</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$141.5 million in the first nine months of 2024 compared to $199.5 million in the first nine months of 2023. The lower operating cash flow year-over-year reflects an increase in the net cash outflows from working capital in the first nine months of 2024. The key drivers of the Company’s operating cash flow and working capital are further discussed in the Company’s Liquidity and Capital Resources section of this Item, below.</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Overall, the Company’s results in the third quarter of 2024 reflects the Company’s continued execution on its financial and operational priorities despite softer end market conditions that have impacted the Company’s customers and end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“Management’s Discussion and Analysis” and “Note 1 – Significant Accounting Policies” to the Consolidated Financial Statements in our 2023 Form 10-K. There have been no material changes to the critical accounting policies and estimates previously disclosed in its 2023 Form 10-K remain materially consistent.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3 of Notes to Condensed Consolidated Financial Statements in Item 1 of this Report for a discussion regarding recently issued accounting standards.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$212.1 million. Total cash and cash equivalents were $194.5 million as of December 31, 2023. The approximately $17.5 million increase in cash and cash equivalents was the net result of $141.5 million of cash provided by operating activities, offset by $67.0 million of cash used in financing activities, $55.8 million of cash used in investing activities and an unfavorable impact of foreign currency translation of approximately $1.1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$141.5 million in the first nine months of 2024 compared to $199.5 million in the first nine months of 2023. The decrease in net operating cash flow year-over-year reflects higher cash outflows from working capital in 2024, driven by an outflow from Inventory due to timing of sales and orders and higher Accounts payable and accrued liabilities outflows due primarily to higher incentive compensation payments in the current year.</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investing activities were $55.8 million in the first nine months of 2024 compared to $25.8 million in the first nine months of 2023. The increase in cash used in investing activities year-over-year is primarily the result of payments in the current year related to the acquisitions of the Sutai Group (“Sutai”) and I.K.V. Tribologie IKVT and its subsidiaries (“IKV”), partially offset by lower capital expenditures. See Note 2 of Notes to Condensed Consolidated Financial Statements in Item 1 of this Report for further information about business acquisitions.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flows used in financing activities were $67.0 million in the first nine months of 2024 compared to net cash flows used in financing activities of $150.5 million in the first nine months of 2023. The decrease in net cash outflows was primarily related to $30.5 million of net borrowings on the Company’s revolving credit facility in the first nine months of 2024 compared to $112.8 million of net repayments in the first nine months of 2023. In addition, during the first nine months of 2024, the Company made payments of approximately $48.6 million to reduce its long-term debt, a $34.5 million, or 71%, increase compared to the prior year period. Also, the Company made payments of approximately $22.9 million for repurchases of its common stock under its share repurchase program during the first nine months of 2024. The Company also paid $24.5 million of cash dividends during the first nine months of 2024, a $1.1 million, or 5%, increase compared to the prior year period.</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September 30, 2024, the Company was in compliance with all of the Credit Facility covenants. Refer to the description of the Company’s primary Credit Facility in Note 19 of Notes to Consolidated Financial Statements in its 2023 Form 10-K.</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Credit Facility borrowings outstanding of $728.1 million and $744.5 million, respectively. The Company’s other debt obligations are primarily industrial development bonds, bank lines of credit and municipality-related loans, which totaled $12.6 million as of September 30, 2024 and $11.1 million as of December 31, 2023. Total unused capacity under these arrangements, excluding the Credit Facility, as of September 30, 2024 was approximately $35 million. The Company’s total net debt as of September 30, 2024, which consists of total borrowings of $740.6 million less cash and cash equivalents of $212.1 million, was approximately $528.6 million.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rates incurred on the outstanding borrowings under the Credit Facility during the three and nine months ended September 30, 2024 were approximately 6.1% and 6.2%, respectively. As of September 30, 2024, the interest rate on the outstanding borrowings under the Credit Facility was approximately 5.8%. As part of the Credit Facility, in addition to paying interest on the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$436 million, which is net of bank letters of credit of approximately $3 million, as of September 30, 2024.</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September 30, 2024, the aggregate interest rate on the swaps, including the fixed base rate plus the applicable margin, was approximately 4.9%. See Note 17 of Notes to Condensed Consolidated Financial Statements in Item 1 of this Report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executing the original credit facility in 2019 and the amended Credit Facility during the second quarter of 2022, the Company capitalized certain third-party and creditor debt issuance costs. Costs attributed to the Euro Term Loan and U.S. Term Loan were recorded as a direct offset of Long-term debt on the Condensed Consolidated Balance Sheet. Costs attributed to the Revolver were recorded within Other assets on the Condensed Consolidated Balance Sheet. These capitalized costs are collectively being amortized into Interest expense over the five-year term of the Credit Facility. As of September 30, 2024, the Company had $1.2 million of debt issuance costs recorded as an offset of Long-term debt on the Condensed Consolidated Balance Sheets and $2.6 million of debt issuance costs recorded within Other assets on the Condensed Consolidated Balance Sheet. Comparatively, as of December 31, 2023, the Company had $1.5 million of debt issuance costs recorded as an offset of Long-term debt on the Condensed Consolidated Balance Sheets and $3.3 million of debt issuance costs recorded within Other assets on the Condensed Consolidated Balance Sheet in Item 1 of this Report.</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certain foreign currencies. During the first nine months of 2024, the Company entered into and settled forward contracts resulting in other expense of $2.0 million as compared to $2.1 million of other income during the first nine months of 2023. See Note 17 of Notes to Condensed Consolidated Financial Statements in Item 1 of this Report for further information.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2022, the Company’s management initiated a global cost and optimization program to improve its cost structure and drive a more profitable and productive organization. The Company has achieved its initial full run-rate cost savings goal from the global cost and optimization program of approximately $20 million. The program is expected to be substantially complete by the end of the first quarter of 2025. The Company recognized Restructuring and related charges of $4.8 million and $6.0 million for the nine months ended September 30, 2024, and 2023, respectively, under this program. The Company made cash payments related to the settlement of restructuring liabilities under the program during the first nine months of 2024 of approximately $6.4 million compared to $7.9 million in the first nine months of 2023. The Company expects total one-time cash costs of this program to be approximately 1 to 1.5 times annualized savings. See Note 7 of Notes to Condensed Consolidated Financial Statements in Item 1 of this Report for further information.</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Company’s gross liability for uncertain tax positions, including interest and penalties, was $20.4 million. The Company cannot determine a reliable estimate of the timing of cash flows by period related to its uncertain tax position liability. However, should the entire liability be paid, the amount of the payment may be reduced by up to $6.9 million as a result of offsetting benefits in other tax jurisdictions.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2023 Form 10-K, on February 28, 2024, the Board of Directors of the Company approved a new share repurchase program (“2024 Share Repurchase Program”), authorizing the Company to repurchase up to an aggregate of $150 million of the Company’s outstanding common stock and replacing the prior share repurchase program. The 2024 Share Repurchase Program was effective immediately and has no expiration date. The Company made certain repurchases under the 2024 Repurchase Program during the nine months ended September 30, 2024, as mentioned above. See Item 2 within Part II of this Report for further information.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disclosed in its 2023 Form 10-K that one of its North American production facilities experienced an electrical fire in 2021 that resulted in property damage and the temporary shutdown of production. The Company and its insurance carrier reviewed the impact of the electrical fire on the production facility’s operations as it relates to a potential business interruption insurance claim. In July 2024, the Company and its insurance carrier settled this claim for $1.0 million.</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information in this Form 10-Q includes non-GAAP financial information that includes EBITDA, adjusted EBITDA, adjusted EBITDA margin, non-GAAP operating income, non-GAAP operating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Company’s financial performance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taxes on income before equity in net income of associated companies – adjusted, non-GAAP net income and non-GAAP earnings per diluted share, as discussed and reconciled below to the most comparable respective GAAP measures, may not be comparable to similarly named measures reported by other companies.</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4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40" w:type="dxa"/>
            <w:vAlign w:val="bottom"/>
            <w:tcBorders>
              <w:bottom w:val="single" w:sz="8" w:color="CCEDFF"/>
            </w:tcBorders>
          </w:tcPr>
          <w:p>
            <w:pPr>
              <w:spacing w:after="0"/>
              <w:rPr>
                <w:sz w:val="2"/>
                <w:szCs w:val="2"/>
                <w:color w:val="auto"/>
              </w:rPr>
            </w:pPr>
          </w:p>
        </w:tc>
        <w:tc>
          <w:tcPr>
            <w:tcW w:w="52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Borders>
              <w:bottom w:val="single" w:sz="8" w:color="CCEDFF"/>
            </w:tcBorders>
            <w:gridSpan w:val="2"/>
            <w:shd w:val="clear" w:color="auto" w:fill="CCEDFF"/>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51,718</w:t>
            </w:r>
          </w:p>
        </w:tc>
        <w:tc>
          <w:tcPr>
            <w:tcW w:w="8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59,518</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165,693</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166,242</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6,034</w:t>
            </w: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Strategic planning (credits) expenses (b)</w:t>
            </w:r>
          </w:p>
        </w:tc>
        <w:tc>
          <w:tcPr>
            <w:tcW w:w="52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3,759</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Other charges (d)</w:t>
            </w:r>
          </w:p>
        </w:tc>
        <w:tc>
          <w:tcPr>
            <w:tcW w:w="520" w:type="dxa"/>
            <w:vAlign w:val="bottom"/>
            <w:tcBorders>
              <w:bottom w:val="single" w:sz="8" w:color="CCEDFF"/>
            </w:tcBorders>
            <w:shd w:val="clear" w:color="auto" w:fill="CCEDFF"/>
          </w:tcPr>
          <w:p>
            <w:pPr>
              <w:spacing w:after="0"/>
              <w:rPr>
                <w:sz w:val="23"/>
                <w:szCs w:val="23"/>
                <w:color w:val="auto"/>
              </w:rPr>
            </w:pPr>
          </w:p>
        </w:tc>
        <w:tc>
          <w:tcPr>
            <w:tcW w:w="320" w:type="dxa"/>
            <w:vAlign w:val="bottom"/>
            <w:tcBorders>
              <w:bottom w:val="single" w:sz="8" w:color="CCEDFF"/>
            </w:tcBorders>
            <w:shd w:val="clear" w:color="auto" w:fill="CCEDFF"/>
          </w:tcPr>
          <w:p>
            <w:pPr>
              <w:spacing w:after="0"/>
              <w:rPr>
                <w:sz w:val="23"/>
                <w:szCs w:val="23"/>
                <w:color w:val="auto"/>
              </w:rPr>
            </w:pPr>
          </w:p>
        </w:tc>
        <w:tc>
          <w:tcPr>
            <w:tcW w:w="10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DFF"/>
            </w:tcBorders>
            <w:shd w:val="clear" w:color="auto" w:fill="CCEDFF"/>
          </w:tcPr>
          <w:p>
            <w:pPr>
              <w:spacing w:after="0"/>
              <w:rPr>
                <w:sz w:val="23"/>
                <w:szCs w:val="23"/>
                <w:color w:val="auto"/>
              </w:rPr>
            </w:pPr>
          </w:p>
        </w:tc>
        <w:tc>
          <w:tcPr>
            <w:tcW w:w="500" w:type="dxa"/>
            <w:vAlign w:val="bottom"/>
            <w:tcBorders>
              <w:bottom w:val="single" w:sz="8" w:color="CCEDFF"/>
            </w:tcBorders>
            <w:shd w:val="clear" w:color="auto" w:fill="CCEDFF"/>
          </w:tcPr>
          <w:p>
            <w:pPr>
              <w:spacing w:after="0"/>
              <w:rPr>
                <w:sz w:val="23"/>
                <w:szCs w:val="23"/>
                <w:color w:val="auto"/>
              </w:rPr>
            </w:pPr>
          </w:p>
        </w:tc>
        <w:tc>
          <w:tcPr>
            <w:tcW w:w="8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DFF"/>
            </w:tcBorders>
            <w:shd w:val="clear" w:color="auto" w:fill="CCEDFF"/>
          </w:tcPr>
          <w:p>
            <w:pPr>
              <w:spacing w:after="0"/>
              <w:rPr>
                <w:sz w:val="23"/>
                <w:szCs w:val="23"/>
                <w:color w:val="auto"/>
              </w:rPr>
            </w:pPr>
          </w:p>
        </w:tc>
        <w:tc>
          <w:tcPr>
            <w:tcW w:w="300" w:type="dxa"/>
            <w:vAlign w:val="bottom"/>
            <w:tcBorders>
              <w:bottom w:val="single" w:sz="8" w:color="CCEDFF"/>
            </w:tcBorders>
            <w:shd w:val="clear" w:color="auto" w:fill="CCEDFF"/>
          </w:tcPr>
          <w:p>
            <w:pPr>
              <w:spacing w:after="0"/>
              <w:rPr>
                <w:sz w:val="23"/>
                <w:szCs w:val="23"/>
                <w:color w:val="auto"/>
              </w:rPr>
            </w:pP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Borders>
              <w:bottom w:val="single" w:sz="8" w:color="CCEDFF"/>
            </w:tcBorders>
            <w:shd w:val="clear" w:color="auto" w:fill="CCEDFF"/>
          </w:tcPr>
          <w:p>
            <w:pPr>
              <w:spacing w:after="0"/>
              <w:rPr>
                <w:sz w:val="23"/>
                <w:szCs w:val="23"/>
                <w:color w:val="auto"/>
              </w:rPr>
            </w:pPr>
          </w:p>
        </w:tc>
        <w:tc>
          <w:tcPr>
            <w:tcW w:w="320" w:type="dxa"/>
            <w:vAlign w:val="bottom"/>
            <w:tcBorders>
              <w:bottom w:val="single" w:sz="8" w:color="CCEDFF"/>
            </w:tcBorders>
            <w:shd w:val="clear" w:color="auto" w:fill="CCEDFF"/>
          </w:tcPr>
          <w:p>
            <w:pPr>
              <w:spacing w:after="0"/>
              <w:rPr>
                <w:sz w:val="23"/>
                <w:szCs w:val="23"/>
                <w:color w:val="auto"/>
              </w:rPr>
            </w:pP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855</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5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54,190</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61,836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173,247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176,890</w:t>
            </w:r>
          </w:p>
        </w:tc>
      </w:tr>
      <w:tr>
        <w:trPr>
          <w:trHeight w:val="20"/>
        </w:trPr>
        <w:tc>
          <w:tcPr>
            <w:tcW w:w="5040" w:type="dxa"/>
            <w:vAlign w:val="bottom"/>
            <w:tcBorders>
              <w:bottom w:val="single" w:sz="8" w:color="CCEDFF"/>
            </w:tcBorders>
          </w:tcPr>
          <w:p>
            <w:pPr>
              <w:spacing w:after="0" w:line="20" w:lineRule="exact"/>
              <w:rPr>
                <w:sz w:val="1"/>
                <w:szCs w:val="1"/>
                <w:color w:val="auto"/>
              </w:rPr>
            </w:pPr>
          </w:p>
        </w:tc>
        <w:tc>
          <w:tcPr>
            <w:tcW w:w="52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operating margin (%) (m)</w:t>
            </w:r>
          </w:p>
        </w:tc>
        <w:tc>
          <w:tcPr>
            <w:tcW w:w="52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8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742"/>
        </w:trPr>
        <w:tc>
          <w:tcPr>
            <w:tcW w:w="5040" w:type="dxa"/>
            <w:vAlign w:val="bottom"/>
          </w:tcPr>
          <w:p>
            <w:pPr>
              <w:spacing w:after="0"/>
              <w:rPr>
                <w:sz w:val="24"/>
                <w:szCs w:val="24"/>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 Non-</w:t>
            </w:r>
          </w:p>
        </w:tc>
        <w:tc>
          <w:tcPr>
            <w:tcW w:w="380" w:type="dxa"/>
            <w:vAlign w:val="bottom"/>
          </w:tcPr>
          <w:p>
            <w:pPr>
              <w:spacing w:after="0"/>
              <w:rPr>
                <w:sz w:val="18"/>
                <w:szCs w:val="18"/>
                <w:color w:val="auto"/>
              </w:rPr>
            </w:pPr>
          </w:p>
        </w:tc>
        <w:tc>
          <w:tcPr>
            <w:tcW w:w="224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Reconciliations</w:t>
            </w:r>
          </w:p>
        </w:tc>
        <w:tc>
          <w:tcPr>
            <w:tcW w:w="380" w:type="dxa"/>
            <w:vAlign w:val="bottom"/>
          </w:tcPr>
          <w:p>
            <w:pPr>
              <w:spacing w:after="0"/>
              <w:rPr>
                <w:sz w:val="20"/>
                <w:szCs w:val="20"/>
                <w:color w:val="auto"/>
              </w:rPr>
            </w:pPr>
          </w:p>
        </w:tc>
        <w:tc>
          <w:tcPr>
            <w:tcW w:w="1580" w:type="dxa"/>
            <w:vAlign w:val="bottom"/>
            <w:gridSpan w:val="6"/>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480" w:type="dxa"/>
            <w:vAlign w:val="bottom"/>
            <w:tcBorders>
              <w:bottom w:val="single" w:sz="8" w:color="CCEDFF"/>
            </w:tcBorders>
            <w:gridSpan w:val="3"/>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102,458</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340" w:type="dxa"/>
            <w:vAlign w:val="bottom"/>
            <w:tcBorders>
              <w:bottom w:val="single" w:sz="8" w:color="CCEDFF"/>
            </w:tcBorders>
            <w:gridSpan w:val="3"/>
            <w:shd w:val="clear" w:color="auto" w:fill="CCED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92,550</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(k)</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62,210</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31,925</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38,744</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 (l)</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36,956</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76,283</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80,910</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238,743</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230,460</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in a captive insurance company (e)</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(748)</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6,034</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planning (credits) expenses (b)</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3,759</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remediation recoveries (c)</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Product liability claim costs (h)</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interruption insurance proceeds (i)</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(f)</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2,869</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(d)</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2,054</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55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78,562</w:t>
            </w:r>
          </w:p>
        </w:tc>
        <w:tc>
          <w:tcPr>
            <w:tcW w:w="480" w:type="dxa"/>
            <w:vAlign w:val="bottom"/>
            <w:gridSpan w:val="3"/>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spacing w:after="0"/>
              <w:rPr>
                <w:sz w:val="24"/>
                <w:szCs w:val="24"/>
                <w:color w:val="auto"/>
              </w:rPr>
            </w:pPr>
          </w:p>
        </w:tc>
        <w:tc>
          <w:tcPr>
            <w:tcW w:w="200" w:type="dxa"/>
            <w:vAlign w:val="bottom"/>
            <w:shd w:val="clear" w:color="auto" w:fill="CCEDFF"/>
          </w:tcPr>
          <w:p>
            <w:pPr>
              <w:spacing w:after="0"/>
              <w:rPr>
                <w:sz w:val="24"/>
                <w:szCs w:val="24"/>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84,381</w:t>
            </w:r>
          </w:p>
        </w:tc>
        <w:tc>
          <w:tcPr>
            <w:tcW w:w="40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spacing w:after="0"/>
              <w:rPr>
                <w:sz w:val="24"/>
                <w:szCs w:val="24"/>
                <w:color w:val="auto"/>
              </w:rPr>
            </w:pPr>
          </w:p>
        </w:tc>
        <w:tc>
          <w:tcPr>
            <w:tcW w:w="200" w:type="dxa"/>
            <w:vAlign w:val="bottom"/>
            <w:shd w:val="clear" w:color="auto" w:fill="CCEDFF"/>
          </w:tcPr>
          <w:p>
            <w:pPr>
              <w:spacing w:after="0"/>
              <w:rPr>
                <w:sz w:val="24"/>
                <w:szCs w:val="24"/>
                <w:color w:val="auto"/>
              </w:rPr>
            </w:pPr>
          </w:p>
        </w:tc>
        <w:tc>
          <w:tcPr>
            <w:tcW w:w="94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246,135</w:t>
            </w:r>
          </w:p>
        </w:tc>
        <w:tc>
          <w:tcPr>
            <w:tcW w:w="8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340" w:type="dxa"/>
            <w:vAlign w:val="bottom"/>
            <w:gridSpan w:val="3"/>
            <w:shd w:val="clear" w:color="auto" w:fill="CCED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243,414</w:t>
            </w:r>
          </w:p>
        </w:tc>
      </w:tr>
      <w:tr>
        <w:trPr>
          <w:trHeight w:val="20"/>
        </w:trPr>
        <w:tc>
          <w:tcPr>
            <w:tcW w:w="556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 (m)</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5560" w:type="dxa"/>
            <w:vAlign w:val="bottom"/>
            <w:shd w:val="clear" w:color="auto" w:fill="CCEDFF"/>
          </w:tcPr>
          <w:p>
            <w:pPr>
              <w:spacing w:after="0"/>
              <w:rPr>
                <w:sz w:val="22"/>
                <w:szCs w:val="22"/>
                <w:color w:val="auto"/>
              </w:rPr>
            </w:pPr>
          </w:p>
        </w:tc>
        <w:tc>
          <w:tcPr>
            <w:tcW w:w="380" w:type="dxa"/>
            <w:vAlign w:val="bottom"/>
            <w:shd w:val="clear" w:color="auto" w:fill="CCEDFF"/>
          </w:tcPr>
          <w:p>
            <w:pPr>
              <w:spacing w:after="0"/>
              <w:rPr>
                <w:sz w:val="22"/>
                <w:szCs w:val="22"/>
                <w:color w:val="auto"/>
              </w:rPr>
            </w:pPr>
          </w:p>
        </w:tc>
        <w:tc>
          <w:tcPr>
            <w:tcW w:w="820" w:type="dxa"/>
            <w:vAlign w:val="bottom"/>
            <w:shd w:val="clear" w:color="auto" w:fill="CCEDFF"/>
          </w:tcPr>
          <w:p>
            <w:pPr>
              <w:spacing w:after="0"/>
              <w:rPr>
                <w:sz w:val="22"/>
                <w:szCs w:val="22"/>
                <w:color w:val="auto"/>
              </w:rPr>
            </w:pPr>
          </w:p>
        </w:tc>
        <w:tc>
          <w:tcPr>
            <w:tcW w:w="18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66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12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94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20" w:type="dxa"/>
            <w:vAlign w:val="bottom"/>
            <w:shd w:val="clear" w:color="auto" w:fill="CCEDFF"/>
          </w:tcPr>
          <w:p>
            <w:pPr>
              <w:spacing w:after="0"/>
              <w:rPr>
                <w:sz w:val="22"/>
                <w:szCs w:val="22"/>
                <w:color w:val="auto"/>
              </w:rPr>
            </w:pPr>
          </w:p>
        </w:tc>
        <w:tc>
          <w:tcPr>
            <w:tcW w:w="20" w:type="dxa"/>
            <w:vAlign w:val="bottom"/>
            <w:shd w:val="clear" w:color="auto" w:fill="CCEDFF"/>
          </w:tcPr>
          <w:p>
            <w:pPr>
              <w:spacing w:after="0"/>
              <w:rPr>
                <w:sz w:val="22"/>
                <w:szCs w:val="22"/>
                <w:color w:val="auto"/>
              </w:rPr>
            </w:pPr>
          </w:p>
        </w:tc>
        <w:tc>
          <w:tcPr>
            <w:tcW w:w="80" w:type="dxa"/>
            <w:vAlign w:val="bottom"/>
            <w:shd w:val="clear" w:color="auto" w:fill="CCEDFF"/>
          </w:tcPr>
          <w:p>
            <w:pPr>
              <w:spacing w:after="0"/>
              <w:rPr>
                <w:sz w:val="22"/>
                <w:szCs w:val="22"/>
                <w:color w:val="auto"/>
              </w:rPr>
            </w:pPr>
          </w:p>
        </w:tc>
        <w:tc>
          <w:tcPr>
            <w:tcW w:w="240" w:type="dxa"/>
            <w:vAlign w:val="bottom"/>
            <w:shd w:val="clear" w:color="auto" w:fill="CCEDFF"/>
          </w:tcPr>
          <w:p>
            <w:pPr>
              <w:spacing w:after="0"/>
              <w:rPr>
                <w:sz w:val="22"/>
                <w:szCs w:val="22"/>
                <w:color w:val="auto"/>
              </w:rPr>
            </w:pPr>
          </w:p>
        </w:tc>
        <w:tc>
          <w:tcPr>
            <w:tcW w:w="1000" w:type="dxa"/>
            <w:vAlign w:val="bottom"/>
            <w:shd w:val="clear" w:color="auto" w:fill="CCEDFF"/>
          </w:tcPr>
          <w:p>
            <w:pPr>
              <w:spacing w:after="0"/>
              <w:rPr>
                <w:sz w:val="22"/>
                <w:szCs w:val="22"/>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78,562</w:t>
            </w:r>
          </w:p>
        </w:tc>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246,135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243,414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Less: Depreciation and amortization (k)</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63,907</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62,210</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38,744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556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w:t>
            </w:r>
          </w:p>
        </w:tc>
        <w:tc>
          <w:tcPr>
            <w:tcW w:w="380" w:type="dxa"/>
            <w:vAlign w:val="bottom"/>
            <w:shd w:val="clear" w:color="auto" w:fill="CCEDFF"/>
          </w:tcPr>
          <w:p>
            <w:pPr>
              <w:spacing w:after="0"/>
              <w:rPr>
                <w:sz w:val="19"/>
                <w:szCs w:val="19"/>
                <w:color w:val="auto"/>
              </w:rPr>
            </w:pPr>
          </w:p>
        </w:tc>
        <w:tc>
          <w:tcPr>
            <w:tcW w:w="8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66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94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r>
      <w:tr>
        <w:trPr>
          <w:trHeight w:val="261"/>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companies - adjusted (l)</w:t>
            </w:r>
          </w:p>
        </w:tc>
        <w:tc>
          <w:tcPr>
            <w:tcW w:w="380" w:type="dxa"/>
            <w:vAlign w:val="bottom"/>
            <w:tcBorders>
              <w:bottom w:val="single" w:sz="8" w:color="CCEDFF"/>
            </w:tcBorders>
            <w:shd w:val="clear" w:color="auto" w:fill="CCEDFF"/>
          </w:tcPr>
          <w:p>
            <w:pPr>
              <w:spacing w:after="0"/>
              <w:rPr>
                <w:sz w:val="22"/>
                <w:szCs w:val="22"/>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80" w:type="dxa"/>
            <w:vAlign w:val="bottom"/>
            <w:tcBorders>
              <w:bottom w:val="single" w:sz="8" w:color="CCEDFF"/>
            </w:tcBorders>
            <w:shd w:val="clear" w:color="auto" w:fill="CCEDFF"/>
          </w:tcPr>
          <w:p>
            <w:pPr>
              <w:spacing w:after="0"/>
              <w:rPr>
                <w:sz w:val="22"/>
                <w:szCs w:val="22"/>
                <w:color w:val="auto"/>
              </w:rPr>
            </w:pPr>
          </w:p>
        </w:tc>
        <w:tc>
          <w:tcPr>
            <w:tcW w:w="80" w:type="dxa"/>
            <w:vAlign w:val="bottom"/>
            <w:tcBorders>
              <w:bottom w:val="single" w:sz="8" w:color="CCEDFF"/>
            </w:tcBorders>
            <w:shd w:val="clear" w:color="auto" w:fill="CCEDFF"/>
          </w:tcPr>
          <w:p>
            <w:pPr>
              <w:spacing w:after="0"/>
              <w:rPr>
                <w:sz w:val="22"/>
                <w:szCs w:val="22"/>
                <w:color w:val="auto"/>
              </w:rPr>
            </w:pPr>
          </w:p>
        </w:tc>
        <w:tc>
          <w:tcPr>
            <w:tcW w:w="220" w:type="dxa"/>
            <w:vAlign w:val="bottom"/>
            <w:tcBorders>
              <w:bottom w:val="single" w:sz="8" w:color="CCEDFF"/>
            </w:tcBorders>
            <w:shd w:val="clear" w:color="auto" w:fill="CCEDFF"/>
          </w:tcPr>
          <w:p>
            <w:pPr>
              <w:spacing w:after="0"/>
              <w:rPr>
                <w:sz w:val="22"/>
                <w:szCs w:val="22"/>
                <w:color w:val="auto"/>
              </w:rPr>
            </w:pPr>
          </w:p>
        </w:tc>
        <w:tc>
          <w:tcPr>
            <w:tcW w:w="80" w:type="dxa"/>
            <w:vAlign w:val="bottom"/>
            <w:tcBorders>
              <w:bottom w:val="single" w:sz="8" w:color="CCEDFF"/>
            </w:tcBorders>
            <w:shd w:val="clear" w:color="auto" w:fill="CCEDFF"/>
          </w:tcPr>
          <w:p>
            <w:pPr>
              <w:spacing w:after="0"/>
              <w:rPr>
                <w:sz w:val="22"/>
                <w:szCs w:val="22"/>
                <w:color w:val="auto"/>
              </w:rPr>
            </w:pPr>
          </w:p>
        </w:tc>
        <w:tc>
          <w:tcPr>
            <w:tcW w:w="200" w:type="dxa"/>
            <w:vAlign w:val="bottom"/>
            <w:tcBorders>
              <w:bottom w:val="single" w:sz="8" w:color="CCEDFF"/>
            </w:tcBorders>
            <w:shd w:val="clear" w:color="auto" w:fill="CCEDFF"/>
          </w:tcPr>
          <w:p>
            <w:pPr>
              <w:spacing w:after="0"/>
              <w:rPr>
                <w:sz w:val="22"/>
                <w:szCs w:val="22"/>
                <w:color w:val="auto"/>
              </w:rPr>
            </w:pPr>
          </w:p>
        </w:tc>
        <w:tc>
          <w:tcPr>
            <w:tcW w:w="6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200" w:type="dxa"/>
            <w:vAlign w:val="bottom"/>
            <w:tcBorders>
              <w:bottom w:val="single" w:sz="8" w:color="CCEDFF"/>
            </w:tcBorders>
            <w:shd w:val="clear" w:color="auto" w:fill="CCEDFF"/>
          </w:tcPr>
          <w:p>
            <w:pPr>
              <w:spacing w:after="0"/>
              <w:rPr>
                <w:sz w:val="22"/>
                <w:szCs w:val="22"/>
                <w:color w:val="auto"/>
              </w:rPr>
            </w:pPr>
          </w:p>
        </w:tc>
        <w:tc>
          <w:tcPr>
            <w:tcW w:w="80" w:type="dxa"/>
            <w:vAlign w:val="bottom"/>
            <w:tcBorders>
              <w:bottom w:val="single" w:sz="8" w:color="CCEDFF"/>
            </w:tcBorders>
            <w:shd w:val="clear" w:color="auto" w:fill="CCEDFF"/>
          </w:tcPr>
          <w:p>
            <w:pPr>
              <w:spacing w:after="0"/>
              <w:rPr>
                <w:sz w:val="22"/>
                <w:szCs w:val="22"/>
                <w:color w:val="auto"/>
              </w:rPr>
            </w:pPr>
          </w:p>
        </w:tc>
        <w:tc>
          <w:tcPr>
            <w:tcW w:w="120" w:type="dxa"/>
            <w:vAlign w:val="bottom"/>
            <w:tcBorders>
              <w:bottom w:val="single" w:sz="8" w:color="CCEDFF"/>
            </w:tcBorders>
            <w:shd w:val="clear" w:color="auto" w:fill="CCEDFF"/>
          </w:tcPr>
          <w:p>
            <w:pPr>
              <w:spacing w:after="0"/>
              <w:rPr>
                <w:sz w:val="22"/>
                <w:szCs w:val="22"/>
                <w:color w:val="auto"/>
              </w:rPr>
            </w:pPr>
          </w:p>
        </w:tc>
        <w:tc>
          <w:tcPr>
            <w:tcW w:w="80" w:type="dxa"/>
            <w:vAlign w:val="bottom"/>
            <w:tcBorders>
              <w:bottom w:val="single" w:sz="8" w:color="CCEDFF"/>
            </w:tcBorders>
            <w:shd w:val="clear" w:color="auto" w:fill="CCEDFF"/>
          </w:tcPr>
          <w:p>
            <w:pPr>
              <w:spacing w:after="0"/>
              <w:rPr>
                <w:sz w:val="22"/>
                <w:szCs w:val="22"/>
                <w:color w:val="auto"/>
              </w:rPr>
            </w:pPr>
          </w:p>
        </w:tc>
        <w:tc>
          <w:tcPr>
            <w:tcW w:w="200" w:type="dxa"/>
            <w:vAlign w:val="bottom"/>
            <w:tcBorders>
              <w:bottom w:val="single" w:sz="8" w:color="CCEDFF"/>
            </w:tcBorders>
            <w:shd w:val="clear" w:color="auto" w:fill="CCEDFF"/>
          </w:tcPr>
          <w:p>
            <w:pPr>
              <w:spacing w:after="0"/>
              <w:rPr>
                <w:sz w:val="22"/>
                <w:szCs w:val="22"/>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40,417</w:t>
            </w:r>
          </w:p>
        </w:tc>
        <w:tc>
          <w:tcPr>
            <w:tcW w:w="80" w:type="dxa"/>
            <w:vAlign w:val="bottom"/>
            <w:tcBorders>
              <w:bottom w:val="single" w:sz="8" w:color="CCEDFF"/>
            </w:tcBorders>
            <w:shd w:val="clear" w:color="auto" w:fill="CCEDFF"/>
          </w:tcPr>
          <w:p>
            <w:pPr>
              <w:spacing w:after="0"/>
              <w:rPr>
                <w:sz w:val="22"/>
                <w:szCs w:val="22"/>
                <w:color w:val="auto"/>
              </w:rPr>
            </w:pPr>
          </w:p>
        </w:tc>
        <w:tc>
          <w:tcPr>
            <w:tcW w:w="20" w:type="dxa"/>
            <w:vAlign w:val="bottom"/>
            <w:tcBorders>
              <w:bottom w:val="single" w:sz="8" w:color="CCEDFF"/>
            </w:tcBorders>
            <w:shd w:val="clear" w:color="auto" w:fill="CCEDFF"/>
          </w:tcPr>
          <w:p>
            <w:pPr>
              <w:spacing w:after="0"/>
              <w:rPr>
                <w:sz w:val="22"/>
                <w:szCs w:val="22"/>
                <w:color w:val="auto"/>
              </w:rPr>
            </w:pPr>
          </w:p>
        </w:tc>
        <w:tc>
          <w:tcPr>
            <w:tcW w:w="20" w:type="dxa"/>
            <w:vAlign w:val="bottom"/>
            <w:tcBorders>
              <w:bottom w:val="single" w:sz="8" w:color="CCEDFF"/>
            </w:tcBorders>
            <w:shd w:val="clear" w:color="auto" w:fill="CCEDFF"/>
          </w:tcPr>
          <w:p>
            <w:pPr>
              <w:spacing w:after="0"/>
              <w:rPr>
                <w:sz w:val="22"/>
                <w:szCs w:val="22"/>
                <w:color w:val="auto"/>
              </w:rPr>
            </w:pPr>
          </w:p>
        </w:tc>
        <w:tc>
          <w:tcPr>
            <w:tcW w:w="80" w:type="dxa"/>
            <w:vAlign w:val="bottom"/>
            <w:tcBorders>
              <w:bottom w:val="single" w:sz="8" w:color="CCEDFF"/>
            </w:tcBorders>
            <w:shd w:val="clear" w:color="auto" w:fill="CCEDFF"/>
          </w:tcPr>
          <w:p>
            <w:pPr>
              <w:spacing w:after="0"/>
              <w:rPr>
                <w:sz w:val="22"/>
                <w:szCs w:val="22"/>
                <w:color w:val="auto"/>
              </w:rPr>
            </w:pPr>
          </w:p>
        </w:tc>
        <w:tc>
          <w:tcPr>
            <w:tcW w:w="240" w:type="dxa"/>
            <w:vAlign w:val="bottom"/>
            <w:tcBorders>
              <w:bottom w:val="single" w:sz="8" w:color="CCEDFF"/>
            </w:tcBorders>
            <w:shd w:val="clear" w:color="auto" w:fill="CCEDFF"/>
          </w:tcPr>
          <w:p>
            <w:pPr>
              <w:spacing w:after="0"/>
              <w:rPr>
                <w:sz w:val="22"/>
                <w:szCs w:val="22"/>
                <w:color w:val="auto"/>
              </w:rPr>
            </w:pPr>
          </w:p>
        </w:tc>
        <w:tc>
          <w:tcPr>
            <w:tcW w:w="10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36,766</w:t>
            </w:r>
          </w:p>
        </w:tc>
      </w:tr>
      <w:tr>
        <w:trPr>
          <w:trHeight w:val="26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33,981</w:t>
            </w:r>
          </w:p>
        </w:tc>
        <w:tc>
          <w:tcPr>
            <w:tcW w:w="1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109,886</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105,694</w:t>
            </w: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444"/>
        </w:trPr>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380" w:type="dxa"/>
            <w:vAlign w:val="bottom"/>
          </w:tcPr>
          <w:p>
            <w:pPr>
              <w:spacing w:after="0"/>
              <w:rPr>
                <w:sz w:val="20"/>
                <w:szCs w:val="20"/>
                <w:color w:val="auto"/>
              </w:rPr>
            </w:pPr>
          </w:p>
        </w:tc>
        <w:tc>
          <w:tcPr>
            <w:tcW w:w="224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940" w:type="dxa"/>
            <w:vAlign w:val="bottom"/>
            <w:tcBorders>
              <w:bottom w:val="single" w:sz="8" w:color="CCEDFF"/>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5940" w:type="dxa"/>
            <w:vAlign w:val="bottom"/>
            <w:gridSpan w:val="2"/>
            <w:shd w:val="clear" w:color="auto" w:fill="CCEDFF"/>
          </w:tcPr>
          <w:p>
            <w:pPr>
              <w:ind w:left="20"/>
              <w:spacing w:after="0" w:line="205" w:lineRule="exact"/>
              <w:rPr>
                <w:sz w:val="20"/>
                <w:szCs w:val="20"/>
                <w:color w:val="auto"/>
              </w:rPr>
            </w:pPr>
            <w:r>
              <w:rPr>
                <w:rFonts w:ascii="Times New Roman" w:cs="Times New Roman" w:eastAsia="Times New Roman" w:hAnsi="Times New Roman"/>
                <w:sz w:val="18"/>
                <w:szCs w:val="18"/>
                <w:color w:val="auto"/>
              </w:rPr>
              <w:t>GAAP earnings per diluted share attributable to Quaker Chemical Corporation</w:t>
            </w:r>
          </w:p>
        </w:tc>
        <w:tc>
          <w:tcPr>
            <w:tcW w:w="82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66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94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 w:type="dxa"/>
            <w:vAlign w:val="bottom"/>
            <w:shd w:val="clear" w:color="auto" w:fill="CCEDFF"/>
          </w:tcPr>
          <w:p>
            <w:pPr>
              <w:spacing w:after="0"/>
              <w:rPr>
                <w:sz w:val="17"/>
                <w:szCs w:val="17"/>
                <w:color w:val="auto"/>
              </w:rPr>
            </w:pPr>
          </w:p>
        </w:tc>
        <w:tc>
          <w:tcPr>
            <w:tcW w:w="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40" w:type="dxa"/>
            <w:vAlign w:val="bottom"/>
            <w:shd w:val="clear" w:color="auto" w:fill="CCEDFF"/>
          </w:tcPr>
          <w:p>
            <w:pPr>
              <w:spacing w:after="0"/>
              <w:rPr>
                <w:sz w:val="17"/>
                <w:szCs w:val="17"/>
                <w:color w:val="auto"/>
              </w:rPr>
            </w:pPr>
          </w:p>
        </w:tc>
        <w:tc>
          <w:tcPr>
            <w:tcW w:w="1000" w:type="dxa"/>
            <w:vAlign w:val="bottom"/>
            <w:shd w:val="clear" w:color="auto" w:fill="CCEDFF"/>
          </w:tcPr>
          <w:p>
            <w:pPr>
              <w:spacing w:after="0"/>
              <w:rPr>
                <w:sz w:val="17"/>
                <w:szCs w:val="17"/>
                <w:color w:val="auto"/>
              </w:rPr>
            </w:pPr>
          </w:p>
        </w:tc>
      </w:tr>
      <w:tr>
        <w:trPr>
          <w:trHeight w:val="241"/>
        </w:trPr>
        <w:tc>
          <w:tcPr>
            <w:tcW w:w="556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380" w:type="dxa"/>
            <w:vAlign w:val="bottom"/>
            <w:tcBorders>
              <w:bottom w:val="single" w:sz="8" w:color="CCEDFF"/>
            </w:tcBorders>
            <w:shd w:val="clear" w:color="auto" w:fill="CCEDFF"/>
          </w:tcPr>
          <w:p>
            <w:pPr>
              <w:spacing w:after="0"/>
              <w:rPr>
                <w:sz w:val="20"/>
                <w:szCs w:val="20"/>
                <w:color w:val="auto"/>
              </w:rPr>
            </w:pPr>
          </w:p>
        </w:tc>
        <w:tc>
          <w:tcPr>
            <w:tcW w:w="820" w:type="dxa"/>
            <w:vAlign w:val="bottom"/>
            <w:tcBorders>
              <w:bottom w:val="single" w:sz="8" w:color="CCEDFF"/>
            </w:tcBorders>
            <w:shd w:val="clear" w:color="auto" w:fill="CCED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DFF"/>
            </w:tcBorders>
            <w:shd w:val="clear" w:color="auto" w:fill="CCEDFF"/>
          </w:tcPr>
          <w:p>
            <w:pPr>
              <w:spacing w:after="0"/>
              <w:rPr>
                <w:sz w:val="20"/>
                <w:szCs w:val="20"/>
                <w:color w:val="auto"/>
              </w:rPr>
            </w:pPr>
          </w:p>
        </w:tc>
        <w:tc>
          <w:tcPr>
            <w:tcW w:w="20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DFF"/>
            </w:tcBorders>
            <w:shd w:val="clear" w:color="auto" w:fill="CCEDFF"/>
          </w:tcPr>
          <w:p>
            <w:pPr>
              <w:spacing w:after="0"/>
              <w:rPr>
                <w:sz w:val="20"/>
                <w:szCs w:val="20"/>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1.87</w:t>
            </w:r>
          </w:p>
        </w:tc>
        <w:tc>
          <w:tcPr>
            <w:tcW w:w="80" w:type="dxa"/>
            <w:vAlign w:val="bottom"/>
            <w:tcBorders>
              <w:bottom w:val="single" w:sz="8" w:color="CCEDFF"/>
            </w:tcBorders>
            <w:shd w:val="clear" w:color="auto" w:fill="CCEDFF"/>
          </w:tcPr>
          <w:p>
            <w:pPr>
              <w:spacing w:after="0"/>
              <w:rPr>
                <w:sz w:val="20"/>
                <w:szCs w:val="20"/>
                <w:color w:val="auto"/>
              </w:rPr>
            </w:pPr>
          </w:p>
        </w:tc>
        <w:tc>
          <w:tcPr>
            <w:tcW w:w="20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Borders>
              <w:bottom w:val="single" w:sz="8" w:color="CCEDFF"/>
            </w:tcBorders>
            <w:shd w:val="clear" w:color="auto" w:fill="CCEDFF"/>
          </w:tcPr>
          <w:p>
            <w:pPr>
              <w:spacing w:after="0"/>
              <w:rPr>
                <w:sz w:val="20"/>
                <w:szCs w:val="20"/>
                <w:color w:val="auto"/>
              </w:rPr>
            </w:pPr>
          </w:p>
        </w:tc>
        <w:tc>
          <w:tcPr>
            <w:tcW w:w="340" w:type="dxa"/>
            <w:vAlign w:val="bottom"/>
            <w:tcBorders>
              <w:bottom w:val="single" w:sz="8" w:color="CCEDFF"/>
            </w:tcBorders>
            <w:gridSpan w:val="3"/>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in a captive insurance company per diluted share (e)</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per diluted share (a)</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0.04</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planning (credits) expenses per diluted share (b)</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Customer insolvency costs per diluted share (g)</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1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gridSpan w:val="3"/>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remediation recoveries per diluted share (c)</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Product liability claim costs per diluted share (h)</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1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gridSpan w:val="3"/>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6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interruption insurance proceeds per diluted share (i)</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594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per diluted share</w:t>
            </w:r>
          </w:p>
        </w:tc>
        <w:tc>
          <w:tcPr>
            <w:tcW w:w="82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66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94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000" w:type="dxa"/>
            <w:vAlign w:val="bottom"/>
            <w:shd w:val="clear" w:color="auto" w:fill="CCEDFF"/>
          </w:tcPr>
          <w:p>
            <w:pPr>
              <w:spacing w:after="0"/>
              <w:rPr>
                <w:sz w:val="19"/>
                <w:szCs w:val="19"/>
                <w:color w:val="auto"/>
              </w:rPr>
            </w:pPr>
          </w:p>
        </w:tc>
      </w:tr>
      <w:tr>
        <w:trPr>
          <w:trHeight w:val="241"/>
        </w:trPr>
        <w:tc>
          <w:tcPr>
            <w:tcW w:w="5560" w:type="dxa"/>
            <w:vAlign w:val="bottom"/>
            <w:tcBorders>
              <w:bottom w:val="single" w:sz="8" w:color="CCEDFF"/>
            </w:tcBorders>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(f)</w:t>
            </w:r>
          </w:p>
        </w:tc>
        <w:tc>
          <w:tcPr>
            <w:tcW w:w="380" w:type="dxa"/>
            <w:vAlign w:val="bottom"/>
            <w:tcBorders>
              <w:bottom w:val="single" w:sz="8" w:color="CCEDFF"/>
            </w:tcBorders>
            <w:shd w:val="clear" w:color="auto" w:fill="CCEDFF"/>
          </w:tcPr>
          <w:p>
            <w:pPr>
              <w:spacing w:after="0"/>
              <w:rPr>
                <w:sz w:val="20"/>
                <w:szCs w:val="20"/>
                <w:color w:val="auto"/>
              </w:rPr>
            </w:pPr>
          </w:p>
        </w:tc>
        <w:tc>
          <w:tcPr>
            <w:tcW w:w="820" w:type="dxa"/>
            <w:vAlign w:val="bottom"/>
            <w:tcBorders>
              <w:bottom w:val="single" w:sz="8" w:color="CCEDFF"/>
            </w:tcBorders>
            <w:shd w:val="clear" w:color="auto" w:fill="CCEDFF"/>
          </w:tcPr>
          <w:p>
            <w:pPr>
              <w:spacing w:after="0"/>
              <w:rPr>
                <w:sz w:val="20"/>
                <w:szCs w:val="20"/>
                <w:color w:val="auto"/>
              </w:rPr>
            </w:pPr>
          </w:p>
        </w:tc>
        <w:tc>
          <w:tcPr>
            <w:tcW w:w="48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DFF"/>
            </w:tcBorders>
            <w:shd w:val="clear" w:color="auto" w:fill="CCEDFF"/>
          </w:tcPr>
          <w:p>
            <w:pPr>
              <w:spacing w:after="0"/>
              <w:rPr>
                <w:sz w:val="20"/>
                <w:szCs w:val="20"/>
                <w:color w:val="auto"/>
              </w:rPr>
            </w:pPr>
          </w:p>
        </w:tc>
        <w:tc>
          <w:tcPr>
            <w:tcW w:w="200" w:type="dxa"/>
            <w:vAlign w:val="bottom"/>
            <w:tcBorders>
              <w:bottom w:val="single" w:sz="8" w:color="CCEDFF"/>
            </w:tcBorders>
            <w:shd w:val="clear" w:color="auto" w:fill="CCEDFF"/>
          </w:tcPr>
          <w:p>
            <w:pPr>
              <w:spacing w:after="0"/>
              <w:rPr>
                <w:sz w:val="20"/>
                <w:szCs w:val="20"/>
                <w:color w:val="auto"/>
              </w:rPr>
            </w:pPr>
          </w:p>
        </w:tc>
        <w:tc>
          <w:tcPr>
            <w:tcW w:w="660" w:type="dxa"/>
            <w:vAlign w:val="bottom"/>
            <w:tcBorders>
              <w:bottom w:val="single" w:sz="8" w:color="CCEDFF"/>
            </w:tcBorders>
            <w:shd w:val="clear" w:color="auto" w:fill="CCEDFF"/>
          </w:tcPr>
          <w:p>
            <w:pPr>
              <w:spacing w:after="0"/>
              <w:rPr>
                <w:sz w:val="20"/>
                <w:szCs w:val="20"/>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0.07</w:t>
            </w:r>
          </w:p>
        </w:tc>
        <w:tc>
          <w:tcPr>
            <w:tcW w:w="80" w:type="dxa"/>
            <w:vAlign w:val="bottom"/>
            <w:tcBorders>
              <w:bottom w:val="single" w:sz="8" w:color="CCEDFF"/>
            </w:tcBorders>
            <w:shd w:val="clear" w:color="auto" w:fill="CCEDFF"/>
          </w:tcPr>
          <w:p>
            <w:pPr>
              <w:spacing w:after="0"/>
              <w:rPr>
                <w:sz w:val="20"/>
                <w:szCs w:val="20"/>
                <w:color w:val="auto"/>
              </w:rPr>
            </w:pPr>
          </w:p>
        </w:tc>
        <w:tc>
          <w:tcPr>
            <w:tcW w:w="200" w:type="dxa"/>
            <w:vAlign w:val="bottom"/>
            <w:tcBorders>
              <w:bottom w:val="single" w:sz="8" w:color="CCEDFF"/>
            </w:tcBorders>
            <w:shd w:val="clear" w:color="auto" w:fill="CCEDFF"/>
          </w:tcPr>
          <w:p>
            <w:pPr>
              <w:spacing w:after="0"/>
              <w:rPr>
                <w:sz w:val="20"/>
                <w:szCs w:val="20"/>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CCEDFF"/>
            </w:tcBorders>
            <w:shd w:val="clear" w:color="auto" w:fill="CCEDFF"/>
          </w:tcPr>
          <w:p>
            <w:pPr>
              <w:spacing w:after="0"/>
              <w:rPr>
                <w:sz w:val="20"/>
                <w:szCs w:val="20"/>
                <w:color w:val="auto"/>
              </w:rPr>
            </w:pPr>
          </w:p>
        </w:tc>
        <w:tc>
          <w:tcPr>
            <w:tcW w:w="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240" w:type="dxa"/>
            <w:vAlign w:val="bottom"/>
            <w:tcBorders>
              <w:bottom w:val="single" w:sz="8" w:color="CCEDFF"/>
            </w:tcBorders>
            <w:shd w:val="clear" w:color="auto" w:fill="CCEDFF"/>
          </w:tcPr>
          <w:p>
            <w:pPr>
              <w:spacing w:after="0"/>
              <w:rPr>
                <w:sz w:val="20"/>
                <w:szCs w:val="20"/>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per diluted share (d)</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Impact of certain discrete tax items per diluted share (j)</w:t>
            </w:r>
          </w:p>
        </w:tc>
        <w:tc>
          <w:tcPr>
            <w:tcW w:w="380" w:type="dxa"/>
            <w:vAlign w:val="bottom"/>
            <w:tcBorders>
              <w:bottom w:val="single" w:sz="8" w:color="CCEDFF"/>
            </w:tcBorders>
            <w:shd w:val="clear" w:color="auto" w:fill="CCEDFF"/>
          </w:tcPr>
          <w:p>
            <w:pPr>
              <w:spacing w:after="0"/>
              <w:rPr>
                <w:sz w:val="23"/>
                <w:szCs w:val="23"/>
                <w:color w:val="auto"/>
              </w:rPr>
            </w:pPr>
          </w:p>
        </w:tc>
        <w:tc>
          <w:tcPr>
            <w:tcW w:w="820" w:type="dxa"/>
            <w:vAlign w:val="bottom"/>
            <w:tcBorders>
              <w:bottom w:val="single" w:sz="8" w:color="CCEDFF"/>
            </w:tcBorders>
            <w:shd w:val="clear" w:color="auto" w:fill="CCEDFF"/>
          </w:tcPr>
          <w:p>
            <w:pPr>
              <w:spacing w:after="0"/>
              <w:rPr>
                <w:sz w:val="23"/>
                <w:szCs w:val="23"/>
                <w:color w:val="auto"/>
              </w:rPr>
            </w:pPr>
          </w:p>
        </w:tc>
        <w:tc>
          <w:tcPr>
            <w:tcW w:w="480" w:type="dxa"/>
            <w:vAlign w:val="bottom"/>
            <w:tcBorders>
              <w:bottom w:val="single" w:sz="8" w:color="CCEDFF"/>
            </w:tcBorders>
            <w:gridSpan w:val="3"/>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DFF"/>
            </w:tcBorders>
            <w:shd w:val="clear" w:color="auto" w:fill="CCEDFF"/>
          </w:tcPr>
          <w:p>
            <w:pPr>
              <w:spacing w:after="0"/>
              <w:rPr>
                <w:sz w:val="23"/>
                <w:szCs w:val="23"/>
                <w:color w:val="auto"/>
              </w:rPr>
            </w:pPr>
          </w:p>
        </w:tc>
        <w:tc>
          <w:tcPr>
            <w:tcW w:w="200" w:type="dxa"/>
            <w:vAlign w:val="bottom"/>
            <w:tcBorders>
              <w:bottom w:val="single" w:sz="8" w:color="CCEDFF"/>
            </w:tcBorders>
            <w:shd w:val="clear" w:color="auto" w:fill="CCEDFF"/>
          </w:tcPr>
          <w:p>
            <w:pPr>
              <w:spacing w:after="0"/>
              <w:rPr>
                <w:sz w:val="23"/>
                <w:szCs w:val="23"/>
                <w:color w:val="auto"/>
              </w:rPr>
            </w:pPr>
          </w:p>
        </w:tc>
        <w:tc>
          <w:tcPr>
            <w:tcW w:w="66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0.03</w:t>
            </w:r>
          </w:p>
        </w:tc>
        <w:tc>
          <w:tcPr>
            <w:tcW w:w="80" w:type="dxa"/>
            <w:vAlign w:val="bottom"/>
            <w:tcBorders>
              <w:bottom w:val="single" w:sz="8" w:color="CCEDFF"/>
            </w:tcBorders>
            <w:shd w:val="clear" w:color="auto" w:fill="CCEDFF"/>
          </w:tcPr>
          <w:p>
            <w:pPr>
              <w:spacing w:after="0"/>
              <w:rPr>
                <w:sz w:val="23"/>
                <w:szCs w:val="23"/>
                <w:color w:val="auto"/>
              </w:rPr>
            </w:pPr>
          </w:p>
        </w:tc>
        <w:tc>
          <w:tcPr>
            <w:tcW w:w="200" w:type="dxa"/>
            <w:vAlign w:val="bottom"/>
            <w:tcBorders>
              <w:bottom w:val="single" w:sz="8" w:color="CCEDFF"/>
            </w:tcBorders>
            <w:shd w:val="clear" w:color="auto" w:fill="CCEDFF"/>
          </w:tcPr>
          <w:p>
            <w:pPr>
              <w:spacing w:after="0"/>
              <w:rPr>
                <w:sz w:val="23"/>
                <w:szCs w:val="23"/>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CCEDFF"/>
            </w:tcBorders>
            <w:shd w:val="clear" w:color="auto" w:fill="CCEDFF"/>
          </w:tcPr>
          <w:p>
            <w:pPr>
              <w:spacing w:after="0"/>
              <w:rPr>
                <w:sz w:val="23"/>
                <w:szCs w:val="23"/>
                <w:color w:val="auto"/>
              </w:rPr>
            </w:pPr>
          </w:p>
        </w:tc>
        <w:tc>
          <w:tcPr>
            <w:tcW w:w="2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240" w:type="dxa"/>
            <w:vAlign w:val="bottom"/>
            <w:tcBorders>
              <w:bottom w:val="single" w:sz="8" w:color="CCEDFF"/>
            </w:tcBorders>
            <w:shd w:val="clear" w:color="auto" w:fill="CCEDFF"/>
          </w:tcPr>
          <w:p>
            <w:pPr>
              <w:spacing w:after="0"/>
              <w:rPr>
                <w:sz w:val="23"/>
                <w:szCs w:val="23"/>
                <w:color w:val="auto"/>
              </w:rPr>
            </w:pPr>
          </w:p>
        </w:tc>
        <w:tc>
          <w:tcPr>
            <w:tcW w:w="10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6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earnings per diluted share (n)</w:t>
            </w:r>
          </w:p>
        </w:tc>
        <w:tc>
          <w:tcPr>
            <w:tcW w:w="3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1"/>
        </w:trPr>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340" w:hanging="332"/>
        <w:spacing w:after="0" w:line="266"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related charges, net represent the costs incurred by the Company associated with the Company’s restructuring program. These costs are not indicative of the future operating performance of the Company. See Note 7 of Notes to Condensed Consolidated Financial Statements, which appears in Item 1 of this Report, for additional information.</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planning (credits) expenses include consultant and advisory (credits) costs incurred in connection with long-term strategic planning, as well as planning to further optimize the Company’s footprint, processes and functions. These credits and costs recorded in SG&amp;A are not indicative of the future operating performance of the Company.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remediation recoveries represent insurance recoveries of costs incurred for remediation and restoration of property damage to certain of the Company’s facilities. These costs and recoveries recorded in Other income (expense), net, are non-recurring and are not indicative of the future operating performance of the Company. There were no such gains recognized for the three and nine months ended September 30, 2024. See Note 10 of Notes to Condensed Consolidated Financial Statements, which appears in Item 1 of this Report.</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include executive transition costs, charges incurred by an inactive subsidiary of the Company as a result of the termination of restrictions on insurance settlement reserves, net gains recognized for the sale of certain facilities previously classified as held for sale, non-service components of the Company’s pension and postretirement net periodic benefit income and expense, and certain legal, financial, and other advisory and consultant costs and indemnification asset related and earnout adjustments incurred in connection with the Company’s recent acquisitions. See Notes 2, 9, and 10 of Notes to Condensed Consolidated Financial Statements, which appear in Item 1 of this Report.</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and nine months ended September 30, 2024 and 2023. The charges incurred relate to the immediate recognition of foreign currency remeasurement in the Condensed Consolidated Statements of Operations and are not indicative of the future operating performance of the Company. See Note 1 of Notes to Condensed Consolidated Financial Statements, which appears in Item 1 of this Report.</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insolvency costs represent charges associated with a specific reserve for trade accounts receivable within the Company’s EMEA reportable segment related to a specific customer that filed for bankruptcy protection. These expenses are not indicative of the future operating performance of the Company.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 represents expense related to the payments by the Company in connection with a product liability dispute with a customer during the nine months ended September 30, 2024. See Note 10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insurance proceeds reflects an insurance claim settlement receipt for the three and nine months ended September 30, 2024 related to production losses due to an electrical fire in 2021 that resulted in the temporary shutdown of production at one of the Company’s production facilities. See Note 18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certain discrete tax items include certain impacts of tax law changes, valuation allowance adjustments, uncertain tax positions and prior year true-ups, and the impact on certain intercompany asset transfers. The Company does not believe these items are core or indicative of future performance of the Company. See Note 11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and nine months ended September 30, 2024 and 2023 includes approximately $0.2 million and $0.7 million, respectively, and $0.3 million and $0.8 million, respectively, of amortization expense recorded within equity in net income of associated companies in the Company’s Condensed Consolidated Statements of Operations, which is attributable to the amortization of the fair value step up for the Company’s 50% interest in a joint venture in Korea as a result of required purchase accounting adjustments.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and non-GAAP operating margin as the percentage of adjusted EBITDA and non-GAAP operating income to consolidated net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ind w:left="340" w:hanging="332"/>
        <w:spacing w:after="0" w:line="282"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non-GAAP earnings per diluted share as non-GAAP net income attributable to the Company divided by the weighted average number of diluted shares outstanding using the “two-class share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off-balance sheet items outstanding as of September 30, 2024 include approximately $7 million of bank letters of credit and guarantees. The bank letters of credit and guarantees are not significant to the Company’s liquidity or capital resources. See Note 14 of Notes to Condensed Consolidated Financial Statements in Item 1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Third Quarter of 2024 with the Third Quarter of 2023</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Net sales were $462.3 million in the third quarter of 2024 compared to $490.6 million in the third quarter of 2023. The net sales decrease of $28.2 million, or 6%, year-over-year reflects a decrease in selling price and product mix of approximately 4%, a decline in sales volumes of approximately 1%, and an unfavorable impact from foreign currency translation of 1%. The decrease in selling price and product mix was primarily attributable to the impact of our index-based customer contracts. The decline in sales volumes was primarily the result of a continuation of soft end market conditions, primarily in the Americas and EMEA segments, partially offset by an increase in sales volumes in the Asia/Pacific segment, continued new business wins across all segments and a contribution from acquisitions in the EMEA and Asia/Pacific segments.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(“COGS”) was $289.7 million in the third quarter of 2024 compared to $307.3 million in the third quarter of 2023, a decrease of approximately $17.6 million, or 6%. The decrease in COGS reflects lower spend on the decline in current year sales volumes and a decrease in the Company’s global raw material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was $172.5 million in the third quarter of 2024 compared to $183.3 million in the third quarter of 2023, a decrease of $10.8 million, or 6% primarily due to the decline in sales as mentioned above. The Company’s reported gross margin in the third quarter of 2024 was 37.3% compared to 37.4% in the third quarter of 2023.</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expense was $118.2 million in the third quarter of 2024 compared to $122.8 million in the third quarter of 2023, a decrease of approximately $4.7 million, or 4%, driven by lower incentive compensation and strategic planning costs, offset by an increase in SG&amp;A relating to the IKV and Sutai acquisitions.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Restructuring and related charges of $2.6 million and $1.0 million during the third quarter of 2024 and 2023, respectively, related to reductions in headcount and facility closure costs under the Company’s restructuring program. See the Non-GAAP Measures section of this Item above and Note 7 of Notes to Condensed Consolidated Financial Statements, which appears in Item 1 of this report, for additional information.</w:t>
      </w:r>
    </w:p>
    <w:p>
      <w:pPr>
        <w:spacing w:after="0" w:line="6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 the third quarter of 2024 was $51.7 million compared to $59.5 million in the third quarter of 2023. Excluding non-recurring and non-core expenses that are not indicative of the future operating performance of the Company described in the Non-GAAP Measures section of this Item, above, the Company’s non-GAAP operating income was $54.2 million in the third quarter of 2024 and $61.8 million in the third quarter of 2023. The decrease was primarily due to lower sales, partially offset by lower SG&amp;A expenses, as described above.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Other income, net of $0.8 million in the third quarter of 2024 as compared to Other expense, net of $2.7 million in the third quarter of 2023. Both the third quarter of 2024 and 2023 included foreign exchange transaction losses, which were higher in the prior year. The third quarter of 2024 also included a business interruption insurance recovery of $1.0 million, other income from non-income tax credits of $0.7 million and other income of $0.4 million relating to adjustments to the earnout provisions for the Sutai acquisition.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was $10.3 million in the third quarter of 2024 compared to $12.8 million in the third quarter of 2023, a decrease of approximately $2.4 million, primarily as a result of decreases in interest rates and lower outstanding borrowings.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third quarters of 2024 and 2023 were 28.9% and 30.9%, respectively. The Company’s effective tax rate for the third quarter of 2024 was largely driven by the mix of pre-tax earnings, withholding taxes, and changes in uncertain tax positions offset by return to provision adjustments. Comparatively, the effective tax rate for the third quarter of 2023 was largely driven by the mix of pre-tax earnings, changes to the valuation allowance for and the usage of certain foreign tax credits, and return to provision adjustments, withholding taxes, and changes in uncertain tax positions. Excluding the impact of non-core items in each quarter, described in the Non-GAAP Measures section of this Item above, the Company estimates that its effective tax rates for the third quarters of 2024 and 2023 would have been approximately 29% and 28%, respectively.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in net income of associated companies was $2.4 million in the third quarter of 2024 compared to $3.3 million in the third quarter of 2023, a decrease of $0.9 million, primarily due to lower current year income from the Company’s equity interest in Primex and the Company’s 50% equity interest in a joint venture in Korea.</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the third quarter of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First Nine Months of 2024 with the First Nine Months of 2023</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Net sales were $1,395.6 million in the first nine months of 2024 compared to $1,486.2 million in the first nine months of 2023. The net sales decrease of $90.6 million, or 6%, year-over-year reflects decreases in selling price and product mix of approximately 5%, a decline in sales volumes of approximately 1%, and an unfavorable impact from foreign currency translation of less than 1%. The decrease in selling price and product mix was primarily attributable to the impact of our index-based customer contracts. The decline in sales volumes was primarily a result of a continuation of soft end market conditions compared to the prior year, primarily in the Americas and EMEA segments, partially offset by an increase in sales volumes in the Asia/Pacific segment, continued new business wins across all segments and a contribution from acquisitions in the EMEA and Asia/Pacific segments.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COGS were $865.8 million in the first nine months of 2024 compared to $951.7 million in the first nine months of 2023. The decrease in COGS of approximately $86.0 million, or 9%, reflects lower spend on the decline in current year sales volumes and a decline in the Company’s global raw material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was $529.8 million in the first nine months of 2024 compared to $534.5 million in the first nine months of 2023, a decrease of approximately $4.6 million, or 1%, primarily as a result of the decline in sales as mentioned above, partially offset by a reduction in the Company’s raw material costs. The Company’s reported gross margin in the first nine months of 2024 was 38.0% compared to 36.0% in the first nine months of 2023.</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SG&amp;A was $359.4 million in the first nine months of 2024 compared to $362.2 million in to the first nine months of 2023, a decrease of $2.9 million, or 1%, primarily driven by foreign currency translation, offset by an increase in SG&amp;A relating to the IKV and Sutai acquisitions.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Restructuring and related charges of $4.8 million and $6.0 million during the first nine months of 2024 and 2023, respectively, related to reductions in headcount and facility closure costs under the Company’s restructuring program. See the Non-GAAP Measures section of this Item, above.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 the first nine months of 2024 was $165.7 million compared to $166.2 million in the first nine months of 2023. Excluding non-recurring and non-core expenses that are not indicative of the future operating performance of the Company described in the Non-GAAP Measures section of this Item, above, the Company’s current year non-GAAP operating income decreased to $173.2 million for the first nine months of 2024 compared to $176.9 million in the prior year’s first nine months primarily due to lower gross profit, partially offset by lower SG&amp;A, as described above.</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had Other income, net of $2.3 million in the first nine months of 2024 compared to Other expense, net of $8.6 million in the first nine months of 2023, as the Company had lower foreign exchange losses of $2.1 million in the current year compared to losses of $10.0 million in the prior year period. The first nine months of 2024 results also included $3.8 million of non-income tax refunds and other related credits, a $1.0 million business interruption insurance recovery, and a $0.9 million gain recognized for the sale of certain facilities previously classified as held for sale, partially offset by a $0.9 million expense associated with a payment related to a customer product liability dispute, whereas the first nine months of 2023 included $1.0 million of insurance reimbursements related to remediation and restoration of property damage to certain of the Company’s facilities. See the Non-GAAP Measures section of this Item,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of $31.9 million decreased $6.8 million in the first nine months of 2024 compared to $38.7 million in the first nine months of 2023 primarily as a result of lower outstanding borrowings and decreases in interest rates.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first nine months of 2024 and 2023 were 29.7% and 31.1%, respectively. The Company’s effective tax rate for the nine months ended September 30, 2024 was primarily impacted by the mix of pre-tax earnings, certain one-time charges related to an intercompany intangible asset transfer, and withholding taxes, offset by changes in uncertain tax positions and return to provision adjustments. Comparatively, the effective tax rates for the nine months ended September 30, 2023 were largely impacted by the mix of pre-tax earnings, changes to the valuation allowance for and the usage of certain foreign tax credits, return to provision adjustments, and withholding taxes, partially offset by changes in uncertain tax positions and return to provision adjustments. Excluding the impact of non-core items in each period, described in the Non-GAAP Measures section of this Item, above, the Company estimates that its effective tax rates for the first nine months of 2024 and 2023 would have been approximately 28% in both periods.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$6.9 million in the first nine months of 2024 compared to $10.7 million in the first nine months of 2023. The decrease of $3.7 million was primarily due to lower current year income from the Company’s 50% equity interest in a joint venture in Korea.</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the first nine months of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Third Quarter of 2024 with the Third Quarter of 2023</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the Company’s reportable segments are comprised of net sales less COGS and SG&amp;A directly related to the respective segment’s net sales. Operating expenses not directly attributable to the segments, such as certain corporate and administrative costs and Restructuring and related charges, net, are excluded from segment results. Other items not specifically identified with the Company’s reportable segments include Interest expense, net, and Other income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48% of the Company’s consolidated net sales in the third quarter of 2024. This segment’s net sales were $220.3 million, a decrease of $25.6 million, or 10%, compared to the third quarter of 2023. This was driven by a decrease in sales volumes of approximately 6%, lower selling price and product mix of approximately 2%, and an unfavorable impact from foreign currency translation of 2%. The current quarter decline in sales volumes compared to the prior year was primarily driven by softer end market conditions broadly across the portfolio, partially offset by new business wins. The decrease in selling price and product mix was primarily attributable to the impact of our index-based customer contracts. The unfavorable foreign exchange impact was primarily due to the strengthening of the U.S. dollar against the Mexican peso and Brazilian real. Segment operating earnings were $62.1 million, a decrease of $7.0 million, or 10%, compared to the third quarter of 2023, driven by lower sales partially offset by improved segment operating margins, driven primarily by lower raw material costs and lower SG&amp;A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third quarter of 2024. This segment’s net sales were $134.1 million, a decrease of $5.5 million, or 4%, compared to the third quarter of 2023. This was driven by lower selling price and product mix of approximately 6%, partially offset by an increase in sales volumes of 1% and a favorable impact from foreign currency translation of 1%. The decrease in selling price and product mix was primarily attributable to the impact of our index-based customer contracts. The increase in sales volumes was primarily driven by new business wins and the contribution from the acquisition of IKV which offset softer end market conditions in the region. The favorable foreign currency translation impact was primarily due to the weakening of the U.S. dollar against the Euro. Segment operating earnings were $24.6 million, a decrease of $3.3 million, or 12%, compared to the third quarter of 2023, due to the decline in net sales and lower segment operating margins due to higher raw material and other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23% of the Company’s consolidated net sales in the third quarter of 2024. This segment’s net sales were $107.9 million, an increase of $2.8 million, or 3%, compared to the third quarter of 2023. This was driven by an increase in sales volumes of 6% and a favorable impact from foreign currency translation of 1%, partially offset by a decrease in selling price and product mix of 4%. The increase in sales volumes was primarily driven by new business wins coupled with a modest improvement in the end market environment and the contribution from the acquisition of Sutai. The decrease in selling price and product mix was primarily attributable to the impact of our index-based customer contracts. The favorable foreign exchange impact was primarily due to the weakening of the U.S. dollar against the Chinese renminbi. Segment operating earnings were $30.7 million, a decrease of $0.3 million, or 1%, compared to the third quarter of 2023 as the increase in net sales was offset by lower segment operating margins due to higher raw material and other costs.</w:t>
      </w:r>
    </w:p>
    <w:p>
      <w:pPr>
        <w:spacing w:after="0" w:line="82" w:lineRule="exact"/>
        <w:rPr>
          <w:sz w:val="20"/>
          <w:szCs w:val="20"/>
          <w:color w:val="auto"/>
        </w:rPr>
      </w:pPr>
    </w:p>
    <w:p>
      <w:pPr>
        <w:ind w:right="3120"/>
        <w:spacing w:after="0" w:line="376"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Reportable Segments Review - Comparison of the First Nine Months of 2024 with the First Nine Months of 2023 </w:t>
      </w:r>
      <w:r>
        <w:rPr>
          <w:rFonts w:ascii="Times New Roman" w:cs="Times New Roman" w:eastAsia="Times New Roman" w:hAnsi="Times New Roman"/>
          <w:sz w:val="18"/>
          <w:szCs w:val="18"/>
          <w:i w:val="1"/>
          <w:iCs w:val="1"/>
          <w:color w:val="auto"/>
        </w:rPr>
        <w:t>Americas</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48% of the Company’s consolidated net sales in the first nine months of 2024. This segment’s net sales were $673.5 million, a decrease of $77.0 million, or 10%, compared to the first nine months of 2023. This was driven by a decrease in sales volumes of 6%, a decrease in selling price and product mix of 4%, and an unfavorable impact of foreign currency translation of less than 1%. The decrease in selling price and product mix was primarily attributable to the impact of our index-based customer contracts. The decline in sales volumes was primarily driven by softer market conditions and customer order patterns and outages, partially offset by new business wins. The unfavorable foreign exchange impact was primarily due to the strengthening of the U.S. dollar against the Brazilian real during the first nine months of 2024 compared to 2023. The Americas segment’s operating earnings were $193.0 million, a decrease of $11.3 million, or 6%, compared to the first nine months of 2023 primarily driven by lower net sales, partially offset by an improvement in segment operating margins.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first nine months of 2024. This segment’s net sales were $410.6 million, a decrease of $25.0 million, or 6%, compared to the first nine months of 2023. This was a result of a decline in selling price and product mix of 4% and a decrease in sales volumes of 2%. The decrease in selling price and product mix was primarily attributable to the year-over-year impact of our index-based customer contracts. The decline in sales volumes was primarily driven by softer market conditions, partially offset by new business wins and the contribution from the acquisition of IKV. The EMEA segment’s operating earnings were $80.9 million, a decrease of $0.2 million, or less than 1 percent, compared to the first nine months of 2023 primarily driven by lower net sales, partially offset by an improvement in segment operating margins.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22% of the Company’s consolidated net sales in the first nine months of 2024. This segment’s net sales were $311.5 million, an increase of $11.4 million, or 4%, compared to the first nine months of 2023. This was driven by an increase in sales volumes of 9%, partially offset by lower selling price and product mix of 3% and an unfavorable impact of foreign currency translation of 2%. The increase in sales volumes was primarily driven by new business wins coupled with a more favorable end market environment and the contribution from the acquisition of Sutai compared to the prior year period. The decrease in selling price and product mix was primarily attributable to the year-over-year impact of our index-based customer contracts. The unfavorable foreign exchange impact was primarily due to the strengthening of the U.S. dollar against the Chinese renminbi. The Asia/Pacific segment’s operating earnings were $92.0 million, an increase of $5.4 million, or 6%, compared to the first nine months of 2023 which was primarily driven by an improvement in net sales and segment operating margins.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Our Future Results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We have based these forward-looking statements on assumptions, projections and expectations about future events that we believe are reasonable based on currently available information, including statements regarding the potential effects of the conflicts in Ukraine and the Middle East,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spacing w:after="0" w:line="6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projected impacts on our business of acts of war or terrorism, including the conflicts in Ukraine and the Middle East, and actions taken by various governments and governmental organizations in response;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cost increases and the impacts of constraints and disruptions in the global supply chain;</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timing, impacts, benefits and other uncertainties of acquisitions and divestitures, including our ability to realize synergies, integrate acquisitions or separate divested assets and businesses;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changes in global and regional economic conditions and for a variety of macroeconomic events, including the possibility of global or regional slowdowns or recessions, a global pandemic, interest rate changes, tariffs, inflation, deflation or stagflation and its impact on our business, raw materials purchases and/or profitability of our business impact the value of our assets;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and plans including our sustainability goals and enterprise strategy</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2023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major risks and uncertainties include, but are not limited to, inflationary pressures, including the potential for significant increases in raw material costs; supply chain disruptions; customer financial instability; high interest rates and the possibility of economic recession; economic and political disruptions particularly in light of numerous elections globally and the possibility of regime changes and including the impacts of the military conflicts between Russia and Ukraine and in the Middle East;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and the potential expansion of military activity; foreign currency fluctuations; significant changes in applicable tax rates and regulations; future terrorist attacks and other acts of violence; the impacts of consolidation in our industry, including loss or consolidation of a major customer; and the potential occurrence of cyber-security breaches, cyber-security attacks and other technology outages and security incidents.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Company is subject to the same business cycles as those experienced by our customers in the steel, automobile, aircraft, industrial equipment, aluminum, and durable goods industries. Other factors could also adversely affect us, including those related to acquisitions and the integration of acquired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2023 Form 10-K and in our quarterly and other reports filed from time to time with the SEC. This discussion is provided as permitted by the Private Securities Litigation Reform Act of 1995.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on the Internet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 December 31, 2023, and we believe there has been no material change to that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required by Rule 13a-15(b)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September 30, 2024, the end of the period covered by this Report, our disclosure controls and procedures (as defined in Rule 13a-15(e) under the Exchange Act) were effective.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 management,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has evaluated our internal control over financial reporting to determine whether any changes to our internal control over financial reporting occurred during the quarter ended September 30, 2024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September 30,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inapplicable and have been omitted.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Incorporated by reference is the information in Note 18 of Notes to the Condensed Consolidated Financial Statements in Part I, Item 1, of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2023 Form 10-K. There have been no material changes to the risk factors described therein.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 Report:</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Purchased as part</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Publicly Announced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Purchased (1)(2)</w:t>
            </w:r>
          </w:p>
        </w:tc>
        <w:tc>
          <w:tcPr>
            <w:tcW w:w="28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 (1)(2)</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or Programs (2)</w:t>
            </w:r>
          </w:p>
        </w:tc>
      </w:tr>
      <w:tr>
        <w:trPr>
          <w:trHeight w:val="27"/>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136,733,339</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37,168</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130,756,516</w:t>
            </w: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127,096,955</w:t>
            </w: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8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127,096,955</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2024, the Board of Directors of the Company approved, and the Company announced, a share repurchase program, pursuant to which the Company is authorized to repurchase up to $150,000,000 of Quaker Chemical Corporation common stock (the “2024 Share Repurchase Program”), and it has no expiration date. The number of shares to be repurchased and the timing of such transactions will depend on a variety of factors, including market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Facility has certain limitations on the payment of dividends and other so-called restricted payment covenants. See Note 14 of Notes to Condensed Consolidated Financial Statements, in Part I, Item 1,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director or officer (as defined in Rule 16a-1(f) promulgated under the Exchange Act) of the Company adopted or terminated any Rule 10b5-1 trading arrangement or any non-Rule 10b5-1 trading arrangement (as such terms are defined in Item 408 of Regulation S-K) during the quarter ended September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133" w:lineRule="exact"/>
        <w:rPr>
          <w:sz w:val="20"/>
          <w:szCs w:val="20"/>
          <w:color w:val="auto"/>
        </w:rPr>
      </w:pPr>
    </w:p>
    <w:p>
      <w:pPr>
        <w:ind w:left="20"/>
        <w:spacing w:after="0"/>
        <w:tabs>
          <w:tab w:leader="none" w:pos="15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55">
        <w:r>
          <w:rPr>
            <w:rFonts w:ascii="Times New Roman" w:cs="Times New Roman" w:eastAsia="Times New Roman" w:hAnsi="Times New Roman"/>
            <w:sz w:val="18"/>
            <w:szCs w:val="18"/>
            <w:u w:val="single" w:color="auto"/>
            <w:color w:val="0000FF"/>
          </w:rPr>
          <w:t>Amended and Restated Articles of Incorporation (as amended through July 24, 2019). Incorporated by reference to Exhibit 3.1 as</w:t>
        </w:r>
      </w:hyperlink>
    </w:p>
    <w:p>
      <w:pPr>
        <w:ind w:left="138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55">
        <w:r>
          <w:rPr>
            <w:rFonts w:ascii="Times New Roman" w:cs="Times New Roman" w:eastAsia="Times New Roman" w:hAnsi="Times New Roman"/>
            <w:sz w:val="18"/>
            <w:szCs w:val="18"/>
            <w:u w:val="single" w:color="auto"/>
            <w:color w:val="0000FF"/>
          </w:rPr>
          <w:t>filed by the Registrant with its quarterly report on Form 10-Q filed on August 1, 2019.</w:t>
        </w:r>
      </w:hyperlink>
    </w:p>
    <w:p>
      <w:pPr>
        <w:sectPr>
          <w:pgSz w:w="11900" w:h="16838" w:orient="portrait"/>
          <w:cols w:equalWidth="0" w:num="1">
            <w:col w:w="11220"/>
          </w:cols>
          <w:pgMar w:left="320" w:top="121" w:right="359" w:bottom="1440" w:gutter="0" w:footer="0" w:header="0"/>
        </w:sectPr>
      </w:pP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ind w:left="220"/>
        <w:spacing w:after="0" w:line="185" w:lineRule="auto"/>
        <w:rPr>
          <w:rFonts w:ascii="Times New Roman" w:cs="Times New Roman" w:eastAsia="Times New Roman" w:hAnsi="Times New Roman"/>
          <w:sz w:val="17"/>
          <w:szCs w:val="17"/>
          <w:u w:val="single" w:color="auto"/>
          <w:color w:val="0000FF"/>
        </w:rPr>
      </w:pPr>
      <w:hyperlink r:id="rId56">
        <w:r>
          <w:rPr>
            <w:rFonts w:ascii="Times New Roman" w:cs="Times New Roman" w:eastAsia="Times New Roman" w:hAnsi="Times New Roman"/>
            <w:sz w:val="17"/>
            <w:szCs w:val="17"/>
            <w:u w:val="single" w:color="auto"/>
            <w:color w:val="0000FF"/>
          </w:rPr>
          <w:t>Amended and Restated By-laws (effective December 19, 2022). Incorporated by reference to Exhibit 3.1 as filed by the Registrant</w:t>
        </w:r>
      </w:hyperlink>
    </w:p>
    <w:p>
      <w:pPr>
        <w:spacing w:after="0" w:line="233" w:lineRule="auto"/>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56">
        <w:r>
          <w:rPr>
            <w:rFonts w:ascii="Times New Roman" w:cs="Times New Roman" w:eastAsia="Times New Roman" w:hAnsi="Times New Roman"/>
            <w:sz w:val="18"/>
            <w:szCs w:val="18"/>
            <w:u w:val="single" w:color="auto"/>
            <w:color w:val="0000FF"/>
          </w:rPr>
          <w:t>within its current report on Form 8-K on December 20, 2022.</w:t>
        </w:r>
      </w:hyperlink>
    </w:p>
    <w:p>
      <w:pPr>
        <w:spacing w:after="0" w:line="1" w:lineRule="exact"/>
        <w:rPr>
          <w:rFonts w:ascii="Times New Roman" w:cs="Times New Roman" w:eastAsia="Times New Roman" w:hAnsi="Times New Roman"/>
          <w:sz w:val="18"/>
          <w:szCs w:val="18"/>
          <w:color w:val="0000FF"/>
        </w:rPr>
      </w:pPr>
    </w:p>
    <w:p>
      <w:pPr>
        <w:spacing w:after="0" w:line="18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29"/>
          <w:szCs w:val="29"/>
          <w:color w:val="000000"/>
          <w:vertAlign w:val="subscript"/>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Certification of Chief Executive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Executive Officer of the Company Pursuant to 18 U.S. C. Section 1350.**</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18 U.S. C. Section 1350.**</w:t>
      </w:r>
    </w:p>
    <w:p>
      <w:pPr>
        <w:spacing w:after="0" w:line="76"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Instance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Schema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Calculation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Definition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Label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Presentation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Cover Page Interactive Data File (formatted as Inline XBRL and contained in Exhibit 101.INS)*</w:t>
      </w:r>
    </w:p>
    <w:p>
      <w:pPr>
        <w:spacing w:after="0" w:line="562" w:lineRule="exact"/>
        <w:rPr>
          <w:sz w:val="20"/>
          <w:szCs w:val="20"/>
          <w:color w:val="auto"/>
        </w:rPr>
      </w:pPr>
    </w:p>
    <w:p>
      <w:pPr>
        <w:sectPr>
          <w:pgSz w:w="11900" w:h="16838" w:orient="portrait"/>
          <w:cols w:equalWidth="0" w:num="2">
            <w:col w:w="1240" w:space="140"/>
            <w:col w:w="9840"/>
          </w:cols>
          <w:pgMar w:left="32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04" w:lineRule="exact"/>
        <w:rPr>
          <w:sz w:val="20"/>
          <w:szCs w:val="20"/>
          <w:color w:val="auto"/>
        </w:rPr>
      </w:pPr>
    </w:p>
    <w:p>
      <w:pPr>
        <w:ind w:right="460" w:firstLine="8"/>
        <w:spacing w:after="0" w:line="266" w:lineRule="auto"/>
        <w:tabs>
          <w:tab w:leader="none" w:pos="1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exhibits that are not material and are of the type Quaker Houghton treats as confidential have been redacted pursuant to Item 601(b)(10)(iv) of Regulation S-K. Copies of the unredacted exhibits will be furnished to the SEC upon request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378"/>
        </w:trPr>
        <w:tc>
          <w:tcPr>
            <w:tcW w:w="3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648"/>
        </w:trPr>
        <w:tc>
          <w:tcPr>
            <w:tcW w:w="3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Coler</w:t>
            </w:r>
          </w:p>
        </w:tc>
        <w:tc>
          <w:tcPr>
            <w:tcW w:w="0" w:type="dxa"/>
            <w:vAlign w:val="bottom"/>
          </w:tcPr>
          <w:p>
            <w:pPr>
              <w:spacing w:after="0"/>
              <w:rPr>
                <w:sz w:val="1"/>
                <w:szCs w:val="1"/>
                <w:color w:val="auto"/>
              </w:rPr>
            </w:pPr>
          </w:p>
        </w:tc>
      </w:tr>
      <w:tr>
        <w:trPr>
          <w:trHeight w:val="2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20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Thomas Coler, Executive Vice President, Chief Financial Officer (officer</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duly authorized on behalf of, and principal financial officer of, the</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0" w:type="dxa"/>
            <w:vAlign w:val="bottom"/>
          </w:tcPr>
          <w:p>
            <w:pPr>
              <w:spacing w:after="0"/>
              <w:rPr>
                <w:sz w:val="1"/>
                <w:szCs w:val="1"/>
                <w:color w:val="auto"/>
              </w:rPr>
            </w:pPr>
          </w:p>
        </w:tc>
      </w:tr>
      <w:tr>
        <w:trPr>
          <w:trHeight w:val="769"/>
        </w:trPr>
        <w:tc>
          <w:tcPr>
            <w:tcW w:w="3600" w:type="dxa"/>
            <w:vAlign w:val="bottom"/>
          </w:tcPr>
          <w:p>
            <w:pPr>
              <w:spacing w:after="0"/>
              <w:rPr>
                <w:sz w:val="24"/>
                <w:szCs w:val="24"/>
                <w:color w:val="auto"/>
              </w:rPr>
            </w:pPr>
          </w:p>
        </w:tc>
        <w:tc>
          <w:tcPr>
            <w:tcW w:w="76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 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E. Tometich,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E. Tometich</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38" w:name="page39"/>
    <w:bookmarkEnd w:id="3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Coler,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September 30, 2024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E. Tometich</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September 30, 2024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2"/>
    </w:lvl>
  </w:abstractNum>
  <w:abstractNum w:abstractNumId="4">
    <w:nsid w:val="515F007C"/>
    <w:multiLevelType w:val="hybridMultilevel"/>
    <w:lvl w:ilvl="0">
      <w:lvlJc w:val="left"/>
      <w:lvlText w:val="(%1)"/>
      <w:numFmt w:val="lowerLetter"/>
      <w:start w:val="1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endash "/>
      <w:numFmt w:val="bullet"/>
      <w:start w:val="1"/>
    </w:lvl>
  </w:abstractNum>
  <w:abstractNum w:abstractNumId="8">
    <w:nsid w:val="216231B"/>
    <w:multiLevelType w:val="hybridMultilevel"/>
    <w:lvl w:ilvl="0">
      <w:lvlJc w:val="left"/>
      <w:lvlText w:val="\endash "/>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5" Type="http://schemas.openxmlformats.org/officeDocument/2006/relationships/hyperlink" Target="https://www.sec.gov/Archives/edgar/data/81362/000008136219000013/exhibit31.htm" TargetMode="External"/><Relationship Id="rId56" Type="http://schemas.openxmlformats.org/officeDocument/2006/relationships/hyperlink" Target="https://www.sec.gov/Archives/edgar/data/81362/000110465922128616/tm2233147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2024-10-31T16:07:22Z</dcterms:created>
  <dcterms:modified xsi:type="dcterms:W3CDTF">2024-10-31T16:07:22Z</dcterms:modified>
</cp:coreProperties>
</file>