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 C. 20549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2023</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12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Commission file number 001-12019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color w:val="000000"/>
          <w:sz w:val="28"/>
        </w:rPr>
      </w:pPr>
      <w:r>
        <w:rPr>
          <w:rFonts w:ascii="Times New Roman;sans-serif" w:hAnsi="Times New Roman;sans-serif"/>
          <w:b/>
          <w:color w:val="000000"/>
          <w:sz w:val="28"/>
        </w:rPr>
        <w:t>QUAKER CHEMICAL CORPORATION</w:t>
      </w:r>
    </w:p>
    <w:p>
      <w:pPr>
        <w:pStyle w:val="TextBody"/>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5998" w:type="dxa"/>
        <w:jc w:val="center"/>
        <w:tblInd w:w="0" w:type="dxa"/>
        <w:tblCellMar>
          <w:top w:w="28" w:type="dxa"/>
          <w:left w:w="28" w:type="dxa"/>
          <w:bottom w:w="28" w:type="dxa"/>
          <w:right w:w="28" w:type="dxa"/>
        </w:tblCellMar>
      </w:tblPr>
      <w:tblGrid>
        <w:gridCol w:w="1356"/>
        <w:gridCol w:w="1193"/>
        <w:gridCol w:w="1200"/>
        <w:gridCol w:w="657"/>
        <w:gridCol w:w="657"/>
        <w:gridCol w:w="935"/>
      </w:tblGrid>
      <w:tr>
        <w:trPr/>
        <w:tc>
          <w:tcPr>
            <w:tcW w:w="135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Pennsylvania</w:t>
            </w:r>
          </w:p>
        </w:tc>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23-0993790</w:t>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tbl>
      <w:tblPr>
        <w:tblW w:w="3568" w:type="dxa"/>
        <w:jc w:val="center"/>
        <w:tblInd w:w="0" w:type="dxa"/>
        <w:tblCellMar>
          <w:top w:w="28" w:type="dxa"/>
          <w:left w:w="28" w:type="dxa"/>
          <w:bottom w:w="28" w:type="dxa"/>
          <w:right w:w="28" w:type="dxa"/>
        </w:tblCellMar>
      </w:tblPr>
      <w:tblGrid>
        <w:gridCol w:w="879"/>
        <w:gridCol w:w="773"/>
        <w:gridCol w:w="777"/>
        <w:gridCol w:w="333"/>
        <w:gridCol w:w="333"/>
        <w:gridCol w:w="473"/>
      </w:tblGrid>
      <w:tr>
        <w:trPr/>
        <w:tc>
          <w:tcPr>
            <w:tcW w:w="87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901 E. Hector Street,</w:t>
            </w:r>
          </w:p>
          <w:p>
            <w:pPr>
              <w:pStyle w:val="TableContents"/>
              <w:spacing w:lineRule="auto" w:line="240" w:before="0" w:after="120"/>
              <w:jc w:val="center"/>
              <w:rPr>
                <w:rFonts w:ascii="Times New Roman;sans-serif" w:hAnsi="Times New Roman;sans-serif"/>
                <w:b/>
                <w:color w:val="000000"/>
                <w:sz w:val="16"/>
              </w:rPr>
            </w:pPr>
            <w:r>
              <w:rPr>
                <w:rFonts w:ascii="Times New Roman;sans-serif" w:hAnsi="Times New Roman;sans-serif"/>
                <w:b/>
                <w:color w:val="000000"/>
                <w:sz w:val="16"/>
              </w:rPr>
              <w:t>Conshohocken, Pennsylvania</w:t>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19428 – 2380</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610-832-4000</w:t>
      </w:r>
    </w:p>
    <w:p>
      <w:pPr>
        <w:pStyle w:val="TextBody"/>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63" w:type="dxa"/>
        <w:jc w:val="center"/>
        <w:tblInd w:w="0" w:type="dxa"/>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spacing w:lineRule="auto" w:line="288" w:before="0" w:after="12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spacing w:lineRule="auto" w:line="288" w:before="0" w:after="120"/>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spacing w:lineRule="auto" w:line="288" w:before="0" w:after="12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spacing w:lineRule="auto" w:line="288" w:before="0" w:after="120"/>
        <w:rPr/>
      </w:pPr>
      <w:r>
        <w:rPr>
          <w:rFonts w:ascii="Times New Roman;sans-serif" w:hAnsi="Times New Roman;sans-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color w:val="000000"/>
          <w:sz w:val="16"/>
        </w:rPr>
        <w:t>x</w:t>
      </w:r>
    </w:p>
    <w:p>
      <w:pPr>
        <w:pStyle w:val="TextBody"/>
        <w:spacing w:lineRule="auto" w:line="288" w:before="120" w:after="120"/>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6000" w:type="dxa"/>
        <w:jc w:val="center"/>
        <w:tblInd w:w="0" w:type="dxa"/>
        <w:tblCellMar>
          <w:top w:w="28" w:type="dxa"/>
          <w:left w:w="28" w:type="dxa"/>
          <w:bottom w:w="28" w:type="dxa"/>
          <w:right w:w="28" w:type="dxa"/>
        </w:tblCellMar>
      </w:tblPr>
      <w:tblGrid>
        <w:gridCol w:w="1826"/>
        <w:gridCol w:w="1604"/>
        <w:gridCol w:w="1609"/>
        <w:gridCol w:w="281"/>
        <w:gridCol w:w="281"/>
        <w:gridCol w:w="399"/>
      </w:tblGrid>
      <w:tr>
        <w:trPr/>
        <w:tc>
          <w:tcPr>
            <w:tcW w:w="1826"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 Outstanding on April 30, 2023</w:t>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17,980,840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04"/>
        <w:gridCol w:w="267"/>
        <w:gridCol w:w="270"/>
        <w:gridCol w:w="2914"/>
        <w:gridCol w:w="2914"/>
        <w:gridCol w:w="2919"/>
        <w:gridCol w:w="180"/>
        <w:gridCol w:w="180"/>
        <w:gridCol w:w="257"/>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auto" w:val="clear"/>
            <w:tcMar>
              <w:top w:w="0" w:type="dxa"/>
              <w:left w:w="0" w:type="dxa"/>
              <w:bottom w:w="0" w:type="dxa"/>
              <w:right w:w="0" w:type="dxa"/>
            </w:tcMar>
            <w:vAlign w:val="center"/>
          </w:tcPr>
          <w:p>
            <w:pPr>
              <w:pStyle w:val="TableContents"/>
              <w:spacing w:before="0" w:after="283"/>
              <w:jc w:val="center"/>
              <w:rPr/>
            </w:pPr>
            <w:r>
              <w:rPr/>
              <w:t>Page</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0">
              <w:r>
                <w:rPr>
                  <w:rStyle w:val="InternetLink"/>
                  <w:rFonts w:ascii="Times New Roman;sans-serif" w:hAnsi="Times New Roman;sans-serif"/>
                  <w:b/>
                  <w:strike w:val="false"/>
                  <w:dstrike w:val="false"/>
                  <w:color w:val="000000"/>
                  <w:sz w:val="20"/>
                  <w:u w:val="none"/>
                  <w:effect w:val="none"/>
                </w:rPr>
                <w:t>PART I.</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0">
              <w:r>
                <w:rPr>
                  <w:rStyle w:val="InternetLink"/>
                  <w:rFonts w:ascii="Times New Roman;sans-serif" w:hAnsi="Times New Roman;sans-serif"/>
                  <w:b/>
                  <w:color w:val="0000FF"/>
                  <w:sz w:val="20"/>
                  <w:u w:val="single"/>
                </w:rPr>
                <w:t>FINANCIAL INFORMATION</w:t>
              </w:r>
            </w:hyperlink>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iab397af51de14f6e9eb865a603eb3aad_10">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3">
              <w:r>
                <w:rPr>
                  <w:rStyle w:val="InternetLink"/>
                  <w:rFonts w:ascii="Times New Roman;sans-serif" w:hAnsi="Times New Roman;sans-serif"/>
                  <w:b/>
                  <w:strike w:val="false"/>
                  <w:dstrike w:val="false"/>
                  <w:color w:val="000000"/>
                  <w:sz w:val="20"/>
                  <w:u w:val="none"/>
                  <w:effect w:val="none"/>
                </w:rPr>
                <w:t>Item 1.</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3">
              <w:r>
                <w:rPr>
                  <w:rStyle w:val="InternetLink"/>
                </w:rPr>
                <w:t>Financial Statements (</w:t>
              </w:r>
            </w:hyperlink>
            <w:hyperlink w:anchor="iab397af51de14f6e9eb865a603eb3aad_13">
              <w:r>
                <w:rPr>
                  <w:rStyle w:val="InternetLink"/>
                </w:rPr>
                <w:t>U</w:t>
              </w:r>
            </w:hyperlink>
            <w:hyperlink w:anchor="iab397af51de14f6e9eb865a603eb3aad_13">
              <w:r>
                <w:rPr>
                  <w:rStyle w:val="InternetLink"/>
                </w:rPr>
                <w:t>naudited)</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3">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6">
              <w:r>
                <w:rPr>
                  <w:rStyle w:val="InternetLink"/>
                </w:rPr>
                <w:t>Con</w:t>
              </w:r>
            </w:hyperlink>
            <w:hyperlink w:anchor="iab397af51de14f6e9eb865a603eb3aad_16">
              <w:r>
                <w:rPr>
                  <w:rStyle w:val="InternetLink"/>
                </w:rPr>
                <w:t xml:space="preserve">densed Consolidated Statements of </w:t>
              </w:r>
            </w:hyperlink>
            <w:hyperlink w:anchor="iab397af51de14f6e9eb865a603eb3aad_16">
              <w:r>
                <w:rPr>
                  <w:rStyle w:val="InternetLink"/>
                </w:rPr>
                <w:t>Operations</w:t>
              </w:r>
            </w:hyperlink>
            <w:hyperlink w:anchor="iab397af51de14f6e9eb865a603eb3aad_16">
              <w:r>
                <w:rPr>
                  <w:rStyle w:val="InternetLink"/>
                </w:rPr>
                <w:t xml:space="preserve"> for the Three</w:t>
              </w:r>
            </w:hyperlink>
            <w:hyperlink w:anchor="iab397af51de14f6e9eb865a603eb3aad_16">
              <w:r>
                <w:rPr>
                  <w:rStyle w:val="InternetLink"/>
                </w:rPr>
                <w:t xml:space="preserve"> Months Ended </w:t>
              </w:r>
            </w:hyperlink>
            <w:r>
              <w:rPr>
                <w:rFonts w:ascii="Times New Roman;sans-serif" w:hAnsi="Times New Roman;sans-serif"/>
                <w:b w:val="false"/>
                <w:color w:val="0000FF"/>
                <w:sz w:val="20"/>
                <w:u w:val="single"/>
              </w:rPr>
              <w:t>March 31, 2023</w:t>
            </w:r>
            <w:hyperlink w:anchor="iab397af51de14f6e9eb865a603eb3aad_16">
              <w:r>
                <w:rPr>
                  <w:rStyle w:val="InternetLink"/>
                </w:rPr>
                <w:t xml:space="preserve"> and </w:t>
              </w:r>
            </w:hyperlink>
            <w:r>
              <w:rPr>
                <w:rFonts w:ascii="Times New Roman;sans-serif" w:hAnsi="Times New Roman;sans-serif"/>
                <w:b w:val="false"/>
                <w:color w:val="0000FF"/>
                <w:sz w:val="20"/>
                <w:u w:val="single"/>
              </w:rPr>
              <w:t>March 31, 2022</w:t>
            </w:r>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6">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9">
              <w:r>
                <w:rPr>
                  <w:rStyle w:val="InternetLink"/>
                </w:rPr>
                <w:t xml:space="preserve">Condensed Consolidated Statements of Comprehensive Income for the Three </w:t>
              </w:r>
            </w:hyperlink>
            <w:hyperlink w:anchor="iab397af51de14f6e9eb865a603eb3aad_19">
              <w:r>
                <w:rPr>
                  <w:rStyle w:val="InternetLink"/>
                </w:rPr>
                <w:t xml:space="preserve">Months Ended </w:t>
              </w:r>
            </w:hyperlink>
            <w:r>
              <w:rPr>
                <w:rFonts w:ascii="Times New Roman;sans-serif" w:hAnsi="Times New Roman;sans-serif"/>
                <w:b w:val="false"/>
                <w:color w:val="0000FF"/>
                <w:sz w:val="20"/>
                <w:u w:val="single"/>
              </w:rPr>
              <w:t>March 31, 2023</w:t>
            </w:r>
            <w:hyperlink w:anchor="iab397af51de14f6e9eb865a603eb3aad_16">
              <w:r>
                <w:rPr>
                  <w:rStyle w:val="InternetLink"/>
                </w:rPr>
                <w:t xml:space="preserve"> and </w:t>
              </w:r>
            </w:hyperlink>
            <w:r>
              <w:rPr>
                <w:rFonts w:ascii="Times New Roman;sans-serif" w:hAnsi="Times New Roman;sans-serif"/>
                <w:b w:val="false"/>
                <w:color w:val="0000FF"/>
                <w:sz w:val="20"/>
                <w:u w:val="single"/>
              </w:rPr>
              <w:t>March 31, 2022</w:t>
            </w:r>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9">
              <w:r>
                <w:rPr>
                  <w:rStyle w:val="InternetLink"/>
                  <w:rFonts w:ascii="Times New Roman;sans-serif" w:hAnsi="Times New Roman;sans-serif"/>
                  <w:b w:val="false"/>
                  <w:strike w:val="false"/>
                  <w:dstrike w:val="false"/>
                  <w:color w:val="000000"/>
                  <w:sz w:val="20"/>
                  <w:u w:val="none"/>
                  <w:effect w:val="none"/>
                </w:rPr>
                <w:t>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22">
              <w:r>
                <w:rPr>
                  <w:rStyle w:val="InternetLink"/>
                </w:rPr>
                <w:t xml:space="preserve">Condensed Consolidated Balance Sheets as of </w:t>
              </w:r>
            </w:hyperlink>
            <w:r>
              <w:rPr>
                <w:rFonts w:ascii="Times New Roman;sans-serif" w:hAnsi="Times New Roman;sans-serif"/>
                <w:b w:val="false"/>
                <w:color w:val="0000FF"/>
                <w:sz w:val="20"/>
                <w:u w:val="single"/>
              </w:rPr>
              <w:t xml:space="preserve">March 31, 2023 </w:t>
            </w:r>
            <w:hyperlink w:anchor="iab397af51de14f6e9eb865a603eb3aad_22">
              <w:r>
                <w:rPr>
                  <w:rStyle w:val="InternetLink"/>
                </w:rPr>
                <w:t xml:space="preserve">and </w:t>
              </w:r>
            </w:hyperlink>
            <w:r>
              <w:rPr>
                <w:rFonts w:ascii="Times New Roman;sans-serif" w:hAnsi="Times New Roman;sans-serif"/>
                <w:b w:val="false"/>
                <w:color w:val="0000FF"/>
                <w:sz w:val="20"/>
                <w:u w:val="single"/>
              </w:rPr>
              <w:t>December 31, 2022</w:t>
            </w:r>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22">
              <w:r>
                <w:rPr>
                  <w:rStyle w:val="InternetLink"/>
                  <w:rFonts w:ascii="Times New Roman;sans-serif" w:hAnsi="Times New Roman;sans-serif"/>
                  <w:b w:val="false"/>
                  <w:strike w:val="false"/>
                  <w:dstrike w:val="false"/>
                  <w:color w:val="000000"/>
                  <w:sz w:val="20"/>
                  <w:u w:val="none"/>
                  <w:effect w:val="none"/>
                </w:rPr>
                <w:t>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25">
              <w:r>
                <w:rPr>
                  <w:rStyle w:val="InternetLink"/>
                </w:rPr>
                <w:t>Conden</w:t>
              </w:r>
            </w:hyperlink>
            <w:hyperlink w:anchor="iab397af51de14f6e9eb865a603eb3aad_25">
              <w:r>
                <w:rPr>
                  <w:rStyle w:val="InternetLink"/>
                </w:rPr>
                <w:t xml:space="preserve">sed Consolidated Statements of Cash Flows for the </w:t>
              </w:r>
            </w:hyperlink>
            <w:r>
              <w:rPr>
                <w:rFonts w:ascii="Times New Roman;sans-serif" w:hAnsi="Times New Roman;sans-serif"/>
                <w:b w:val="false"/>
                <w:color w:val="0000FF"/>
                <w:sz w:val="20"/>
                <w:u w:val="single"/>
              </w:rPr>
              <w:t>Three Months Ended March 31, 2023</w:t>
            </w:r>
            <w:hyperlink w:anchor="iab397af51de14f6e9eb865a603eb3aad_25">
              <w:r>
                <w:rPr>
                  <w:rStyle w:val="InternetLink"/>
                </w:rPr>
                <w:t xml:space="preserve"> and </w:t>
              </w:r>
            </w:hyperlink>
            <w:r>
              <w:rPr>
                <w:rFonts w:ascii="Times New Roman;sans-serif" w:hAnsi="Times New Roman;sans-serif"/>
                <w:b w:val="false"/>
                <w:color w:val="0000FF"/>
                <w:sz w:val="20"/>
                <w:u w:val="single"/>
              </w:rPr>
              <w:t>March 31, 2022</w:t>
            </w:r>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25">
              <w:r>
                <w:rPr>
                  <w:rStyle w:val="InternetLink"/>
                  <w:rFonts w:ascii="Times New Roman;sans-serif" w:hAnsi="Times New Roman;sans-serif"/>
                  <w:b w:val="false"/>
                  <w:strike w:val="false"/>
                  <w:dstrike w:val="false"/>
                  <w:color w:val="000000"/>
                  <w:sz w:val="20"/>
                  <w:u w:val="none"/>
                  <w:effect w:val="none"/>
                </w:rPr>
                <w:t>5</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28">
              <w:r>
                <w:rPr>
                  <w:rStyle w:val="InternetLink"/>
                </w:rPr>
                <w:t xml:space="preserve">Condensed Consolidated Statements of Changes in Equity for the </w:t>
              </w:r>
            </w:hyperlink>
            <w:r>
              <w:rPr>
                <w:rFonts w:ascii="Times New Roman;sans-serif" w:hAnsi="Times New Roman;sans-serif"/>
                <w:b w:val="false"/>
                <w:color w:val="0000FF"/>
                <w:sz w:val="20"/>
                <w:u w:val="single"/>
              </w:rPr>
              <w:t>Three Months Ended March 31, 2023</w:t>
            </w:r>
            <w:hyperlink w:anchor="iab397af51de14f6e9eb865a603eb3aad_25">
              <w:r>
                <w:rPr>
                  <w:rStyle w:val="InternetLink"/>
                </w:rPr>
                <w:t xml:space="preserve"> and </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28">
              <w:r>
                <w:rPr>
                  <w:rStyle w:val="InternetLink"/>
                  <w:rFonts w:ascii="Times New Roman;sans-serif" w:hAnsi="Times New Roman;sans-serif"/>
                  <w:b w:val="false"/>
                  <w:strike w:val="false"/>
                  <w:dstrike w:val="false"/>
                  <w:color w:val="000000"/>
                  <w:sz w:val="20"/>
                  <w:u w:val="none"/>
                  <w:effect w:val="none"/>
                </w:rPr>
                <w:t>6</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31">
              <w:r>
                <w:rPr>
                  <w:rStyle w:val="InternetLink"/>
                  <w:rFonts w:ascii="Times New Roman;sans-serif" w:hAnsi="Times New Roman;sans-serif"/>
                  <w:b w:val="false"/>
                  <w:color w:val="0000FF"/>
                  <w:sz w:val="20"/>
                  <w:u w:val="single"/>
                </w:rPr>
                <w:t>Notes to Condensed Consolidated Financial Statements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31">
              <w:r>
                <w:rPr>
                  <w:rStyle w:val="InternetLink"/>
                  <w:rFonts w:ascii="Times New Roman;sans-serif" w:hAnsi="Times New Roman;sans-serif"/>
                  <w:b w:val="false"/>
                  <w:strike w:val="false"/>
                  <w:dstrike w:val="false"/>
                  <w:color w:val="000000"/>
                  <w:sz w:val="20"/>
                  <w:u w:val="none"/>
                  <w:effect w:val="none"/>
                </w:rPr>
                <w:t>7</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24">
              <w:r>
                <w:rPr>
                  <w:rStyle w:val="InternetLink"/>
                  <w:rFonts w:ascii="Times New Roman;sans-serif" w:hAnsi="Times New Roman;sans-serif"/>
                  <w:b/>
                  <w:strike w:val="false"/>
                  <w:dstrike w:val="false"/>
                  <w:color w:val="000000"/>
                  <w:sz w:val="20"/>
                  <w:u w:val="none"/>
                  <w:effect w:val="none"/>
                </w:rPr>
                <w:t>Item 2.</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88">
              <w:r>
                <w:rPr>
                  <w:rStyle w:val="InternetLink"/>
                  <w:rFonts w:ascii="Times New Roman;sans-serif" w:hAnsi="Times New Roman;sans-serif"/>
                  <w:b w:val="false"/>
                  <w:strike w:val="false"/>
                  <w:dstrike w:val="false"/>
                  <w:color w:val="000000"/>
                  <w:sz w:val="20"/>
                  <w:u w:val="none"/>
                  <w:effect w:val="none"/>
                </w:rPr>
                <w:t>21</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09">
              <w:r>
                <w:rPr>
                  <w:rStyle w:val="InternetLink"/>
                  <w:rFonts w:ascii="Times New Roman;sans-serif" w:hAnsi="Times New Roman;sans-serif"/>
                  <w:b/>
                  <w:strike w:val="false"/>
                  <w:dstrike w:val="false"/>
                  <w:color w:val="000000"/>
                  <w:sz w:val="20"/>
                  <w:u w:val="none"/>
                  <w:effect w:val="none"/>
                </w:rPr>
                <w:t>Item 3.</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09">
              <w:r>
                <w:rPr>
                  <w:rStyle w:val="InternetLink"/>
                  <w:rFonts w:ascii="Times New Roman;sans-serif" w:hAnsi="Times New Roman;sans-serif"/>
                  <w:b w:val="false"/>
                  <w:color w:val="0000FF"/>
                  <w:sz w:val="20"/>
                  <w:u w:val="single"/>
                </w:rPr>
                <w:t>Quantitative and Qualitative Disclosures about Market Risk.</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09">
              <w:r>
                <w:rPr>
                  <w:rStyle w:val="InternetLink"/>
                  <w:rFonts w:ascii="Times New Roman;sans-serif" w:hAnsi="Times New Roman;sans-serif"/>
                  <w:b w:val="false"/>
                  <w:strike w:val="false"/>
                  <w:dstrike w:val="false"/>
                  <w:color w:val="000000"/>
                  <w:sz w:val="20"/>
                  <w:u w:val="none"/>
                  <w:effect w:val="non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12">
              <w:r>
                <w:rPr>
                  <w:rStyle w:val="InternetLink"/>
                  <w:rFonts w:ascii="Times New Roman;sans-serif" w:hAnsi="Times New Roman;sans-serif"/>
                  <w:b/>
                  <w:strike w:val="false"/>
                  <w:dstrike w:val="false"/>
                  <w:color w:val="000000"/>
                  <w:sz w:val="20"/>
                  <w:u w:val="none"/>
                  <w:effect w:val="none"/>
                </w:rPr>
                <w:t>Item 4.</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12">
              <w:r>
                <w:rPr>
                  <w:rStyle w:val="InternetLink"/>
                  <w:rFonts w:ascii="Times New Roman;sans-serif" w:hAnsi="Times New Roman;sans-serif"/>
                  <w:b w:val="false"/>
                  <w:color w:val="0000FF"/>
                  <w:sz w:val="20"/>
                  <w:u w:val="single"/>
                </w:rPr>
                <w:t>Controls and Procedures.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12">
              <w:r>
                <w:rPr>
                  <w:rStyle w:val="InternetLink"/>
                  <w:rFonts w:ascii="Times New Roman;sans-serif" w:hAnsi="Times New Roman;sans-serif"/>
                  <w:b w:val="false"/>
                  <w:strike w:val="false"/>
                  <w:dstrike w:val="false"/>
                  <w:color w:val="000000"/>
                  <w:sz w:val="20"/>
                  <w:u w:val="none"/>
                  <w:effect w:val="non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15">
              <w:r>
                <w:rPr>
                  <w:rStyle w:val="InternetLink"/>
                  <w:rFonts w:ascii="Times New Roman;sans-serif" w:hAnsi="Times New Roman;sans-serif"/>
                  <w:b/>
                  <w:strike w:val="false"/>
                  <w:dstrike w:val="false"/>
                  <w:color w:val="000000"/>
                  <w:sz w:val="20"/>
                  <w:u w:val="none"/>
                  <w:effect w:val="none"/>
                </w:rPr>
                <w:t>PART II</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15">
              <w:r>
                <w:rPr>
                  <w:rStyle w:val="InternetLink"/>
                  <w:rFonts w:ascii="Times New Roman;sans-serif" w:hAnsi="Times New Roman;sans-serif"/>
                  <w:b w:val="false"/>
                  <w:color w:val="0000FF"/>
                  <w:sz w:val="20"/>
                  <w:u w:val="single"/>
                </w:rPr>
                <w:t>OTHER INFORMATION.</w:t>
              </w:r>
            </w:hyperlink>
          </w:p>
        </w:tc>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18">
              <w:r>
                <w:rPr>
                  <w:rStyle w:val="InternetLink"/>
                  <w:rFonts w:ascii="Times New Roman;sans-serif" w:hAnsi="Times New Roman;sans-serif"/>
                  <w:b/>
                  <w:strike w:val="false"/>
                  <w:dstrike w:val="false"/>
                  <w:color w:val="000000"/>
                  <w:sz w:val="20"/>
                  <w:u w:val="none"/>
                  <w:effect w:val="none"/>
                </w:rPr>
                <w:t>Item 1.</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18">
              <w:r>
                <w:rPr>
                  <w:rStyle w:val="InternetLink"/>
                  <w:rFonts w:ascii="Times New Roman;sans-serif" w:hAnsi="Times New Roman;sans-serif"/>
                  <w:b w:val="false"/>
                  <w:color w:val="0000FF"/>
                  <w:sz w:val="20"/>
                  <w:u w:val="single"/>
                </w:rPr>
                <w:t>Legal Proceedings.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18">
              <w:r>
                <w:rPr>
                  <w:rStyle w:val="InternetLink"/>
                  <w:rFonts w:ascii="Times New Roman;sans-serif" w:hAnsi="Times New Roman;sans-serif"/>
                  <w:b w:val="false"/>
                  <w:strike w:val="false"/>
                  <w:dstrike w:val="false"/>
                  <w:color w:val="000000"/>
                  <w:sz w:val="20"/>
                  <w:u w:val="none"/>
                  <w:effect w:val="none"/>
                </w:rPr>
                <w:t>33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21">
              <w:r>
                <w:rPr>
                  <w:rStyle w:val="InternetLink"/>
                  <w:rFonts w:ascii="Times New Roman;sans-serif" w:hAnsi="Times New Roman;sans-serif"/>
                  <w:b/>
                  <w:strike w:val="false"/>
                  <w:dstrike w:val="false"/>
                  <w:color w:val="000000"/>
                  <w:sz w:val="20"/>
                  <w:u w:val="none"/>
                  <w:effect w:val="none"/>
                </w:rPr>
                <w:t>Item 1A.</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21">
              <w:r>
                <w:rPr>
                  <w:rStyle w:val="InternetLink"/>
                  <w:rFonts w:ascii="Times New Roman;sans-serif" w:hAnsi="Times New Roman;sans-serif"/>
                  <w:b w:val="false"/>
                  <w:color w:val="0000FF"/>
                  <w:sz w:val="20"/>
                  <w:u w:val="single"/>
                </w:rPr>
                <w:t>Risk Factors.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88">
              <w:r>
                <w:rPr>
                  <w:rStyle w:val="InternetLink"/>
                  <w:rFonts w:ascii="Times New Roman;sans-serif" w:hAnsi="Times New Roman;sans-serif"/>
                  <w:b/>
                  <w:strike w:val="false"/>
                  <w:dstrike w:val="false"/>
                  <w:color w:val="000000"/>
                  <w:sz w:val="20"/>
                  <w:u w:val="none"/>
                  <w:effect w:val="none"/>
                </w:rPr>
                <w:t>Item 2.</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24">
              <w:r>
                <w:rPr>
                  <w:rStyle w:val="InternetLink"/>
                  <w:rFonts w:ascii="Times New Roman;sans-serif" w:hAnsi="Times New Roman;sans-serif"/>
                  <w:b w:val="false"/>
                  <w:color w:val="0000FF"/>
                  <w:sz w:val="20"/>
                  <w:u w:val="single"/>
                </w:rPr>
                <w:t>Unregistered Sales of Equity Securities and Use of Proceeds.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27">
              <w:r>
                <w:rPr>
                  <w:rStyle w:val="InternetLink"/>
                  <w:rFonts w:ascii="Times New Roman;sans-serif" w:hAnsi="Times New Roman;sans-serif"/>
                  <w:b/>
                  <w:strike w:val="false"/>
                  <w:dstrike w:val="false"/>
                  <w:color w:val="000000"/>
                  <w:sz w:val="20"/>
                  <w:u w:val="none"/>
                  <w:effect w:val="none"/>
                </w:rPr>
                <w:t>Item 6.</w:t>
              </w:r>
            </w:hyperlink>
          </w:p>
        </w:tc>
        <w:tc>
          <w:tcPr>
            <w:tcW w:w="8747"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ab397af51de14f6e9eb865a603eb3aad_127">
              <w:r>
                <w:rPr>
                  <w:rStyle w:val="InternetLink"/>
                  <w:rFonts w:ascii="Times New Roman;sans-serif" w:hAnsi="Times New Roman;sans-serif"/>
                  <w:b w:val="false"/>
                  <w:color w:val="0000FF"/>
                  <w:sz w:val="20"/>
                  <w:u w:val="single"/>
                </w:rPr>
                <w:t>Exhibits.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27">
              <w:r>
                <w:rPr>
                  <w:rStyle w:val="InternetLink"/>
                  <w:rFonts w:ascii="Times New Roman;sans-serif" w:hAnsi="Times New Roman;sans-serif"/>
                  <w:b w:val="false"/>
                  <w:strike w:val="false"/>
                  <w:dstrike w:val="false"/>
                  <w:color w:val="000000"/>
                  <w:sz w:val="20"/>
                  <w:u w:val="none"/>
                  <w:effect w:val="none"/>
                </w:rPr>
                <w:t>34</w:t>
              </w:r>
            </w:hyperlink>
          </w:p>
        </w:tc>
      </w:tr>
      <w:tr>
        <w:trPr/>
        <w:tc>
          <w:tcPr>
            <w:tcW w:w="9588"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b397af51de14f6e9eb865a603eb3aad_130">
              <w:r>
                <w:rPr>
                  <w:rStyle w:val="InternetLink"/>
                  <w:rFonts w:ascii="Times New Roman;sans-serif" w:hAnsi="Times New Roman;sans-serif"/>
                  <w:b/>
                  <w:strike w:val="false"/>
                  <w:dstrike w:val="false"/>
                  <w:color w:val="000000"/>
                  <w:sz w:val="20"/>
                  <w:u w:val="none"/>
                  <w:effect w:val="none"/>
                </w:rPr>
                <w:t>Signatures</w:t>
              </w:r>
            </w:hyperlink>
          </w:p>
        </w:tc>
        <w:tc>
          <w:tcPr>
            <w:tcW w:w="6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b397af51de14f6e9eb865a603eb3aad_130">
              <w:r>
                <w:rPr>
                  <w:rStyle w:val="InternetLink"/>
                  <w:rFonts w:ascii="Times New Roman;sans-serif" w:hAnsi="Times New Roman;sans-serif"/>
                  <w:b w:val="false"/>
                  <w:strike w:val="false"/>
                  <w:dstrike w:val="false"/>
                  <w:color w:val="000000"/>
                  <w:sz w:val="20"/>
                  <w:u w:val="none"/>
                  <w:effect w:val="non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hanging="720"/>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12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data)</w:t>
      </w:r>
    </w:p>
    <w:tbl>
      <w:tblPr>
        <w:tblW w:w="10205" w:type="dxa"/>
        <w:jc w:val="center"/>
        <w:tblInd w:w="0" w:type="dxa"/>
        <w:tblCellMar>
          <w:top w:w="28" w:type="dxa"/>
          <w:left w:w="28" w:type="dxa"/>
          <w:bottom w:w="28" w:type="dxa"/>
          <w:right w:w="28" w:type="dxa"/>
        </w:tblCellMar>
      </w:tblPr>
      <w:tblGrid>
        <w:gridCol w:w="2582"/>
        <w:gridCol w:w="2242"/>
        <w:gridCol w:w="2279"/>
        <w:gridCol w:w="211"/>
        <w:gridCol w:w="826"/>
        <w:gridCol w:w="109"/>
        <w:gridCol w:w="109"/>
        <w:gridCol w:w="109"/>
        <w:gridCol w:w="109"/>
        <w:gridCol w:w="211"/>
        <w:gridCol w:w="826"/>
        <w:gridCol w:w="109"/>
        <w:gridCol w:w="109"/>
        <w:gridCol w:w="109"/>
        <w:gridCol w:w="109"/>
        <w:gridCol w:w="156"/>
      </w:tblGrid>
      <w:tr>
        <w:trPr/>
        <w:tc>
          <w:tcPr>
            <w:tcW w:w="2582" w:type="dxa"/>
            <w:tcBorders/>
            <w:shd w:fill="auto" w:val="clear"/>
            <w:vAlign w:val="center"/>
          </w:tcPr>
          <w:p>
            <w:pPr>
              <w:pStyle w:val="TableContents"/>
              <w:spacing w:before="0" w:after="283"/>
              <w:rPr>
                <w:sz w:val="4"/>
                <w:szCs w:val="4"/>
              </w:rPr>
            </w:pPr>
            <w:r>
              <w:rPr>
                <w:sz w:val="4"/>
                <w:szCs w:val="4"/>
              </w:rPr>
            </w:r>
          </w:p>
        </w:tc>
        <w:tc>
          <w:tcPr>
            <w:tcW w:w="2242"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amortization expense - See Note 13)</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8619" w:type="dxa"/>
        <w:jc w:val="center"/>
        <w:tblInd w:w="0" w:type="dxa"/>
        <w:tblCellMar>
          <w:top w:w="28" w:type="dxa"/>
          <w:left w:w="28" w:type="dxa"/>
          <w:bottom w:w="28" w:type="dxa"/>
          <w:right w:w="28" w:type="dxa"/>
        </w:tblCellMar>
      </w:tblPr>
      <w:tblGrid>
        <w:gridCol w:w="2073"/>
        <w:gridCol w:w="1819"/>
        <w:gridCol w:w="1837"/>
        <w:gridCol w:w="211"/>
        <w:gridCol w:w="721"/>
        <w:gridCol w:w="109"/>
        <w:gridCol w:w="109"/>
        <w:gridCol w:w="109"/>
        <w:gridCol w:w="109"/>
        <w:gridCol w:w="211"/>
        <w:gridCol w:w="721"/>
        <w:gridCol w:w="109"/>
        <w:gridCol w:w="109"/>
        <w:gridCol w:w="109"/>
        <w:gridCol w:w="109"/>
        <w:gridCol w:w="154"/>
      </w:tblGrid>
      <w:tr>
        <w:trPr/>
        <w:tc>
          <w:tcPr>
            <w:tcW w:w="2073"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par value)</w:t>
      </w:r>
    </w:p>
    <w:tbl>
      <w:tblPr>
        <w:tblW w:w="10205" w:type="dxa"/>
        <w:jc w:val="center"/>
        <w:tblInd w:w="0" w:type="dxa"/>
        <w:tblCellMar>
          <w:top w:w="28" w:type="dxa"/>
          <w:left w:w="28" w:type="dxa"/>
          <w:bottom w:w="28" w:type="dxa"/>
          <w:right w:w="28" w:type="dxa"/>
        </w:tblCellMar>
      </w:tblPr>
      <w:tblGrid>
        <w:gridCol w:w="2684"/>
        <w:gridCol w:w="2154"/>
        <w:gridCol w:w="2120"/>
        <w:gridCol w:w="473"/>
        <w:gridCol w:w="462"/>
        <w:gridCol w:w="469"/>
        <w:gridCol w:w="109"/>
        <w:gridCol w:w="109"/>
        <w:gridCol w:w="109"/>
        <w:gridCol w:w="537"/>
        <w:gridCol w:w="402"/>
        <w:gridCol w:w="577"/>
      </w:tblGrid>
      <w:tr>
        <w:trPr/>
        <w:tc>
          <w:tcPr>
            <w:tcW w:w="2684"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6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151,105</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 and finished goods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133,743</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994,137</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428,190</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(236,279)</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(229,595)</w:t>
            </w:r>
          </w:p>
        </w:tc>
        <w:tc>
          <w:tcPr>
            <w:tcW w:w="5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198,595</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942,925</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associated companies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88,234</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w:t>
            </w:r>
          </w:p>
        </w:tc>
        <w:tc>
          <w:tcPr>
            <w:tcW w:w="47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193,983</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39,834</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and postretirement benefits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86,873</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354,786</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160,294</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pension and postretirement benefits</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38,664</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1,543,037</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$1 par value; authorized 30,000,000 shares; issued and outstanding March 31, 2023 – 17,981,822 shares; December 31, 2022 – 17,950,264 shares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4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928,288</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4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469,920</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(123,177)</w:t>
            </w:r>
          </w:p>
        </w:tc>
        <w:tc>
          <w:tcPr>
            <w:tcW w:w="4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5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Quaker shareholders’ equity</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1,277,918</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6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1,278,585</w:t>
            </w:r>
          </w:p>
        </w:tc>
      </w:tr>
      <w:tr>
        <w:trPr/>
        <w:tc>
          <w:tcPr>
            <w:tcW w:w="69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bl>
    <w:p>
      <w:pPr>
        <w:pStyle w:val="TextBody"/>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10205" w:type="dxa"/>
        <w:jc w:val="center"/>
        <w:tblInd w:w="0" w:type="dxa"/>
        <w:tblCellMar>
          <w:top w:w="28" w:type="dxa"/>
          <w:left w:w="28" w:type="dxa"/>
          <w:bottom w:w="28" w:type="dxa"/>
          <w:right w:w="28" w:type="dxa"/>
        </w:tblCellMar>
      </w:tblPr>
      <w:tblGrid>
        <w:gridCol w:w="2775"/>
        <w:gridCol w:w="2379"/>
        <w:gridCol w:w="2386"/>
        <w:gridCol w:w="211"/>
        <w:gridCol w:w="826"/>
        <w:gridCol w:w="109"/>
        <w:gridCol w:w="109"/>
        <w:gridCol w:w="109"/>
        <w:gridCol w:w="109"/>
        <w:gridCol w:w="211"/>
        <w:gridCol w:w="826"/>
        <w:gridCol w:w="155"/>
      </w:tblGrid>
      <w:tr>
        <w:trPr/>
        <w:tc>
          <w:tcPr>
            <w:tcW w:w="2775"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associated companies, net of dividends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deferred taxes and other,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and other acquisition-related expenses, net of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from changes in current assets and current liabilities, net of acquisitions: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restructuring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borrowings on revolving credit facilities,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other debt,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related activity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Equity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788"/>
        <w:gridCol w:w="479"/>
        <w:gridCol w:w="481"/>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42"/>
        <w:gridCol w:w="928"/>
        <w:gridCol w:w="136"/>
        <w:gridCol w:w="109"/>
        <w:gridCol w:w="109"/>
        <w:gridCol w:w="109"/>
        <w:gridCol w:w="340"/>
        <w:gridCol w:w="731"/>
        <w:gridCol w:w="190"/>
        <w:gridCol w:w="109"/>
        <w:gridCol w:w="109"/>
        <w:gridCol w:w="109"/>
        <w:gridCol w:w="196"/>
        <w:gridCol w:w="871"/>
        <w:gridCol w:w="155"/>
      </w:tblGrid>
      <w:tr>
        <w:trPr/>
        <w:tc>
          <w:tcPr>
            <w:tcW w:w="78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 in</w:t>
              <w:br/>
              <w:t>Excess of</w:t>
              <w:b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($0.415 per share)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1,395,700 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(138,240)</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1,278,585 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1 – Basis of Presentation and Description of Business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these Notes to Condensed Consolidated Financial Statements of this Quarterly Report on Form 10-Q for the period ended March 31, 2023 (the “Report”), the terms “Quaker Houghton,” the “Company,” “we,” and “our” refer to Quaker Chemical Corporation (doing business as Quaker Houghton), its subsidiaries, and associated companies, unless the context otherwise requires. The “Combination” refers to the legacy Quaker combination with Houghton International, Inc. (“Houghton”).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three months ended March 31, 2023 are not necessarily indicative of the results to be expected for the full year. These financial statements should be read in conjunction with the Company’s Annual Report filed on Form 10-K for the year ended December 31, 2022 (the “2022 Form 10-K”).</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Europe, Middle East and Africa (“EMEA”); and (iii) Asia/Pacific. Prior to the Company’s reorganization, the Company’s historical reportable segments were: (i) Americas; (ii) EMEA; (iii) Asia/Pacific; and (iv) Global Specialty Businesses. Prior period information has been recast to align with the Company’s business structure as of January 1, 2023, including reportable segments, customer industry disaggregation, and goodwill. See Notes 4, 5, and 13 of Notes to Condensed Consolidated Financial Statements.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Description of Business</w:t>
      </w:r>
    </w:p>
    <w:p>
      <w:pPr>
        <w:pStyle w:val="TextBody"/>
        <w:spacing w:lineRule="auto" w:line="288" w:before="0" w:after="120"/>
        <w:ind w:left="0" w:right="0" w:firstLine="360"/>
        <w:rPr/>
      </w:pPr>
      <w:r>
        <w:rPr>
          <w:rFonts w:ascii="Times New Roman;sans-serif" w:hAnsi="Times New Roman;sans-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ans-serif" w:hAnsi="Times New Roman;sans-serif"/>
          <w:b w:val="false"/>
          <w:color w:val="000000"/>
          <w:sz w:val="13"/>
        </w:rPr>
        <w:t>TM</w:t>
      </w:r>
      <w:r>
        <w:rPr>
          <w:color w:val="000000"/>
        </w:rPr>
        <w:t>”</w:t>
      </w:r>
      <w:r>
        <w:rPr>
          <w:rFonts w:ascii="Times New Roman;sans-serif" w:hAnsi="Times New Roman;sans-serif"/>
          <w:b w:val="false"/>
          <w:color w:val="000000"/>
          <w:sz w:val="20"/>
        </w:rPr>
        <w:t>, for various heavy industrial and manufacturing applications.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Hyper-inflationary economies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Argentina’s and Türkiye’s economies were considered hyper-inflationary under U.S. GAAP effective July 1, 2018 and April 1, 2022, respectively. As of, and for the three months ended March 31, 2023, the Company's Argentine and Turkish subsidiaries represented a combined 1% and 2% of the Company’s consolidated total assets and net sales, respectively. During the three months ended March 31, 2023, the Company recorded $0.5 million of remeasurement losses associated with the applicable currency conversions related to Argentina and Türkiye. Comparatively, during the three months ended March 31, 2022, the Company recorded $0.2 million of remeasurement losses associated with the applicable currency conversions related to Argentina. These losses were recorded within foreign exchange losses, net, which is a component of Other expense, net, in the Company’s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2 – Business Acquisitions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Previous Acquisitions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acquired a business that provides pickling and rinsing products and services, which is part of the EMEA reportable segment, for approximately 3.5 million EUR or approximately $3.5 million. This acquisition, along with the Company’s January 2022 acquisition in the Americas (described below), which had similar specializations and product offerings in pickling inhibitor technologies, strengthens Quaker Houghton’s position in pickling inhibitors and additives, enabling the Company to better support and optimize production processes for customers across the Metals industry. As of March 31, 2023, the allocation of the purchase of this acquisition in October 2022 has not been finalized and the one-year measurement period has not ended. Further adjustments may be necessary as a result of the Company’s ongoing assessment of additional information related to the fair value of assets acquired and liabilities assumed.</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This business broadens the Company’s product offerings within its existing metals and metalworking business in the Americas region. During the third quarter of 2022 the Company finalized post-closing adjustments that resulted in the Company paying less than $0.1 million of additional purchase consideration. Also in January 2022, the Company acquired a business related to the sealing and impregnation of metal castings for the automotive sector, as well as impregnation resin and impregnation systems for metal parts, which is part of the EMEA reportable segment for approximately 1.2 million EUR or approximately $1.4 million. This business broadens its product offerings and service capabilities within its existing impregnation business. The allocation of the purchase prices of both of these January 2022 acquisitions has been finalized.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acquired Baron Industries, a privately held company that provides vacuum impregnation services of castings, powder metals and electrical components for its Americas reportable segment for $11.0 million, including an initial cash payment of $7.1 million, subject to post-closing adjustments as well as certain earn-out provisions that are payable at various times from 2022 through 2025. The earn-out provisions could total a maximum of $4.5 million. As of March 31, 2023, the Company has remaining earnout liabilities recorded on its Condensed Consolidated Balance Sheet of $1.6 million. Additionally, during the third quarter of 2022 the Company finalized post-closing adjustments that resulted in the Company receiving a payment of less than $0.1 million.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acquired Coral Chemical Company, LLC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During the first quarter of 2023, there have been no material changes to the facts and circumstances of the claim asserted by the Sellers, and the Company continues to believe the potential range of exposure for this claim is $0 to $1.5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3 – Recently Issued Accounting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recently issued accounting standards that will have a material impact on the Company’s condensed consolidated financial statements and related footnote disclosures.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4 – Business Segments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(i) Americas; (ii) EMEA; and (iii) Asia/Pacific. The three geographic segments are composed of the net sales and operations in each respective region. All prior period information has been recast to reflect the Company’s new reportable segments. See Note 1 of Notes to Condensed Consolidated Financial Statements.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net.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performance of the Company’s reportable segments:</w:t>
      </w:r>
    </w:p>
    <w:tbl>
      <w:tblPr>
        <w:tblW w:w="8920" w:type="dxa"/>
        <w:jc w:val="center"/>
        <w:tblInd w:w="0" w:type="dxa"/>
        <w:tblCellMar>
          <w:top w:w="28" w:type="dxa"/>
          <w:left w:w="28" w:type="dxa"/>
          <w:bottom w:w="28" w:type="dxa"/>
          <w:right w:w="28" w:type="dxa"/>
        </w:tblCellMar>
      </w:tblPr>
      <w:tblGrid>
        <w:gridCol w:w="2102"/>
        <w:gridCol w:w="1846"/>
        <w:gridCol w:w="1872"/>
        <w:gridCol w:w="211"/>
        <w:gridCol w:w="826"/>
        <w:gridCol w:w="109"/>
        <w:gridCol w:w="109"/>
        <w:gridCol w:w="109"/>
        <w:gridCol w:w="109"/>
        <w:gridCol w:w="211"/>
        <w:gridCol w:w="826"/>
        <w:gridCol w:w="109"/>
        <w:gridCol w:w="109"/>
        <w:gridCol w:w="109"/>
        <w:gridCol w:w="109"/>
        <w:gridCol w:w="154"/>
      </w:tblGrid>
      <w:tr>
        <w:trPr/>
        <w:tc>
          <w:tcPr>
            <w:tcW w:w="210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corporate assets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inter-segment revenues. All inter-segment transactions have been eliminated from each reportable segment’s net sales and earnings for all periods presented in the above tables.</w:t>
      </w:r>
    </w:p>
    <w:tbl>
      <w:tblPr>
        <w:tblW w:w="3953" w:type="dxa"/>
        <w:jc w:val="left"/>
        <w:tblInd w:w="0" w:type="dxa"/>
        <w:tblCellMar>
          <w:top w:w="28" w:type="dxa"/>
          <w:left w:w="28" w:type="dxa"/>
          <w:bottom w:w="28" w:type="dxa"/>
          <w:right w:w="28" w:type="dxa"/>
        </w:tblCellMar>
      </w:tblPr>
      <w:tblGrid>
        <w:gridCol w:w="396"/>
        <w:gridCol w:w="348"/>
        <w:gridCol w:w="351"/>
        <w:gridCol w:w="308"/>
        <w:gridCol w:w="308"/>
        <w:gridCol w:w="208"/>
        <w:gridCol w:w="208"/>
        <w:gridCol w:w="208"/>
        <w:gridCol w:w="208"/>
        <w:gridCol w:w="360"/>
        <w:gridCol w:w="361"/>
        <w:gridCol w:w="208"/>
        <w:gridCol w:w="109"/>
        <w:gridCol w:w="109"/>
        <w:gridCol w:w="109"/>
        <w:gridCol w:w="154"/>
      </w:tblGrid>
      <w:tr>
        <w:trPr/>
        <w:tc>
          <w:tcPr>
            <w:tcW w:w="39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5 – Net Sales and Revenue Recognition</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Arrangements Resulting in Net Reporting</w:t>
      </w:r>
    </w:p>
    <w:p>
      <w:pPr>
        <w:pStyle w:val="TextBody"/>
        <w:spacing w:lineRule="auto" w:line="288" w:before="0" w:after="120"/>
        <w:ind w:left="0" w:right="0" w:firstLine="360"/>
        <w:rPr/>
      </w:pPr>
      <w:r>
        <w:rPr>
          <w:rFonts w:ascii="Times New Roman;sans-serif" w:hAnsi="Times New Roman;sans-serif"/>
          <w:b w:val="false"/>
          <w:color w:val="000000"/>
          <w:sz w:val="20"/>
        </w:rPr>
        <w:t>As part of the Company’s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business, certain third-party product sales to customers are managed by the Company. The Company transferred third-party products under arrangements recognized on a net reporting basis of $20.7 million and $19.8 million for the three months ended March 31, 2023 and 2022, respectively.</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Customer Concentration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are realized from the sale of process fluids and services to manufacturers of steel, aluminum, automobiles, aerospace, industrial and agricultural equipment, and durable goods. As previously disclosed in the Company’s 2022 Form 10-K, for the year ended December 31, 2022, the Company’s five largest customers (each composed of multiple subsidiaries or divisions with semiautonomous purchasing authority) accounted for approximately 11% of consolidated net sales, with its largest customer accounting for approximately 3% of consolidated net sales.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contract assets recorded on its Condensed Consolidated Balance Sheets as of March 31, 2023 or December 31,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had approximately $3.5 million and $5.7 million of deferred revenue as of March 31, 2023 and December 31, 2022, respectively. For the three months ended March 31, 2023, the Company satisfied all of the associated performance obligations and recognized into revenue the advance payments received and recorded as of December 31, 2022.</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the Company’s net sales by geographic region, customer industries, and timing of revenue recognized. Prior period information has been recast to reflect the Company’s current period customer industry disaggregation. See Note 1 of Notes to Condensed Consolidated Financial Statements.</w:t>
      </w:r>
    </w:p>
    <w:tbl>
      <w:tblPr>
        <w:tblW w:w="8729" w:type="dxa"/>
        <w:jc w:val="center"/>
        <w:tblInd w:w="0" w:type="dxa"/>
        <w:tblCellMar>
          <w:top w:w="28" w:type="dxa"/>
          <w:left w:w="28" w:type="dxa"/>
          <w:bottom w:w="28" w:type="dxa"/>
          <w:right w:w="28" w:type="dxa"/>
        </w:tblCellMar>
      </w:tblPr>
      <w:tblGrid>
        <w:gridCol w:w="994"/>
        <w:gridCol w:w="874"/>
        <w:gridCol w:w="876"/>
        <w:gridCol w:w="109"/>
        <w:gridCol w:w="109"/>
        <w:gridCol w:w="109"/>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223"/>
        <w:gridCol w:w="874"/>
        <w:gridCol w:w="164"/>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346,251 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475,910 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51" w:type="dxa"/>
        <w:jc w:val="center"/>
        <w:tblInd w:w="0" w:type="dxa"/>
        <w:tblCellMar>
          <w:top w:w="28" w:type="dxa"/>
          <w:left w:w="28" w:type="dxa"/>
          <w:bottom w:w="28" w:type="dxa"/>
          <w:right w:w="28" w:type="dxa"/>
        </w:tblCellMar>
      </w:tblPr>
      <w:tblGrid>
        <w:gridCol w:w="994"/>
        <w:gridCol w:w="874"/>
        <w:gridCol w:w="87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147,792 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474,171 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451,126 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474,171 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certain facilities, vehicles and machinery and equipment with remaining lease terms up to 9 years. Operating lease expense is recognized on a straight-line basis over the lease term. In addition, the Company has certain land use leases with remaining lease terms up to 92 years.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no material variable lease costs, sublease income, or finance leases for the three months ended March 31, 2023 and 2022. The components of the Company’s lease expense are as follows:</w:t>
      </w:r>
    </w:p>
    <w:tbl>
      <w:tblPr>
        <w:tblW w:w="4809" w:type="dxa"/>
        <w:jc w:val="center"/>
        <w:tblInd w:w="0" w:type="dxa"/>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leases is as follows:</w:t>
      </w:r>
    </w:p>
    <w:tbl>
      <w:tblPr>
        <w:tblW w:w="8544" w:type="dxa"/>
        <w:jc w:val="center"/>
        <w:tblInd w:w="0" w:type="dxa"/>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09"/>
        <w:gridCol w:w="109"/>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liabilities activity:</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is as follows:</w:t>
      </w:r>
    </w:p>
    <w:tbl>
      <w:tblPr>
        <w:tblW w:w="6734" w:type="dxa"/>
        <w:jc w:val="center"/>
        <w:tblInd w:w="0" w:type="dxa"/>
        <w:tblCellMar>
          <w:top w:w="28" w:type="dxa"/>
          <w:left w:w="28" w:type="dxa"/>
          <w:bottom w:w="28" w:type="dxa"/>
          <w:right w:w="28" w:type="dxa"/>
        </w:tblCellMar>
      </w:tblPr>
      <w:tblGrid>
        <w:gridCol w:w="1411"/>
        <w:gridCol w:w="1237"/>
        <w:gridCol w:w="1252"/>
        <w:gridCol w:w="211"/>
        <w:gridCol w:w="721"/>
        <w:gridCol w:w="271"/>
        <w:gridCol w:w="109"/>
        <w:gridCol w:w="109"/>
        <w:gridCol w:w="109"/>
        <w:gridCol w:w="220"/>
        <w:gridCol w:w="754"/>
        <w:gridCol w:w="330"/>
      </w:tblGrid>
      <w:tr>
        <w:trPr/>
        <w:tc>
          <w:tcPr>
            <w:tcW w:w="1411"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were as follows:</w:t>
      </w:r>
    </w:p>
    <w:tbl>
      <w:tblPr>
        <w:tblW w:w="5330" w:type="dxa"/>
        <w:jc w:val="center"/>
        <w:tblInd w:w="0" w:type="dxa"/>
        <w:tblCellMar>
          <w:top w:w="28" w:type="dxa"/>
          <w:left w:w="28" w:type="dxa"/>
          <w:bottom w:w="28" w:type="dxa"/>
          <w:right w:w="28" w:type="dxa"/>
        </w:tblCellMar>
      </w:tblPr>
      <w:tblGrid>
        <w:gridCol w:w="1535"/>
        <w:gridCol w:w="1351"/>
        <w:gridCol w:w="1358"/>
        <w:gridCol w:w="211"/>
        <w:gridCol w:w="721"/>
        <w:gridCol w:w="154"/>
      </w:tblGrid>
      <w:tr>
        <w:trPr/>
        <w:tc>
          <w:tcPr>
            <w:tcW w:w="1535"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 and beyond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7 – Restructuring and Related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2019, the Company’s management approved a global restructuring plan (the “QH Program”) as part of its initial plan to realize certain cost synergies associated with the Combination. As of December 31, 2022, the Company substantially completed all of the initiatives under the QH Program with only an immaterial amount of remaining severance still to be paid, which is expected to be completed during 2023.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Company’s management initiated a global cost and optimization program to improve its cost structure and drive a more profitable and productive organization. As of March 31, 2023, the program included restructuring and associated severance costs to reduce headcount by approximately 75 positions globally. These headcount reductions began in the fourth quarter of 2022 and are expected to continue throughout 2023. The exact timing to complete all actions and final costs associated will depend on a number of factors that are subject to change.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Employee separation benefits vary depending on local regulations within certain foreign countries and include severance and other benefits. Restructuring costs include severance costs to reduce headcount, including customary and routine adjustments to initial estimates for employee separation costs, as well as costs to close certain facilities under the QH Program. These costs are recorded in Restructuring and related charges in the Company’s Consolidated Statements of Operations.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accruals for its restructuring programs are as follows:</w:t>
      </w:r>
    </w:p>
    <w:tbl>
      <w:tblPr>
        <w:tblW w:w="6134" w:type="dxa"/>
        <w:jc w:val="center"/>
        <w:tblInd w:w="0" w:type="dxa"/>
        <w:tblCellMar>
          <w:top w:w="28" w:type="dxa"/>
          <w:left w:w="28" w:type="dxa"/>
          <w:bottom w:w="28" w:type="dxa"/>
          <w:right w:w="28" w:type="dxa"/>
        </w:tblCellMar>
      </w:tblPr>
      <w:tblGrid>
        <w:gridCol w:w="1419"/>
        <w:gridCol w:w="1246"/>
        <w:gridCol w:w="1250"/>
        <w:gridCol w:w="988"/>
        <w:gridCol w:w="509"/>
        <w:gridCol w:w="722"/>
      </w:tblGrid>
      <w:tr>
        <w:trPr/>
        <w:tc>
          <w:tcPr>
            <w:tcW w:w="141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Programs</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December 31, 2022</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4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4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7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4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7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March 31, 2023</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8 – Share-Based Compensation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following share-based compensation expense in its Condensed Consolidated Statements of Operations:</w:t>
      </w:r>
    </w:p>
    <w:tbl>
      <w:tblPr>
        <w:tblW w:w="7007" w:type="dxa"/>
        <w:jc w:val="center"/>
        <w:tblInd w:w="0" w:type="dxa"/>
        <w:tblCellMar>
          <w:top w:w="28" w:type="dxa"/>
          <w:left w:w="28" w:type="dxa"/>
          <w:bottom w:w="28" w:type="dxa"/>
          <w:right w:w="28" w:type="dxa"/>
        </w:tblCellMar>
      </w:tblPr>
      <w:tblGrid>
        <w:gridCol w:w="1518"/>
        <w:gridCol w:w="1336"/>
        <w:gridCol w:w="1346"/>
        <w:gridCol w:w="334"/>
        <w:gridCol w:w="284"/>
        <w:gridCol w:w="287"/>
        <w:gridCol w:w="172"/>
        <w:gridCol w:w="172"/>
        <w:gridCol w:w="172"/>
        <w:gridCol w:w="334"/>
        <w:gridCol w:w="284"/>
        <w:gridCol w:w="287"/>
        <w:gridCol w:w="109"/>
        <w:gridCol w:w="109"/>
        <w:gridCol w:w="109"/>
        <w:gridCol w:w="154"/>
      </w:tblGrid>
      <w:tr>
        <w:trPr/>
        <w:tc>
          <w:tcPr>
            <w:tcW w:w="1518"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stock awards and restricted stock units</w:t>
            </w:r>
          </w:p>
        </w:tc>
        <w:tc>
          <w:tcPr>
            <w:tcW w:w="90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stock ownership plan</w:t>
            </w:r>
          </w:p>
        </w:tc>
        <w:tc>
          <w:tcPr>
            <w:tcW w:w="90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90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recorded in SG&amp;A, except for less than $0.1 million for the three months ended March 31, 2022, recorded within Combination, integration and other acquisition-related expenses.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compensation expense related to unvested stock options was $0.9 million, to be recognized over a weighted average remaining period of 1.3 years.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 and Restricted Stock Units</w:t>
      </w:r>
    </w:p>
    <w:p>
      <w:pPr>
        <w:pStyle w:val="TextBody"/>
        <w:spacing w:lineRule="auto" w:line="288" w:before="120" w:after="120"/>
        <w:ind w:left="0" w:right="0" w:firstLine="360"/>
        <w:rPr/>
      </w:pPr>
      <w:r>
        <w:rPr>
          <w:rFonts w:ascii="Times New Roman;sans-serif" w:hAnsi="Times New Roman;sans-serif"/>
          <w:b w:val="false"/>
          <w:color w:val="000000"/>
          <w:sz w:val="20"/>
        </w:rPr>
        <w:t>During the three months ended March 31, 2023, the Company granted 29,862 non-vested restricted shares and 6,675 non-vested restricted stock units under its long-term incentive plan (“LTIP”)</w:t>
      </w:r>
      <w:r>
        <w:rPr>
          <w:rFonts w:ascii="Times New Roman;sans-serif" w:hAnsi="Times New Roman;sans-serif"/>
          <w:b w:val="false"/>
          <w:color w:val="000000"/>
          <w:sz w:val="20"/>
          <w:highlight w:val="white"/>
        </w:rPr>
        <w:t>, which are subject to time-based vesting, generally over one to three years.</w:t>
      </w:r>
      <w:r>
        <w:rPr>
          <w:color w:val="000000"/>
        </w:rPr>
        <w:t xml:space="preserve"> </w:t>
      </w:r>
      <w:r>
        <w:rPr>
          <w:rFonts w:ascii="Times New Roman;sans-serif" w:hAnsi="Times New Roman;sans-serif"/>
          <w:b w:val="false"/>
          <w:color w:val="000000"/>
          <w:sz w:val="20"/>
        </w:rPr>
        <w:t>The fair value of these grants is based on the last sale price of the Company’s common stock on the date of grant. As of March 31, 2023, unrecognized compensation expense related to the non-vested restricted shares was $10.6 million, to be recognized over a weighted average remaining period of 2.6 years, and unrecognized compensation expense related to non-vested restricted stock units was $2.5 million, to be recognized over a weighted average remaining period of 1.8 years.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spacing w:lineRule="auto" w:line="288" w:before="120" w:after="120"/>
        <w:ind w:left="0" w:right="0" w:firstLine="360"/>
        <w:rPr/>
      </w:pPr>
      <w:r>
        <w:rPr>
          <w:rFonts w:ascii="Times New Roman;sans-serif" w:hAnsi="Times New Roman;sans-serif"/>
          <w:b w:val="false"/>
          <w:color w:val="000000"/>
          <w:sz w:val="20"/>
        </w:rPr>
        <w:t xml:space="preserve">As a component of its LTIP, the Company grants performance-based stock unit awards (“PSUs”), which will be settled in a certain number of shares subject to market-based or performance-based and time-based vesting conditions. The number of fully vested shares that may ultimately be issued as settlement for each award may range from 0% up to 200% of the target award, subject to the achievement of the Company’s market-based total shareholder return (“TSR”) metric relative to the performance of the Company’s peer group, the S&amp;P Midcap 400 Materials group, and separately the achievement of a performance-based return on invested capital (“ROIC”) measure. The service period required for the PSUs is generally </w:t>
      </w:r>
      <w:r>
        <w:rPr>
          <w:rFonts w:ascii="Times New Roman;sans-serif" w:hAnsi="Times New Roman;sans-serif"/>
          <w:b w:val="false"/>
          <w:color w:val="000000"/>
          <w:sz w:val="20"/>
          <w:highlight w:val="white"/>
        </w:rPr>
        <w:t>three years</w:t>
      </w:r>
      <w:r>
        <w:rPr>
          <w:color w:val="000000"/>
        </w:rPr>
        <w:t xml:space="preserve"> </w:t>
      </w:r>
      <w:r>
        <w:rPr>
          <w:rFonts w:ascii="Times New Roman;sans-serif" w:hAnsi="Times New Roman;sans-serif"/>
          <w:b w:val="false"/>
          <w:color w:val="000000"/>
          <w:sz w:val="20"/>
        </w:rPr>
        <w:t>and the measurement period of the market-based and performance objectives is generally from January 1 of the year of grant through December 31 of the year prior to issuance of the shares.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for PSUs is measured based on the grant date fair value and is recognized on a straight-line vesting method basis over the applicable vesting period. The fair value of PSUs granted with a ROIC condition is based on the trading price of the Company’s common stock on the date of grant. PSUs granted with a relative TSR condition are valued using a Monte Carlo simulation on the date of grant. The grant-date fair value of the PSUs valued using a Monte Carlo simulation, which included the following assumptions set forth in the table below: </w:t>
      </w:r>
    </w:p>
    <w:tbl>
      <w:tblPr>
        <w:tblW w:w="2879" w:type="dxa"/>
        <w:jc w:val="center"/>
        <w:tblInd w:w="0" w:type="dxa"/>
        <w:tblCellMar>
          <w:top w:w="28" w:type="dxa"/>
          <w:left w:w="28" w:type="dxa"/>
          <w:bottom w:w="28" w:type="dxa"/>
          <w:right w:w="28" w:type="dxa"/>
        </w:tblCellMar>
      </w:tblPr>
      <w:tblGrid>
        <w:gridCol w:w="759"/>
        <w:gridCol w:w="669"/>
        <w:gridCol w:w="671"/>
        <w:gridCol w:w="228"/>
        <w:gridCol w:w="228"/>
        <w:gridCol w:w="324"/>
      </w:tblGrid>
      <w:tr>
        <w:trPr/>
        <w:tc>
          <w:tcPr>
            <w:tcW w:w="7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br/>
              <w:t xml:space="preserve">Grants </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PSUs granted</w:t>
            </w:r>
          </w:p>
        </w:tc>
        <w:tc>
          <w:tcPr>
            <w:tcW w:w="78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the conditions of the PSUs and performance to date for each of the outstanding PSU awards as of March 31, 2023, the Company estimates that it will issue 47,203 fully vested shares as of the applicable settlement date for such outstanding PSUs awards. As of March 31, 2023, there was approximately $9.9 million of total unrecognized compensation cost related to PSUs, which the Company expects to recognize over a weighted-average period of 2.6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9 – Pension and Other Postretirement Benefits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(income) cost are as follows:</w:t>
      </w:r>
    </w:p>
    <w:tbl>
      <w:tblPr>
        <w:tblW w:w="9257" w:type="dxa"/>
        <w:jc w:val="center"/>
        <w:tblInd w:w="0" w:type="dxa"/>
        <w:tblCellMar>
          <w:top w:w="28" w:type="dxa"/>
          <w:left w:w="28" w:type="dxa"/>
          <w:bottom w:w="28" w:type="dxa"/>
          <w:right w:w="28" w:type="dxa"/>
        </w:tblCellMar>
      </w:tblPr>
      <w:tblGrid>
        <w:gridCol w:w="1209"/>
        <w:gridCol w:w="1063"/>
        <w:gridCol w:w="1072"/>
        <w:gridCol w:w="215"/>
        <w:gridCol w:w="475"/>
        <w:gridCol w:w="109"/>
        <w:gridCol w:w="109"/>
        <w:gridCol w:w="109"/>
        <w:gridCol w:w="109"/>
        <w:gridCol w:w="382"/>
        <w:gridCol w:w="319"/>
        <w:gridCol w:w="221"/>
        <w:gridCol w:w="109"/>
        <w:gridCol w:w="109"/>
        <w:gridCol w:w="109"/>
        <w:gridCol w:w="301"/>
        <w:gridCol w:w="622"/>
        <w:gridCol w:w="155"/>
        <w:gridCol w:w="155"/>
        <w:gridCol w:w="155"/>
        <w:gridCol w:w="155"/>
        <w:gridCol w:w="301"/>
        <w:gridCol w:w="622"/>
        <w:gridCol w:w="155"/>
        <w:gridCol w:w="109"/>
        <w:gridCol w:w="109"/>
        <w:gridCol w:w="109"/>
        <w:gridCol w:w="109"/>
        <w:gridCol w:w="109"/>
        <w:gridCol w:w="109"/>
        <w:gridCol w:w="109"/>
        <w:gridCol w:w="154"/>
      </w:tblGrid>
      <w:tr>
        <w:trPr/>
        <w:tc>
          <w:tcPr>
            <w:tcW w:w="1209"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9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 amortization</w:t>
            </w:r>
          </w:p>
        </w:tc>
        <w:tc>
          <w:tcPr>
            <w:tcW w:w="79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(income) amortization</w:t>
            </w:r>
          </w:p>
        </w:tc>
        <w:tc>
          <w:tcPr>
            <w:tcW w:w="79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cost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Employer Contributions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$1.0 million and less than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$5.3 million to its U.S. and foreign pension plans and approximately $0.2 million to its other postretirement benefit plans in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10 – Other expense, net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components of Other expense, net are as follows:</w:t>
      </w:r>
    </w:p>
    <w:tbl>
      <w:tblPr>
        <w:tblW w:w="9346" w:type="dxa"/>
        <w:jc w:val="center"/>
        <w:tblInd w:w="0" w:type="dxa"/>
        <w:tblCellMar>
          <w:top w:w="28" w:type="dxa"/>
          <w:left w:w="28" w:type="dxa"/>
          <w:bottom w:w="28" w:type="dxa"/>
          <w:right w:w="28" w:type="dxa"/>
        </w:tblCellMar>
      </w:tblPr>
      <w:tblGrid>
        <w:gridCol w:w="2254"/>
        <w:gridCol w:w="1976"/>
        <w:gridCol w:w="1995"/>
        <w:gridCol w:w="410"/>
        <w:gridCol w:w="377"/>
        <w:gridCol w:w="313"/>
        <w:gridCol w:w="172"/>
        <w:gridCol w:w="172"/>
        <w:gridCol w:w="172"/>
        <w:gridCol w:w="334"/>
        <w:gridCol w:w="343"/>
        <w:gridCol w:w="347"/>
        <w:gridCol w:w="109"/>
        <w:gridCol w:w="109"/>
        <w:gridCol w:w="109"/>
        <w:gridCol w:w="154"/>
      </w:tblGrid>
      <w:tr>
        <w:trPr/>
        <w:tc>
          <w:tcPr>
            <w:tcW w:w="2254"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third party license fees</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7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w:t>
            </w:r>
          </w:p>
        </w:tc>
        <w:tc>
          <w:tcPr>
            <w:tcW w:w="11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(costs) income, non-service components</w:t>
            </w:r>
          </w:p>
        </w:tc>
        <w:tc>
          <w:tcPr>
            <w:tcW w:w="11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net</w:t>
            </w:r>
          </w:p>
        </w:tc>
        <w:tc>
          <w:tcPr>
            <w:tcW w:w="11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11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 during the three months ended March 31, 2022, includes adjustments to a Combination-related indemnification asset associated with the settlement of certain income tax audits at one of the Company’s Italian for tax periods prior to August 1, 2019. See Note 11 of Notes to Condensed Consolidated Financial Statements.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net, during the three months ended March 31, 2023, reflects a gain recorded on the payments received from insurers related to previously incurred costs from the remediation and restoration of property damage. See Note 18 of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11 – Income Taxes and Uncertain Income Tax Positions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three months ended March 31, 2023 and 2022 were 27.7% and 13.1%, respectively. The Company’s effective tax rate for the three months ended March 31, 2023 was impacted by various items including foreign tax inclusions, withholding taxes, foreign tax credits, and net tax expense related to share-based compensation, partially offset with changes in uncertain tax positions and favorable return to provision adjustments. Comparatively, the prior year effective tax rate was largely impacted by changes in the valuation allowance for foreign tax credits due to legislative guidance issued and audit settlements reached with Italian tax authorities. In addition, the Company incurred higher tax expense during the three months ended March 31, 2022 related to one of the Company’s subsidiaries recording earnings at a statutory tax rate of 25% while the recertification of its concessionary 15% tax rate was pending receipt.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previously reported, the Italian tax authorities assessed additional tax due from the Company’s subsidiary, Quaker Italia S.r.l., relating to the tax years 2007 through 2015. The Company filed for and obtained competent authority relief under the Mutual Agreement Procedures (“MAP”) of the Organization for Economic Co-Operation and Development for all years except 2007. In the first quarter of 2022, the Company settled the $2.6 million assessment due to the Italian tax authorities, while having already received $1.6 million in refunds from the Netherlands and Spain. As of March 31, 2023, the Company paid the full settlement, of which approximately $0.2 million was refunded.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Houghton Italia, S.r.l was also involved in a corporate income tax audit with the Italian tax authorities covering tax years 2014 through 2018. The Company settled all years 2014 through 2018 for $3.7 million and, accordingly, released all reserves relating to this audit for the settled tax years during the first quarter of 2022. The settlement is to be paid via installments through 2026 and, through March 31, 2023, the Company paid $1.1 million of such installments. The Company has an indemnification receivable of $3.9 million in connection with its claim against the former owners of Houghton for any pre-Combination tax liabilities arising from this matter, as well as other audit settlements and tax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was notified by the Spanish tax authorities of audits to commence for several of its legal entities operating in Spain and spanning tax years 2018 through 2021. The Company arranged introductory meetings with the taxing authorities and has begun to provide documentation in response to their inquiries. The Company has not established any reserves for this matter at this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earnings per share calculations:</w:t>
      </w:r>
    </w:p>
    <w:tbl>
      <w:tblPr>
        <w:tblW w:w="7630" w:type="dxa"/>
        <w:jc w:val="center"/>
        <w:tblInd w:w="0" w:type="dxa"/>
        <w:tblCellMar>
          <w:top w:w="28" w:type="dxa"/>
          <w:left w:w="28" w:type="dxa"/>
          <w:bottom w:w="28" w:type="dxa"/>
          <w:right w:w="28" w:type="dxa"/>
        </w:tblCellMar>
      </w:tblPr>
      <w:tblGrid>
        <w:gridCol w:w="1717"/>
        <w:gridCol w:w="1506"/>
        <w:gridCol w:w="1517"/>
        <w:gridCol w:w="211"/>
        <w:gridCol w:w="721"/>
        <w:gridCol w:w="109"/>
        <w:gridCol w:w="109"/>
        <w:gridCol w:w="109"/>
        <w:gridCol w:w="109"/>
        <w:gridCol w:w="211"/>
        <w:gridCol w:w="721"/>
        <w:gridCol w:w="109"/>
        <w:gridCol w:w="109"/>
        <w:gridCol w:w="109"/>
        <w:gridCol w:w="109"/>
        <w:gridCol w:w="154"/>
      </w:tblGrid>
      <w:tr>
        <w:trPr/>
        <w:tc>
          <w:tcPr>
            <w:tcW w:w="1717"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17,866,670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17,826,061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17,826,061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17,898,746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17,851,859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stock options, restricted stock units, and PSUs are not included in the diluted earnings per share calculation when the effect would have been anti-dilutive. The calculated amount of anti-diluted shares not included were 15,327 and 12,260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13 – Goodwill and Other Intangible Assets</w:t>
      </w:r>
    </w:p>
    <w:p>
      <w:pPr>
        <w:pStyle w:val="TextBody"/>
        <w:spacing w:lineRule="auto" w:line="288" w:before="0" w:after="120"/>
        <w:ind w:left="0" w:right="0" w:firstLine="360"/>
        <w:rPr/>
      </w:pPr>
      <w:r>
        <w:rPr>
          <w:rFonts w:ascii="Times New Roman;sans-serif" w:hAnsi="Times New Roman;sans-serif"/>
          <w:b w:val="false"/>
          <w:color w:val="000000"/>
          <w:sz w:val="20"/>
        </w:rPr>
        <w:t>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recent developments, including rising interest rates and the cost of capital among other factor</w:t>
      </w:r>
      <w:r>
        <w:rPr>
          <w:rFonts w:ascii="Times New Roman;sans-serif" w:hAnsi="Times New Roman;sans-serif"/>
          <w:b w:val="false"/>
          <w:color w:val="000000"/>
          <w:sz w:val="20"/>
          <w:highlight w:val="white"/>
        </w:rPr>
        <w:t>s, in assessing if a triggering event indicates that the carrying values of goodwill, indefinite-lived, or long-lived assets are impaired. The Company concluded that during the first quarter the ongoing financial, economic or geopolitical conditions did not represent a triggering event.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reorganization and the associated change in reportable segments and reporting units during the first quarter of 2023, the Company performed the required impairment assessments directly before and immediately after the change in reporting units and concluded that it was not more likely than not that the fair values of any of the Company’s previous or new reporting units were less than its carrying amount.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were as follows. Prior period information has been recast to reflect the Company’s current period reportable segments. See Note 1 of Notes to Condensed Consolidated Financial Statements.</w:t>
      </w:r>
    </w:p>
    <w:tbl>
      <w:tblPr>
        <w:tblW w:w="10205" w:type="dxa"/>
        <w:jc w:val="center"/>
        <w:tblInd w:w="0" w:type="dxa"/>
        <w:tblCellMar>
          <w:top w:w="28" w:type="dxa"/>
          <w:left w:w="28" w:type="dxa"/>
          <w:bottom w:w="28" w:type="dxa"/>
          <w:right w:w="28" w:type="dxa"/>
        </w:tblCellMar>
      </w:tblPr>
      <w:tblGrid>
        <w:gridCol w:w="983"/>
        <w:gridCol w:w="844"/>
        <w:gridCol w:w="850"/>
        <w:gridCol w:w="450"/>
        <w:gridCol w:w="388"/>
        <w:gridCol w:w="393"/>
        <w:gridCol w:w="109"/>
        <w:gridCol w:w="109"/>
        <w:gridCol w:w="109"/>
        <w:gridCol w:w="362"/>
        <w:gridCol w:w="359"/>
        <w:gridCol w:w="340"/>
        <w:gridCol w:w="109"/>
        <w:gridCol w:w="109"/>
        <w:gridCol w:w="109"/>
        <w:gridCol w:w="542"/>
        <w:gridCol w:w="388"/>
        <w:gridCol w:w="393"/>
        <w:gridCol w:w="109"/>
        <w:gridCol w:w="109"/>
        <w:gridCol w:w="109"/>
        <w:gridCol w:w="499"/>
        <w:gridCol w:w="398"/>
        <w:gridCol w:w="393"/>
        <w:gridCol w:w="109"/>
        <w:gridCol w:w="109"/>
        <w:gridCol w:w="109"/>
        <w:gridCol w:w="368"/>
        <w:gridCol w:w="458"/>
        <w:gridCol w:w="489"/>
      </w:tblGrid>
      <w:tr>
        <w:trPr/>
        <w:tc>
          <w:tcPr>
            <w:tcW w:w="98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r>
      <w:tr>
        <w:trPr/>
        <w:tc>
          <w:tcPr>
            <w:tcW w:w="2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Global</w:t>
              <w:br/>
              <w:t>Specialty</w:t>
              <w:br/>
              <w:t>Businesses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2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reporting units</w:t>
            </w:r>
          </w:p>
        </w:tc>
        <w:tc>
          <w:tcPr>
            <w:tcW w:w="8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63,697 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2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169,134 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additions (reductions)</w:t>
            </w:r>
          </w:p>
        </w:tc>
        <w:tc>
          <w:tcPr>
            <w:tcW w:w="8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26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3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3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w:t>
            </w:r>
          </w:p>
        </w:tc>
      </w:tr>
      <w:tr>
        <w:trPr/>
        <w:tc>
          <w:tcPr>
            <w:tcW w:w="26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517,206</w:t>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carrying amounts and accumulated amortization for definite-lived intangible assets were as follows:</w:t>
      </w:r>
    </w:p>
    <w:tbl>
      <w:tblPr>
        <w:tblW w:w="10205" w:type="dxa"/>
        <w:jc w:val="center"/>
        <w:tblInd w:w="0" w:type="dxa"/>
        <w:tblCellMar>
          <w:top w:w="28" w:type="dxa"/>
          <w:left w:w="28" w:type="dxa"/>
          <w:bottom w:w="28" w:type="dxa"/>
          <w:right w:w="28" w:type="dxa"/>
        </w:tblCellMar>
      </w:tblPr>
      <w:tblGrid>
        <w:gridCol w:w="665"/>
        <w:gridCol w:w="298"/>
        <w:gridCol w:w="299"/>
        <w:gridCol w:w="336"/>
        <w:gridCol w:w="462"/>
        <w:gridCol w:w="469"/>
        <w:gridCol w:w="109"/>
        <w:gridCol w:w="109"/>
        <w:gridCol w:w="109"/>
        <w:gridCol w:w="476"/>
        <w:gridCol w:w="438"/>
        <w:gridCol w:w="344"/>
        <w:gridCol w:w="109"/>
        <w:gridCol w:w="109"/>
        <w:gridCol w:w="109"/>
        <w:gridCol w:w="336"/>
        <w:gridCol w:w="388"/>
        <w:gridCol w:w="393"/>
        <w:gridCol w:w="114"/>
        <w:gridCol w:w="114"/>
        <w:gridCol w:w="114"/>
        <w:gridCol w:w="470"/>
        <w:gridCol w:w="431"/>
        <w:gridCol w:w="351"/>
        <w:gridCol w:w="109"/>
        <w:gridCol w:w="109"/>
        <w:gridCol w:w="109"/>
        <w:gridCol w:w="336"/>
        <w:gridCol w:w="388"/>
        <w:gridCol w:w="393"/>
        <w:gridCol w:w="109"/>
        <w:gridCol w:w="109"/>
        <w:gridCol w:w="109"/>
        <w:gridCol w:w="450"/>
        <w:gridCol w:w="406"/>
        <w:gridCol w:w="426"/>
      </w:tblGrid>
      <w:tr>
        <w:trPr/>
        <w:tc>
          <w:tcPr>
            <w:tcW w:w="66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 and rights to sell</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205,800</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640,314</w:t>
            </w:r>
          </w:p>
        </w:tc>
      </w:tr>
      <w:tr>
        <w:trPr/>
        <w:tc>
          <w:tcPr>
            <w:tcW w:w="12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formulations and product technology</w:t>
            </w:r>
          </w:p>
        </w:tc>
        <w:tc>
          <w:tcPr>
            <w:tcW w:w="126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48,856</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112,283</w:t>
            </w:r>
          </w:p>
        </w:tc>
      </w:tr>
      <w:tr>
        <w:trPr/>
        <w:tc>
          <w:tcPr>
            <w:tcW w:w="12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r>
      <w:tr>
        <w:trPr/>
        <w:tc>
          <w:tcPr>
            <w:tcW w:w="12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260,504</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753,783</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amortizes definite-lived intangible assets on a straight-line basis over their useful lives. The Company recorded amortization expense as follows:</w:t>
      </w:r>
    </w:p>
    <w:tbl>
      <w:tblPr>
        <w:tblW w:w="4795" w:type="dxa"/>
        <w:jc w:val="center"/>
        <w:tblInd w:w="0" w:type="dxa"/>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154"/>
      </w:tblGrid>
      <w:tr>
        <w:trPr/>
        <w:tc>
          <w:tcPr>
            <w:tcW w:w="69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Estimated annual aggregate amortization expense for the current year and subsequent five years and beyond is as follows:</w:t>
      </w:r>
    </w:p>
    <w:tbl>
      <w:tblPr>
        <w:tblW w:w="4172" w:type="dxa"/>
        <w:jc w:val="center"/>
        <w:tblInd w:w="0" w:type="dxa"/>
        <w:tblCellMar>
          <w:top w:w="28" w:type="dxa"/>
          <w:left w:w="28" w:type="dxa"/>
          <w:bottom w:w="28" w:type="dxa"/>
          <w:right w:w="28" w:type="dxa"/>
        </w:tblCellMar>
      </w:tblPr>
      <w:tblGrid>
        <w:gridCol w:w="1172"/>
        <w:gridCol w:w="1031"/>
        <w:gridCol w:w="1037"/>
        <w:gridCol w:w="211"/>
        <w:gridCol w:w="298"/>
        <w:gridCol w:w="423"/>
      </w:tblGrid>
      <w:tr>
        <w:trPr/>
        <w:tc>
          <w:tcPr>
            <w:tcW w:w="1172"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w:t>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9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56,953</w:t>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56,708</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56,410</w:t>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indefinite-lived intangible assets for trademarks and tradenames totaling $191.3 million and $189.1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14 –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debt:</w:t>
      </w:r>
    </w:p>
    <w:tbl>
      <w:tblPr>
        <w:tblW w:w="9768" w:type="dxa"/>
        <w:jc w:val="center"/>
        <w:tblInd w:w="0" w:type="dxa"/>
        <w:tblCellMar>
          <w:top w:w="28" w:type="dxa"/>
          <w:left w:w="28" w:type="dxa"/>
          <w:bottom w:w="28" w:type="dxa"/>
          <w:right w:w="28" w:type="dxa"/>
        </w:tblCellMar>
      </w:tblPr>
      <w:tblGrid>
        <w:gridCol w:w="1645"/>
        <w:gridCol w:w="1445"/>
        <w:gridCol w:w="1454"/>
        <w:gridCol w:w="250"/>
        <w:gridCol w:w="250"/>
        <w:gridCol w:w="251"/>
        <w:gridCol w:w="115"/>
        <w:gridCol w:w="115"/>
        <w:gridCol w:w="115"/>
        <w:gridCol w:w="223"/>
        <w:gridCol w:w="874"/>
        <w:gridCol w:w="115"/>
        <w:gridCol w:w="109"/>
        <w:gridCol w:w="109"/>
        <w:gridCol w:w="109"/>
        <w:gridCol w:w="250"/>
        <w:gridCol w:w="250"/>
        <w:gridCol w:w="251"/>
        <w:gridCol w:w="132"/>
        <w:gridCol w:w="132"/>
        <w:gridCol w:w="132"/>
        <w:gridCol w:w="255"/>
        <w:gridCol w:w="1001"/>
        <w:gridCol w:w="186"/>
      </w:tblGrid>
      <w:tr>
        <w:trPr/>
        <w:tc>
          <w:tcPr>
            <w:tcW w:w="1645"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CCED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195,673 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4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592,500 </w:t>
            </w:r>
          </w:p>
        </w:tc>
        <w:tc>
          <w:tcPr>
            <w:tcW w:w="11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9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596,250 </w:t>
            </w:r>
          </w:p>
        </w:tc>
        <w:tc>
          <w:tcPr>
            <w:tcW w:w="186"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153,072 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151,572 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4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9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6"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942,786 </w:t>
            </w:r>
          </w:p>
        </w:tc>
        <w:tc>
          <w:tcPr>
            <w:tcW w:w="115"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954,798 </w:t>
            </w:r>
          </w:p>
        </w:tc>
        <w:tc>
          <w:tcPr>
            <w:tcW w:w="18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8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w:t>
            </w:r>
          </w:p>
        </w:tc>
        <w:tc>
          <w:tcPr>
            <w:tcW w:w="11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c>
          <w:tcPr>
            <w:tcW w:w="186"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in compliance with all of the Credit Facility covenants. See Note 20 of Notes to Consolidated Financial Statements in the Company’s 2022 Form 10-K.</w:t>
      </w:r>
    </w:p>
    <w:p>
      <w:pPr>
        <w:pStyle w:val="TextBody"/>
        <w:spacing w:lineRule="auto" w:line="288" w:before="0" w:after="120"/>
        <w:ind w:left="0" w:right="0" w:firstLine="360"/>
        <w:rPr/>
      </w:pPr>
      <w:r>
        <w:rPr>
          <w:rFonts w:ascii="Times New Roman;sans-serif" w:hAnsi="Times New Roman;sans-serif"/>
          <w:b w:val="false"/>
          <w:color w:val="000000"/>
          <w:sz w:val="20"/>
        </w:rPr>
        <w:t>The weighted average variable interest rate incurred on the outstanding borrowings under the Credit Facility during the</w:t>
      </w:r>
      <w:r>
        <w:rPr>
          <w:color w:val="000000"/>
          <w:highlight w:val="white"/>
        </w:rPr>
        <w:t xml:space="preserve"> </w:t>
      </w:r>
      <w:r>
        <w:rPr>
          <w:rFonts w:ascii="Times New Roman;sans-serif" w:hAnsi="Times New Roman;sans-serif"/>
          <w:b w:val="false"/>
          <w:color w:val="000000"/>
          <w:sz w:val="20"/>
          <w:highlight w:val="white"/>
        </w:rPr>
        <w:t xml:space="preserve">three months </w:t>
      </w:r>
      <w:r>
        <w:rPr>
          <w:rFonts w:ascii="Times New Roman;sans-serif" w:hAnsi="Times New Roman;sans-serif"/>
          <w:b w:val="false"/>
          <w:color w:val="000000"/>
          <w:sz w:val="20"/>
        </w:rPr>
        <w:t>ended March 31, 2023 was approximately 5.8%. As of March 31, 2023, the interest rate on the outstanding borrowings under the Credit Facility was approximately 5.9%.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$311 million, which is net of bank letters of credit of approximately $3 million, as of March 31, 2023.</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to an average fixed rate of 3.64% plus an applicable margin as provided in the Credit Facility based on the Company’s consolidated net leverage ratio. As of March 31, 2023, the aggregate interest rate on the swaps, including the fixed base rate plus the applicable margin, was 5.2%. See Note 17 of Notes to Condensed Consolidated Financial Statements.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an aggregate of $2.2 million of certain third-party and creditor debt issuance costs. Approximately $0.7 million of the capitalized costs were attributed to the Euro Term Loan and U.S. Term Loan. These costs were recorded as a direct reduction of Long-term debt on the Condensed Consolidated Balance Sheet. Approximately $1.5 million of the capitalized costs were attributed to the Revolver and recorded within Other assets on the Condensed Consolidated Balance Sheet. These capitalized costs will collectively be amortized into Interest expense over the five year term of the Credit Facility. As of March 31, 2023, the Company had $1.9 million of debt issuance costs recorded as a reduction of Long-term debt on the Condensed Consolidated Balance Sheet and $4.1 million of debt issuance costs recorded within Other assets on the Condensed Consolidated Balance Sheet. Comparatively, as of December 31, 2022, the Company had $2.0 million of debt issuance costs recorded as a reduction of Long-term debt on the Condensed Consolidated Balance Sheet and $4.3 million of debt issuance costs recorded within Other assets on the Condensed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Industrial development bonds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Bank lines of credit and other debt obligations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March 31, 2023 was approximately $35 million.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the bank letters of credit described in the “Credit facilities” subsection above, the Company’s other off-balance sheet arrangements include certain financial and other guarantees. The Company’s total bank letters of credit and guarantees outstanding as of March 31, 2023 were approximately $5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incurred the following debt related expenses included within Interest expense, net, in the Condensed Consolidated Statements of Operations:</w:t>
      </w:r>
    </w:p>
    <w:tbl>
      <w:tblPr>
        <w:tblW w:w="5784" w:type="dxa"/>
        <w:jc w:val="center"/>
        <w:tblInd w:w="0" w:type="dxa"/>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616"/>
        <w:gridCol w:w="109"/>
        <w:gridCol w:w="109"/>
        <w:gridCol w:w="109"/>
        <w:gridCol w:w="109"/>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the variable interest rates associated with the Credit Facility, as of March 31, 2023 and as of December 31, 2022, the amounts at which the Company’s total debt were recorded are not materially different from their fair market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Note 15 – Accumulated Other Comprehensive Income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reclassifications from and resulting balances of accumulated other comprehensive income (“AOCI”):</w:t>
      </w:r>
    </w:p>
    <w:tbl>
      <w:tblPr>
        <w:tblW w:w="10205" w:type="dxa"/>
        <w:jc w:val="center"/>
        <w:tblInd w:w="0" w:type="dxa"/>
        <w:tblCellMar>
          <w:top w:w="28" w:type="dxa"/>
          <w:left w:w="28" w:type="dxa"/>
          <w:bottom w:w="28" w:type="dxa"/>
          <w:right w:w="28" w:type="dxa"/>
        </w:tblCellMar>
      </w:tblPr>
      <w:tblGrid>
        <w:gridCol w:w="1231"/>
        <w:gridCol w:w="865"/>
        <w:gridCol w:w="867"/>
        <w:gridCol w:w="211"/>
        <w:gridCol w:w="867"/>
        <w:gridCol w:w="109"/>
        <w:gridCol w:w="109"/>
        <w:gridCol w:w="109"/>
        <w:gridCol w:w="109"/>
        <w:gridCol w:w="211"/>
        <w:gridCol w:w="762"/>
        <w:gridCol w:w="109"/>
        <w:gridCol w:w="109"/>
        <w:gridCol w:w="109"/>
        <w:gridCol w:w="109"/>
        <w:gridCol w:w="291"/>
        <w:gridCol w:w="874"/>
        <w:gridCol w:w="152"/>
        <w:gridCol w:w="109"/>
        <w:gridCol w:w="109"/>
        <w:gridCol w:w="109"/>
        <w:gridCol w:w="246"/>
        <w:gridCol w:w="737"/>
        <w:gridCol w:w="128"/>
        <w:gridCol w:w="109"/>
        <w:gridCol w:w="109"/>
        <w:gridCol w:w="109"/>
        <w:gridCol w:w="211"/>
        <w:gridCol w:w="867"/>
        <w:gridCol w:w="159"/>
      </w:tblGrid>
      <w:tr>
        <w:trPr/>
        <w:tc>
          <w:tcPr>
            <w:tcW w:w="123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b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w:t>
              <w:br/>
              <w:t>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Gain in</w:t>
              <w:br/>
              <w:t>Available-for-</w:t>
              <w:br/>
              <w:t>Sale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9"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(117,696)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(123,177)</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(49,843)</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28"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(63,990)</w:t>
            </w:r>
          </w:p>
        </w:tc>
        <w:tc>
          <w:tcPr>
            <w:tcW w:w="159"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9" w:type="dxa"/>
            <w:tcBorders/>
            <w:shd w:fill="CCED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(56,710)</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5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2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(70,261)</w:t>
            </w:r>
          </w:p>
        </w:tc>
        <w:tc>
          <w:tcPr>
            <w:tcW w:w="1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reclassifications related to unrealized (loss) gain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16 – Fair Value Measurements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valued its company-owned life insurance policies at fair value. The fair values of Company-owned life insurance assets are based on quotes for like instruments with similar credit ratings and terms. These assets are subject to fair value measurement as follows:</w:t>
      </w:r>
    </w:p>
    <w:tbl>
      <w:tblPr>
        <w:tblW w:w="8476" w:type="dxa"/>
        <w:jc w:val="center"/>
        <w:tblInd w:w="0" w:type="dxa"/>
        <w:tblCellMar>
          <w:top w:w="28" w:type="dxa"/>
          <w:left w:w="28" w:type="dxa"/>
          <w:bottom w:w="28" w:type="dxa"/>
          <w:right w:w="28" w:type="dxa"/>
        </w:tblCellMar>
      </w:tblPr>
      <w:tblGrid>
        <w:gridCol w:w="958"/>
        <w:gridCol w:w="844"/>
        <w:gridCol w:w="853"/>
        <w:gridCol w:w="109"/>
        <w:gridCol w:w="109"/>
        <w:gridCol w:w="109"/>
        <w:gridCol w:w="230"/>
        <w:gridCol w:w="671"/>
        <w:gridCol w:w="118"/>
        <w:gridCol w:w="109"/>
        <w:gridCol w:w="109"/>
        <w:gridCol w:w="109"/>
        <w:gridCol w:w="284"/>
        <w:gridCol w:w="546"/>
        <w:gridCol w:w="146"/>
        <w:gridCol w:w="146"/>
        <w:gridCol w:w="146"/>
        <w:gridCol w:w="146"/>
        <w:gridCol w:w="284"/>
        <w:gridCol w:w="829"/>
        <w:gridCol w:w="146"/>
        <w:gridCol w:w="146"/>
        <w:gridCol w:w="146"/>
        <w:gridCol w:w="146"/>
        <w:gridCol w:w="284"/>
        <w:gridCol w:w="546"/>
        <w:gridCol w:w="207"/>
      </w:tblGrid>
      <w:tr>
        <w:trPr/>
        <w:tc>
          <w:tcPr>
            <w:tcW w:w="958"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March 31, 2023</w:t>
              <w:br/>
              <w:t>Using Fair Value Hierarchy</w:t>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4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7"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60" w:type="dxa"/>
        <w:jc w:val="center"/>
        <w:tblInd w:w="0" w:type="dxa"/>
        <w:tblCellMar>
          <w:top w:w="28" w:type="dxa"/>
          <w:left w:w="28" w:type="dxa"/>
          <w:bottom w:w="28" w:type="dxa"/>
          <w:right w:w="28" w:type="dxa"/>
        </w:tblCellMar>
      </w:tblPr>
      <w:tblGrid>
        <w:gridCol w:w="958"/>
        <w:gridCol w:w="844"/>
        <w:gridCol w:w="853"/>
        <w:gridCol w:w="109"/>
        <w:gridCol w:w="109"/>
        <w:gridCol w:w="109"/>
        <w:gridCol w:w="230"/>
        <w:gridCol w:w="671"/>
        <w:gridCol w:w="118"/>
        <w:gridCol w:w="109"/>
        <w:gridCol w:w="109"/>
        <w:gridCol w:w="109"/>
        <w:gridCol w:w="303"/>
        <w:gridCol w:w="584"/>
        <w:gridCol w:w="156"/>
        <w:gridCol w:w="156"/>
        <w:gridCol w:w="156"/>
        <w:gridCol w:w="156"/>
        <w:gridCol w:w="303"/>
        <w:gridCol w:w="886"/>
        <w:gridCol w:w="156"/>
        <w:gridCol w:w="156"/>
        <w:gridCol w:w="156"/>
        <w:gridCol w:w="156"/>
        <w:gridCol w:w="303"/>
        <w:gridCol w:w="584"/>
        <w:gridCol w:w="221"/>
      </w:tblGrid>
      <w:tr>
        <w:trPr/>
        <w:tc>
          <w:tcPr>
            <w:tcW w:w="958"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 2022</w:t>
              <w:br/>
              <w:t>Using Fair Value Hierarchy</w:t>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6"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17 – Hedging Activities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the Company’s revenues and earnings are generated by its foreign operations. These foreign operations also represent a significant portion of the Company’s assets and liabilities. Generally, all of these foreign operations use the local currency as their functional currency and many have some operations in currencies other than their functional currency, which creates foreign exchange risk. The Company uses foreign exchange forward contracts to economically hedge the impact of the variability in exchange rates on certain assets and/or liabilities denominated in certain foreign currencies. These forward contracts are marked-to-market at each reporting date. Changes in the fair value of the underlying instrument and settlements are recognized in earnings. The fair value of the forward contract is determined from sources independent of the Company, including the financial institutions which are party to the derivative instruments.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entered into and settled forward contracts with an aggregate notional amount totaling $16.0 million, resulting in cash proceeds of $0.3 million. The following table displays the notional amounts of the net foreign exchange hedge positions outstanding:</w:t>
      </w:r>
    </w:p>
    <w:tbl>
      <w:tblPr>
        <w:tblW w:w="2672" w:type="dxa"/>
        <w:jc w:val="center"/>
        <w:tblInd w:w="0" w:type="dxa"/>
        <w:tblCellMar>
          <w:top w:w="28" w:type="dxa"/>
          <w:left w:w="28" w:type="dxa"/>
          <w:bottom w:w="28" w:type="dxa"/>
          <w:right w:w="28" w:type="dxa"/>
        </w:tblCellMar>
      </w:tblPr>
      <w:tblGrid>
        <w:gridCol w:w="456"/>
        <w:gridCol w:w="400"/>
        <w:gridCol w:w="403"/>
        <w:gridCol w:w="109"/>
        <w:gridCol w:w="109"/>
        <w:gridCol w:w="109"/>
        <w:gridCol w:w="211"/>
        <w:gridCol w:w="721"/>
        <w:gridCol w:w="154"/>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into a fixed rate obligation. See Note 14 of Notes to Condensed Consolidated Financial Statements.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balance sheet classification and fair values of the Company’s derivative instruments, which are Level 2 measurements, are as follows:</w:t>
      </w:r>
    </w:p>
    <w:tbl>
      <w:tblPr>
        <w:tblW w:w="8873" w:type="dxa"/>
        <w:jc w:val="center"/>
        <w:tblInd w:w="0" w:type="dxa"/>
        <w:tblCellMar>
          <w:top w:w="28" w:type="dxa"/>
          <w:left w:w="28" w:type="dxa"/>
          <w:bottom w:w="28" w:type="dxa"/>
          <w:right w:w="28" w:type="dxa"/>
        </w:tblCellMar>
      </w:tblPr>
      <w:tblGrid>
        <w:gridCol w:w="1364"/>
        <w:gridCol w:w="1199"/>
        <w:gridCol w:w="1202"/>
        <w:gridCol w:w="724"/>
        <w:gridCol w:w="724"/>
        <w:gridCol w:w="726"/>
        <w:gridCol w:w="109"/>
        <w:gridCol w:w="109"/>
        <w:gridCol w:w="109"/>
        <w:gridCol w:w="262"/>
        <w:gridCol w:w="578"/>
        <w:gridCol w:w="135"/>
        <w:gridCol w:w="109"/>
        <w:gridCol w:w="109"/>
        <w:gridCol w:w="109"/>
        <w:gridCol w:w="357"/>
        <w:gridCol w:w="686"/>
        <w:gridCol w:w="262"/>
      </w:tblGrid>
      <w:tr>
        <w:trPr/>
        <w:tc>
          <w:tcPr>
            <w:tcW w:w="136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w:t>
              <w:b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21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7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3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unrealized (gain) loss deferred to AOCI:</w:t>
      </w:r>
    </w:p>
    <w:tbl>
      <w:tblPr>
        <w:tblW w:w="6943" w:type="dxa"/>
        <w:jc w:val="center"/>
        <w:tblInd w:w="0" w:type="dxa"/>
        <w:tblCellMar>
          <w:top w:w="28" w:type="dxa"/>
          <w:left w:w="28" w:type="dxa"/>
          <w:bottom w:w="28" w:type="dxa"/>
          <w:right w:w="28" w:type="dxa"/>
        </w:tblCellMar>
      </w:tblPr>
      <w:tblGrid>
        <w:gridCol w:w="1364"/>
        <w:gridCol w:w="1199"/>
        <w:gridCol w:w="1202"/>
        <w:gridCol w:w="190"/>
        <w:gridCol w:w="190"/>
        <w:gridCol w:w="191"/>
        <w:gridCol w:w="262"/>
        <w:gridCol w:w="578"/>
        <w:gridCol w:w="135"/>
        <w:gridCol w:w="109"/>
        <w:gridCol w:w="109"/>
        <w:gridCol w:w="109"/>
        <w:gridCol w:w="357"/>
        <w:gridCol w:w="686"/>
        <w:gridCol w:w="262"/>
      </w:tblGrid>
      <w:tr>
        <w:trPr/>
        <w:tc>
          <w:tcPr>
            <w:tcW w:w="136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571" w:type="dxa"/>
            <w:gridSpan w:val="3"/>
            <w:tcBorders/>
            <w:shd w:fill="CCED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262"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35"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gain (loss) reclassified from AOCI to earnings:</w:t>
      </w:r>
    </w:p>
    <w:tbl>
      <w:tblPr>
        <w:tblW w:w="9028" w:type="dxa"/>
        <w:jc w:val="center"/>
        <w:tblInd w:w="0" w:type="dxa"/>
        <w:tblCellMar>
          <w:top w:w="28" w:type="dxa"/>
          <w:left w:w="28" w:type="dxa"/>
          <w:bottom w:w="28" w:type="dxa"/>
          <w:right w:w="28" w:type="dxa"/>
        </w:tblCellMar>
      </w:tblPr>
      <w:tblGrid>
        <w:gridCol w:w="1091"/>
        <w:gridCol w:w="958"/>
        <w:gridCol w:w="966"/>
        <w:gridCol w:w="584"/>
        <w:gridCol w:w="584"/>
        <w:gridCol w:w="586"/>
        <w:gridCol w:w="404"/>
        <w:gridCol w:w="893"/>
        <w:gridCol w:w="208"/>
        <w:gridCol w:w="208"/>
        <w:gridCol w:w="208"/>
        <w:gridCol w:w="208"/>
        <w:gridCol w:w="404"/>
        <w:gridCol w:w="1037"/>
        <w:gridCol w:w="208"/>
        <w:gridCol w:w="109"/>
        <w:gridCol w:w="109"/>
        <w:gridCol w:w="109"/>
        <w:gridCol w:w="154"/>
      </w:tblGrid>
      <w:tr>
        <w:trPr/>
        <w:tc>
          <w:tcPr>
            <w:tcW w:w="109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Location and Amount of Gain (Loss) Recognized in</w:t>
              <w:br/>
              <w:t>Statements of Operations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damages as a result of flooding and electrical fire, respectively. The Company maintains property and flood insurance for all of its locations globally. During the three months ended March 31, 2023, there have been no significant changes to the facts or circumstances of this previously disclosed matter, other than the ongoing work with the Company’s insurance adjuster and insurance carrier regarding the insurance claims submitted. Through March 31, 2023, the Company has received cumulative payments from its insurers of $5.7 million associated with these events. During the three months ended March 31, 2023, the Company recognized a gain on insurance recoveries of $0.8 million. See Note 10 of Notes to the Condensed Consolidated Financial Statements.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its 2022 Form 10-K, the Company is party to certain environmental matters and other litigation. See Note 26 of Notes to Consolidated Financial Statements in the Company’s 2022 Form 10-K. During the three months ended March 31, 2023, there have been no significant changes to the facts or circumstances of any of the previously disclosed matters. In addition, during the three months ended March 31, 2023, there are no new environmental matters or litigation that the Company believes will have a material adverse effect on the Company’s results of operations, cash flows or financial condition. Although there can be no assurance regarding the outcome of any of the ongoing environmental matters or litigation the Company is party to, the Company believes that it has made adequate accruals for costs and liabilities associated with environmental matters or provisions for ongoing litigation for which it is aware. The Company has accrued approximately $6 million as of both March 31, 2023 and December 31, 2022, respectively, for these ongoing matters.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r>
        <w:rPr>
          <w:rFonts w:ascii="Times New Roman;sans-serif" w:hAnsi="Times New Roman;sans-serif"/>
          <w:b/>
          <w:color w:val="000000"/>
          <w:sz w:val="20"/>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used in this Report, the terms “Quaker Houghton,” the “Company,” “we” and “our” refer to Quaker Chemical Corporation (doing business as Quaker Houghton), its subsidiaries, and associated companies, unless the context otherwise requires. The term the “Combination” refers to the legacy Quaker combination with Houghton International, Inc. (“Houghton”) on August 1,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spacing w:lineRule="auto" w:line="288" w:before="0" w:after="120"/>
        <w:ind w:left="0" w:right="0" w:firstLine="360"/>
        <w:rPr/>
      </w:pPr>
      <w:r>
        <w:rPr>
          <w:rFonts w:ascii="Times New Roman;sans-serif" w:hAnsi="Times New Roman;sans-serif"/>
          <w:b w:val="false"/>
          <w:color w:val="000000"/>
          <w:sz w:val="20"/>
        </w:rPr>
        <w:t xml:space="preserve">Despite continued economic and geopolitical headwinds, the Company delivered a strong first quarter of 2023 performance. Net sales in the first quarter of 2023 were a record $500.1 million, an increase of 5% compared to $474.2 million in the first quarter of 2022. This was primarily driven by an increase in selling price and product mix of approximately 19%, partially offset by a decline in organic sales volumes of 11% and an unfavorable impact from foreign currency translation of 3%. </w:t>
      </w:r>
      <w:r>
        <w:rPr>
          <w:rFonts w:ascii="Times New Roman;sans-serif" w:hAnsi="Times New Roman;sans-serif"/>
          <w:b w:val="false"/>
          <w:color w:val="000000"/>
          <w:sz w:val="20"/>
          <w:highlight w:val="white"/>
        </w:rPr>
        <w:t xml:space="preserve">The increase in selling price and product mix was primarily the result of value-based pricing initiatives implemented throughout 2022 to offset ongoing inflationary pressures. </w:t>
      </w:r>
      <w:r>
        <w:rPr>
          <w:rFonts w:ascii="Times New Roman;sans-serif" w:hAnsi="Times New Roman;sans-serif"/>
          <w:b w:val="false"/>
          <w:color w:val="000000"/>
          <w:sz w:val="20"/>
        </w:rPr>
        <w:t>The decline in organic sales volumes was primarily attributable to softer end market conditions, notably in EMEA and Asia/Pacific, the impact of the ongoing war in Ukraine, the wind-down of the tolling agreement for products previously divested related to the Combination and the Company’s ongoing value-based pricing initiatives, partially offset by new business wins</w:t>
      </w:r>
      <w:r>
        <w:rPr>
          <w:rFonts w:ascii="Times New Roman;sans-serif" w:hAnsi="Times New Roman;sans-serif"/>
          <w:b w:val="false"/>
          <w:color w:val="000000"/>
          <w:sz w:val="20"/>
          <w:highlight w:val="white"/>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generated net income in the first quarter of 2023 of $29.5 million, or $1.64 per diluted share, compared to net income of $19.8 million, or $1.11 per diluted share in the first quarter of 2022. Excluding non-recurring and non-core items in each period, the Company’s first quarter of 2023 non-GAAP earnings per diluted share were $1.89 compared to $1.42 in the prior year quarter and the Company’s current quarter adjusted EBITDA was $78.8 million compared to $60.4 million in the first quarter of 2022. These results were primarily driven by the higher net sales in the current quarter, as described above, coupled with a recovery in gross margins compared to the prior year quarter, partially offset by higher selling, general and administrative expenses (“SG&amp;A”) as a result of significant year-over-year inflationary pressures and higher labor-related costs. See the Non-GAAP Measures section of this Item below, as well as other items discussed in the Company’s Consolidated Operations Review in the Operations section of this Item, below.</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first quarter of 2023, the Company reorganized its executive management team to align with its new business structure. The Company’s new structure includes three reportable segments: (i) Americas; (ii) Europe, Middle East and Africa (“EMEA”); and (iii) Asia/Pacific. The Company’s first quarter of 2023 operating performance in each of its three reportable segments reflect similar drivers to that of its consolidated performance. Operating earnings for all segments increased compared to the prior year quarter, driven by higher net sales in the Americas and EMEA and an improvement in margins in all three segments. Additional details of each segment’s operating performance are further discussed in the Company’s Reportable Segments Review, in the Operations section of this Item, below.</w:t>
      </w:r>
    </w:p>
    <w:p>
      <w:pPr>
        <w:pStyle w:val="TextBody"/>
        <w:spacing w:lineRule="auto" w:line="288" w:before="0" w:after="120"/>
        <w:ind w:left="0" w:right="0" w:firstLine="360"/>
        <w:rPr/>
      </w:pPr>
      <w:r>
        <w:rPr>
          <w:rFonts w:ascii="Times New Roman;sans-serif" w:hAnsi="Times New Roman;sans-serif"/>
          <w:b w:val="false"/>
          <w:color w:val="000000"/>
          <w:sz w:val="20"/>
        </w:rPr>
        <w:t>Net cash flows provided by operating activities were $37.8 million in the first three months of 2023 compared to net cash flows used in operating activities of $6.3 million in the first three months of 2022. Th</w:t>
      </w:r>
      <w:r>
        <w:rPr>
          <w:rFonts w:ascii="Times New Roman;sans-serif" w:hAnsi="Times New Roman;sans-serif"/>
          <w:b w:val="false"/>
          <w:color w:val="000000"/>
          <w:sz w:val="20"/>
          <w:highlight w:val="white"/>
        </w:rPr>
        <w:t>e net operating cash inflow year-over-year reflects higher operating performance in 2023 compared to 2022 as well as lower working capital investments year-over-year. The key drivers of the Company’s operating cash flow and working capital are further discussed in the Company’s Liquidity and Capital Resources section of this Item, below.</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Overall, the Company delivered a strong quarter including a record level of net sales, driven by strong price realization and a recovery in gross margin in the current period. These factors contributed to the Company’s current quarter earnings growth despite ongoing inflationary pressures, macroeconomic and geopolitical challenges and other disruptions that impacted the Company’s customers and end markets. Looking at the remainder of 2023, the Company remains focused on executing on items within its control as it manages through a continued uneven and uncertain macroeconomic and end market environment. The Company is encouraged by its continued execution and the positive momentum of the first quarter of 2023 and continues to expect to deliver higher earnings in 2023 as compared to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“Management’s Discussion and Analysis” and “Note 1 – Significant Accounting Policies” to the Consolidated Financial Statements in our 2022 Form 10-K. There have been no material changes to the critical accounting policies and estimates previously disclosed in its 2022 Form 10-K remain materially consistent.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Note 3 of Notes to Condensed Consolidated Financial Statements, in Part I, Item 1, of this Report for a discussion regarding recently issued accounting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$189.9 million. Total cash and cash equivalents was $181.0 million as of December 31, 2022. The $8.9 million increase in cash and cash equivalents was the net result of $37.8 million of cash provided by operating activities and a positive impact due to the effect of foreign currency translation of $2.2 million partially offset by $24.9 million of cash used in financing activities and $6.2 million of cash used in investing activities.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$37.8 million in the first three months of 2023 compared to net cash flows used in operating activities of $6.3 million in the first three months of 2022. The increase in net operating cash flow year-over-year reflects higher year-over-year operating performance as well as lower levels of working capital investment in the current year, reflecting a more stable period as compared to the prior year and demonstrating the Company’s ongoing focus on cash conversion, including managing inventory levels.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$6.2 million in the first three months of 2023 compared to $18.2 million in the first three months of 2022. The lower level of cash used in investing activities year-over-year is the result of slightly lower capital expenditures in the current year and the absence of payments related to acquisitions. See Note 2 of Notes to Condensed Consolidated Financial Statements in Item 1 of this Report.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used in financing activities were $24.9 million in the first three months of 2023 compared to net cash flows provided by financing activities of $20.6 million in the first three months of 2022. The increase in net cash outflows was primarily related to net repayments of borrowings in the first three months of 2023, primarily under the Company’s Credit Facility, described further below, as compared to net borrowings in the first three months of 2022. In addition, the Company paid $7.8 million of cash dividends during the first three months of 2023, a $0.4 million, or 5% increase, in cash dividends compared to the prior year quarter.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As of </w:t>
      </w:r>
      <w:r>
        <w:rPr>
          <w:rFonts w:ascii="Times New Roman;sans-serif" w:hAnsi="Times New Roman;sans-serif"/>
          <w:b w:val="false"/>
          <w:color w:val="000000"/>
          <w:sz w:val="20"/>
        </w:rPr>
        <w:t>March 31, 2023</w:t>
      </w:r>
      <w:r>
        <w:rPr>
          <w:rFonts w:ascii="Times New Roman;sans-serif" w:hAnsi="Times New Roman;sans-serif"/>
          <w:b w:val="false"/>
          <w:color w:val="000000"/>
          <w:sz w:val="20"/>
          <w:highlight w:val="white"/>
        </w:rPr>
        <w:t xml:space="preserve">, the Company had Credit Facility borrowings outstanding of $931.5 million.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xml:space="preserve">, the Company had Credit Facility borrowings outstanding of $943.5 million. The Company’s other debt obligations are primarily industrial development bonds, bank lines of credit and municipality-related loans, which totaled $11.3 million as of both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xml:space="preserve">. Total unused capacity under these arrangements as of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 xml:space="preserve">was approximately </w:t>
      </w:r>
      <w:r>
        <w:rPr>
          <w:rFonts w:ascii="Times New Roman;sans-serif" w:hAnsi="Times New Roman;sans-serif"/>
          <w:b w:val="false"/>
          <w:color w:val="000000"/>
          <w:sz w:val="20"/>
        </w:rPr>
        <w:t>$35 million</w:t>
      </w:r>
      <w:r>
        <w:rPr>
          <w:rFonts w:ascii="Times New Roman;sans-serif" w:hAnsi="Times New Roman;sans-serif"/>
          <w:b w:val="false"/>
          <w:color w:val="000000"/>
          <w:sz w:val="20"/>
          <w:highlight w:val="white"/>
        </w:rPr>
        <w:t xml:space="preserve">. The Company’s total net debt as of </w:t>
      </w:r>
      <w:r>
        <w:rPr>
          <w:rFonts w:ascii="Times New Roman;sans-serif" w:hAnsi="Times New Roman;sans-serif"/>
          <w:b w:val="false"/>
          <w:color w:val="000000"/>
          <w:sz w:val="20"/>
        </w:rPr>
        <w:t>March 31, 2023, which consists of total borrowings of $942.8 million less cash and cash equivalents of $189.9,</w:t>
      </w:r>
      <w:r>
        <w:rPr>
          <w:color w:val="000000"/>
          <w:highlight w:val="white"/>
        </w:rPr>
        <w:t xml:space="preserve"> </w:t>
      </w:r>
      <w:r>
        <w:rPr>
          <w:rFonts w:ascii="Times New Roman;sans-serif" w:hAnsi="Times New Roman;sans-serif"/>
          <w:b w:val="false"/>
          <w:color w:val="000000"/>
          <w:sz w:val="20"/>
          <w:highlight w:val="white"/>
        </w:rPr>
        <w:t xml:space="preserve">was $752.9 million. </w:t>
      </w:r>
      <w:r>
        <w:rPr>
          <w:rFonts w:ascii="Times New Roman;sans-serif" w:hAnsi="Times New Roman;sans-serif"/>
          <w:b w:val="false"/>
          <w:color w:val="000000"/>
          <w:sz w:val="20"/>
        </w:rPr>
        <w:t>The Credit Facility contains affirmative and negative covenants, financial covenants and events of default. Financial covenants contained in the Credit Facility include a consolidated interest coverage ratio test and a consolidated net leverage ratio test. As of March 31, 2023, the Company was in compliance with all of the Credit Facility covenants. Refer to the description of the Company’s primary Credit Facility in Note 20 of Notes to Consolidated Financial Statements in its 2022 Form 10-K and in Note 14 of Notes to Condensed Consolidated Financial Statements in Item 1 of this Report for more information about the covenants and events of default.</w:t>
      </w:r>
    </w:p>
    <w:p>
      <w:pPr>
        <w:pStyle w:val="TextBody"/>
        <w:spacing w:lineRule="auto" w:line="288" w:before="0" w:after="120"/>
        <w:ind w:left="0" w:right="0" w:firstLine="360"/>
        <w:rPr/>
      </w:pPr>
      <w:r>
        <w:rPr>
          <w:rFonts w:ascii="Times New Roman;sans-serif" w:hAnsi="Times New Roman;sans-serif"/>
          <w:b w:val="false"/>
          <w:color w:val="000000"/>
          <w:sz w:val="20"/>
        </w:rPr>
        <w:t>The weighted average variable interest rate incurred on the outstanding borrowings under the Credit Facility during the</w:t>
      </w:r>
      <w:r>
        <w:rPr>
          <w:color w:val="000000"/>
          <w:highlight w:val="white"/>
        </w:rPr>
        <w:t xml:space="preserve"> </w:t>
      </w:r>
      <w:r>
        <w:rPr>
          <w:rFonts w:ascii="Times New Roman;sans-serif" w:hAnsi="Times New Roman;sans-serif"/>
          <w:b w:val="false"/>
          <w:color w:val="000000"/>
          <w:sz w:val="20"/>
          <w:highlight w:val="white"/>
        </w:rPr>
        <w:t xml:space="preserve">three months </w:t>
      </w:r>
      <w:r>
        <w:rPr>
          <w:rFonts w:ascii="Times New Roman;sans-serif" w:hAnsi="Times New Roman;sans-serif"/>
          <w:b w:val="false"/>
          <w:color w:val="000000"/>
          <w:sz w:val="20"/>
        </w:rPr>
        <w:t>ended March 31, 2023 was approximately 5.8%. As of March 31, 2023, the interest rate on the outstanding borrowings under the Credit Facility was approximately 5.9%.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$311 million, which is net of bank letters of credit of approximately $3 million, as of March 31, 2023.</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March 31, 2023, the aggregate interest rate on the swaps, including the fixed base rate plus the applicable margin, was 5.2%. See Note 17 of Notes to Condensed Consolidated Financial Statements.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reduction of Long-term debt on the Condensed Consolidated Balance Sheet. Costs attributed to the Revolver were recorded within Other assets on the Condensed Consolidated Balance Sheet. These capitalized costs will collectively be amortized into Interest expense over the five-year term of the Credit Facility. As of March 31, 2022, the Company had $1.9 million of debt issuance costs recorded as a reduction of Long-term debt on the Condensed Consolidated Balance Sheet and $4.1 million of debt issuance costs recorded within Other assets on the Condensed Consolidated Balance Sheet. Comparatively, as of December 31, 2022, the Company had $2.0 million of debt issuance costs recorded as a reduction of Long-term debt on the Condensed Consolidated Balance Sheet and $4.3 million of debt issuance costs recorded within Other assets on the Condensed Consolidated Balance Sheet.</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The Company uses foreign exchange forward contracts to economically hedge the impact of the variability in exchange rates on certain assets and/or liabilities denominated in certain foreign currencies. </w:t>
      </w:r>
      <w:r>
        <w:rPr>
          <w:rFonts w:ascii="Times New Roman;sans-serif" w:hAnsi="Times New Roman;sans-serif"/>
          <w:b w:val="false"/>
          <w:color w:val="000000"/>
          <w:sz w:val="20"/>
        </w:rPr>
        <w:t>During the three months ended March 31, 2023, the Company entered into and settled forward contracts with an aggregate notional amount totaling $16.0 million, resulting in cash proceeds of $0.3 million</w:t>
      </w:r>
      <w:r>
        <w:rPr>
          <w:rFonts w:ascii="Times New Roman;sans-serif" w:hAnsi="Times New Roman;sans-serif"/>
          <w:b w:val="false"/>
          <w:color w:val="000000"/>
          <w:sz w:val="20"/>
          <w:highlight w:val="white"/>
        </w:rPr>
        <w:t>. See Note 17 of Notes to Condensed Consolidated Financial Statements.</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In the first </w:t>
      </w:r>
      <w:r>
        <w:rPr>
          <w:rFonts w:ascii="Times New Roman;sans-serif" w:hAnsi="Times New Roman;sans-serif"/>
          <w:b w:val="false"/>
          <w:color w:val="000000"/>
          <w:sz w:val="20"/>
        </w:rPr>
        <w:t>three months of 2022</w:t>
      </w:r>
      <w:r>
        <w:rPr>
          <w:rFonts w:ascii="Times New Roman;sans-serif" w:hAnsi="Times New Roman;sans-serif"/>
          <w:b w:val="false"/>
          <w:color w:val="000000"/>
          <w:sz w:val="20"/>
          <w:highlight w:val="white"/>
        </w:rPr>
        <w:t>, the Company incurred $6.0 million of total Combination, integration and other acquisition-related expenses, which includes $2.0 million of other expenses related to indemnification assets, described in the Non-GAAP Measures section of this Item below. The Company had net cash outflows related to the Combination, integration and other acquisition-related expenses during the first</w:t>
      </w:r>
      <w:r>
        <w:rPr>
          <w:color w:val="000000"/>
        </w:rPr>
        <w:t xml:space="preserve"> </w:t>
      </w:r>
      <w:r>
        <w:rPr>
          <w:rFonts w:ascii="Times New Roman;sans-serif" w:hAnsi="Times New Roman;sans-serif"/>
          <w:b w:val="false"/>
          <w:color w:val="000000"/>
          <w:sz w:val="20"/>
        </w:rPr>
        <w:t>three months of 2022 of</w:t>
      </w:r>
      <w:r>
        <w:rPr>
          <w:color w:val="000000"/>
          <w:highlight w:val="white"/>
        </w:rPr>
        <w:t xml:space="preserve"> </w:t>
      </w:r>
      <w:r>
        <w:rPr>
          <w:rFonts w:ascii="Times New Roman;sans-serif" w:hAnsi="Times New Roman;sans-serif"/>
          <w:b w:val="false"/>
          <w:color w:val="000000"/>
          <w:sz w:val="20"/>
          <w:highlight w:val="white"/>
        </w:rPr>
        <w:t>$4.2 million. T</w:t>
      </w:r>
      <w:r>
        <w:rPr>
          <w:rFonts w:ascii="Times New Roman;sans-serif" w:hAnsi="Times New Roman;sans-serif"/>
          <w:b w:val="false"/>
          <w:color w:val="000000"/>
          <w:sz w:val="20"/>
        </w:rPr>
        <w:t xml:space="preserve">he Company had no </w:t>
      </w:r>
      <w:r>
        <w:rPr>
          <w:rFonts w:ascii="Times New Roman;sans-serif" w:hAnsi="Times New Roman;sans-serif"/>
          <w:b w:val="false"/>
          <w:color w:val="000000"/>
          <w:sz w:val="20"/>
          <w:highlight w:val="white"/>
        </w:rPr>
        <w:t xml:space="preserve">Combination, integration and other acquisition-related expenses in the first </w:t>
      </w:r>
      <w:r>
        <w:rPr>
          <w:rFonts w:ascii="Times New Roman;sans-serif" w:hAnsi="Times New Roman;sans-serif"/>
          <w:b w:val="false"/>
          <w:color w:val="000000"/>
          <w:sz w:val="20"/>
        </w:rPr>
        <w:t>three months of 2023</w:t>
      </w:r>
      <w:r>
        <w:rPr>
          <w:rFonts w:ascii="Times New Roman;sans-serif" w:hAnsi="Times New Roman;sans-serif"/>
          <w:b w:val="false"/>
          <w:color w:val="000000"/>
          <w:sz w:val="20"/>
          <w:highlight w:val="white"/>
        </w:rPr>
        <w:t>.</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During the first </w:t>
      </w:r>
      <w:r>
        <w:rPr>
          <w:rFonts w:ascii="Times New Roman;sans-serif" w:hAnsi="Times New Roman;sans-serif"/>
          <w:b w:val="false"/>
          <w:color w:val="000000"/>
          <w:sz w:val="20"/>
        </w:rPr>
        <w:t>three months of 2023</w:t>
      </w:r>
      <w:r>
        <w:rPr>
          <w:rFonts w:ascii="Times New Roman;sans-serif" w:hAnsi="Times New Roman;sans-serif"/>
          <w:b w:val="false"/>
          <w:color w:val="000000"/>
          <w:sz w:val="20"/>
          <w:highlight w:val="white"/>
        </w:rPr>
        <w:t xml:space="preserve">, the Company incurred $2.1 million of strategic planning expenses for the planning phase as compared to $3.1 million during the first </w:t>
      </w:r>
      <w:r>
        <w:rPr>
          <w:rFonts w:ascii="Times New Roman;sans-serif" w:hAnsi="Times New Roman;sans-serif"/>
          <w:b w:val="false"/>
          <w:color w:val="000000"/>
          <w:sz w:val="20"/>
        </w:rPr>
        <w:t>three months of 2022</w:t>
      </w:r>
      <w:r>
        <w:rPr>
          <w:rFonts w:ascii="Times New Roman;sans-serif" w:hAnsi="Times New Roman;sans-serif"/>
          <w:b w:val="false"/>
          <w:color w:val="000000"/>
          <w:sz w:val="20"/>
          <w:highlight w:val="white"/>
        </w:rPr>
        <w:t>. The Company expects to incur additional operating costs and associated cash flows, as well as higher capital expenditures related to strategic planning, process optimization and the next phase of the Company’s long-term integration to further optimize its footprint, processes and other function</w:t>
      </w:r>
      <w:r>
        <w:rPr>
          <w:rFonts w:ascii="Times New Roman;sans-serif" w:hAnsi="Times New Roman;sans-serif"/>
          <w:b w:val="false"/>
          <w:color w:val="000000"/>
          <w:sz w:val="20"/>
        </w:rPr>
        <w:t>s in 2023 and thereafter.</w:t>
      </w:r>
    </w:p>
    <w:p>
      <w:pPr>
        <w:pStyle w:val="TextBody"/>
        <w:spacing w:lineRule="auto" w:line="288" w:before="0" w:after="120"/>
        <w:ind w:left="0" w:right="0" w:firstLine="360"/>
        <w:rPr/>
      </w:pPr>
      <w:r>
        <w:rPr>
          <w:rFonts w:ascii="Times New Roman;sans-serif" w:hAnsi="Times New Roman;sans-serif"/>
          <w:b w:val="false"/>
          <w:color w:val="000000"/>
          <w:sz w:val="20"/>
        </w:rPr>
        <w:t>The Company’s management approved, and the Company initiated, a global restructuring plan (the “QH Program”) in 2019 as part of its planned cost synergies associated with the Combination. As of December 31, 2022, the Company has substantially completed all of the initiatives under the QH Program with only an immaterial amount of remaining severance still to be paid, which is expected to continue into 2023. In the fourth quarter of 2022, the Company’s management initiated a global cost and optimization program to improve its cost structure and drive a more profitable and productive organization. The exact timing to complete all actions and final costs associated will depend on a number of factors and are subject to change. The Company is continuing to evaluate and expects to implement further actions under this program, and as a result, additional headcount reductions and restructuring costs may be incurred in the future. The Company expects to generate full run-rate cost savings from the global cost and optimization program of approximately $20 million by the end of 2024. The Company expects total cash costs of this program to be approximately 1 to 1.5 times savings. The Company recognized Restructuring and related charges of $4.0 million and $0.8 million in the first three months of 2023 and 2022, respectively, as a result of these programs. The Company made cash payments related to the settlement of restructuring liabilities under the restructuring programs during the first</w:t>
      </w:r>
      <w:r>
        <w:rPr>
          <w:color w:val="000000"/>
          <w:highlight w:val="white"/>
        </w:rPr>
        <w:t xml:space="preserve"> </w:t>
      </w:r>
      <w:r>
        <w:rPr>
          <w:rFonts w:ascii="Times New Roman;sans-serif" w:hAnsi="Times New Roman;sans-serif"/>
          <w:b w:val="false"/>
          <w:color w:val="000000"/>
          <w:sz w:val="20"/>
        </w:rPr>
        <w:t>three months of 2023 of approximately $2.7 million compared to $0.4 million in the</w:t>
      </w:r>
      <w:r>
        <w:rPr>
          <w:color w:val="000000"/>
          <w:highlight w:val="white"/>
        </w:rPr>
        <w:t xml:space="preserve"> </w:t>
      </w:r>
      <w:r>
        <w:rPr>
          <w:rFonts w:ascii="Times New Roman;sans-serif" w:hAnsi="Times New Roman;sans-serif"/>
          <w:b w:val="false"/>
          <w:color w:val="000000"/>
          <w:sz w:val="20"/>
          <w:highlight w:val="white"/>
        </w:rPr>
        <w:t xml:space="preserve">first </w:t>
      </w:r>
      <w:r>
        <w:rPr>
          <w:rFonts w:ascii="Times New Roman;sans-serif" w:hAnsi="Times New Roman;sans-serif"/>
          <w:b w:val="false"/>
          <w:color w:val="000000"/>
          <w:sz w:val="20"/>
        </w:rPr>
        <w:t>three months of 2022. The Company has remaining restructuring accruals as of March 31, 2023, for these programs of $6.8 million, which the Company expects to settle over the next twelve months. See Note 7 of Notes to Condensed Consolidated Financial Statements in Item 1 of this Report.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gross liability for uncertain tax positions, including interest and penalties, was $20.2 million. The Company cannot determine a reliable estimate of the timing of cash flows by period related to its uncertain tax position liability. However, should the entire liability be paid, the amount of the payment may be reduced by up to $6.3 million as a result of offsetting benefits in other tax jurisdictions.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damages as a result of flooding and electrical fire, respectively. The Company maintains property and flood insurance for all of its locations globally. During the three months ended March 31, 2023, there have been no significant changes to the facts or circumstances of this previously disclosed matter, other than the ongoing work with the Company’s insurance adjuster and insurance carrier regarding the insurance claims submitted. Through March 31, 2023, the Company has received cumulative payments from its insurers of $5.7 million associated with these events. During the three months ended March 31, 2023, the Company recognized a gain on insurance recoveries of $0.8 million. See Notes 10 and 18 of Notes to the Condensed Consolidated Financial Statements, in Item 1 of this report.</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pension plan contributions, capital expenditures, other business opportunities (including potential acquisitions), implementing actions to achieve the Company’s sustainability goals and other potential known or anticipated contingencies. The Company believes it has sufficient additional liquidity to support its operating requirements and to fund its business obligations for the period beyond the next twelve months as well,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net income and non-GAAP earnings per diluted share, as discussed and reconciled below to the most comparable respective GAAP measures, may not be comparable to similarly named measures reported by other companies.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tbl>
      <w:tblPr>
        <w:tblW w:w="8823" w:type="dxa"/>
        <w:jc w:val="center"/>
        <w:tblInd w:w="0" w:type="dxa"/>
        <w:tblCellMar>
          <w:top w:w="28" w:type="dxa"/>
          <w:left w:w="28" w:type="dxa"/>
          <w:bottom w:w="28" w:type="dxa"/>
          <w:right w:w="28" w:type="dxa"/>
        </w:tblCellMar>
      </w:tblPr>
      <w:tblGrid>
        <w:gridCol w:w="2034"/>
        <w:gridCol w:w="1785"/>
        <w:gridCol w:w="1790"/>
        <w:gridCol w:w="211"/>
        <w:gridCol w:w="721"/>
        <w:gridCol w:w="271"/>
        <w:gridCol w:w="109"/>
        <w:gridCol w:w="109"/>
        <w:gridCol w:w="109"/>
        <w:gridCol w:w="211"/>
        <w:gridCol w:w="721"/>
        <w:gridCol w:w="271"/>
        <w:gridCol w:w="109"/>
        <w:gridCol w:w="109"/>
        <w:gridCol w:w="109"/>
        <w:gridCol w:w="154"/>
      </w:tblGrid>
      <w:tr>
        <w:trPr/>
        <w:tc>
          <w:tcPr>
            <w:tcW w:w="2034"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and Margin Reconciliations</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 (a)</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60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60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70"/>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39,161 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 (%) (j)</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565"/>
        <w:gridCol w:w="2210"/>
        <w:gridCol w:w="2215"/>
        <w:gridCol w:w="211"/>
        <w:gridCol w:w="721"/>
        <w:gridCol w:w="271"/>
        <w:gridCol w:w="109"/>
        <w:gridCol w:w="109"/>
        <w:gridCol w:w="109"/>
        <w:gridCol w:w="211"/>
        <w:gridCol w:w="721"/>
        <w:gridCol w:w="271"/>
        <w:gridCol w:w="109"/>
        <w:gridCol w:w="109"/>
        <w:gridCol w:w="109"/>
        <w:gridCol w:w="155"/>
      </w:tblGrid>
      <w:tr>
        <w:trPr/>
        <w:tc>
          <w:tcPr>
            <w:tcW w:w="2565"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 Adjusted EBITDA, Adjusted EBITDA Margin and Non-GAAP Net Income Reconciliations</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(h)</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 (i)</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(f)</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 (a)</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(e)</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 (j)</w:t>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60,444 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(h)</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271"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Taxes on income before equity in net income of associated companies - adjusted (a)(i)</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33,992 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25,470 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tbl>
      <w:tblPr>
        <w:tblW w:w="10205" w:type="dxa"/>
        <w:jc w:val="center"/>
        <w:tblInd w:w="0" w:type="dxa"/>
        <w:tblCellMar>
          <w:top w:w="28" w:type="dxa"/>
          <w:left w:w="28" w:type="dxa"/>
          <w:bottom w:w="28" w:type="dxa"/>
          <w:right w:w="28" w:type="dxa"/>
        </w:tblCellMar>
      </w:tblPr>
      <w:tblGrid>
        <w:gridCol w:w="2815"/>
        <w:gridCol w:w="2456"/>
        <w:gridCol w:w="2463"/>
        <w:gridCol w:w="211"/>
        <w:gridCol w:w="511"/>
        <w:gridCol w:w="109"/>
        <w:gridCol w:w="109"/>
        <w:gridCol w:w="109"/>
        <w:gridCol w:w="109"/>
        <w:gridCol w:w="211"/>
        <w:gridCol w:w="511"/>
        <w:gridCol w:w="109"/>
        <w:gridCol w:w="109"/>
        <w:gridCol w:w="109"/>
        <w:gridCol w:w="109"/>
        <w:gridCol w:w="155"/>
      </w:tblGrid>
      <w:tr>
        <w:trPr/>
        <w:tc>
          <w:tcPr>
            <w:tcW w:w="2815"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Earnings per Diluted Share Reconciliations</w:t>
            </w:r>
          </w:p>
        </w:tc>
        <w:tc>
          <w:tcPr>
            <w:tcW w:w="19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diluted share attributable to Quaker Chemical Corporation common shareholders</w:t>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per diluted share (f)</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 per diluted share (a)</w:t>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per diluted share (b)</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per diluted share (c)</w:t>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per diluted share (d)</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per diluted share (e)</w:t>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certain discrete tax items per diluted share (g)</w:t>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34" w:type="dxa"/>
            <w:gridSpan w:val="3"/>
            <w:tcBorders/>
            <w:shd w:fill="CCED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per diluted share (k)</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(a)Combination, integration and other acquisition-related expenses include certain legal, financial, and other advisory and consultant costs incurred in connection with the Combination integration activities. These amounts also include expense associated with the Company's other recent acquisitions, including certain legal, financial, and other advisory and consultant costs incurred in connection with due diligence. These costs are not indicative of the future operating performance of the Company. Less than $0.1 million for the three months ended March 31, 2022 of these pre-tax costs were considered non-deductible for the purpose of determining the Company’s effective tax rate, and, therefore, taxes on income before equity in net income of associated companies - adjusted reflects the impact of these items. During the three months ended March 31, 2022, the Company recorded $2.0 million of other expense related to an indemnification asset, which is included in the caption “Combination, integration and other acquisition-related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There were no Combination, integration and other acquisition-related expenses incurred in the first quarter of 2023. See Notes 2, 10, and 11 of Notes to Condensed Consolidated Financial Statements, which appear in Item 1 of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(b)Restructuring and related charges represent the costs incurred by the Company associated with the Company’s restructuring programs. These costs are not indicative of the future operating performance of the Company. See Note 7 of Notes to Condensed Consolidated Financial Statements, which appear in Item 1 of this Report.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(c)Strategic planning expenses include certain consultant and advisory expenses for the Company’s strategic planning phase of its long-term process optimization and integration projects to further optimize its footprint, processes and other functions. These planning phase costs are one-time in nature and not indicative of the future operating performance of the Company.</w:t>
      </w:r>
    </w:p>
    <w:p>
      <w:pPr>
        <w:pStyle w:val="TextBody"/>
        <w:spacing w:lineRule="auto" w:line="288" w:before="0" w:after="120"/>
        <w:ind w:left="0" w:right="0" w:hanging="360"/>
        <w:rPr/>
      </w:pPr>
      <w:r>
        <w:rPr>
          <w:rFonts w:ascii="Times;sans-serif" w:hAnsi="Times;sans-serif"/>
          <w:b w:val="false"/>
          <w:color w:val="000000"/>
          <w:sz w:val="20"/>
        </w:rPr>
        <w:t>(d)</w:t>
      </w:r>
      <w:r>
        <w:rPr>
          <w:rFonts w:ascii="Times New Roman;sans-serif" w:hAnsi="Times New Roman;sans-serif"/>
          <w:b w:val="false"/>
          <w:color w:val="000000"/>
          <w:sz w:val="20"/>
        </w:rPr>
        <w:t xml:space="preserve">Russia-Ukraine conflict related expenses represent </w:t>
      </w:r>
      <w:r>
        <w:rPr>
          <w:rFonts w:ascii="Times;sans-serif" w:hAnsi="Times;sans-serif"/>
          <w:b w:val="false"/>
          <w:color w:val="000000"/>
          <w:sz w:val="20"/>
        </w:rPr>
        <w:t>the costs associated with a specific reserve or changes to existing reserves for trade accounts receivable within the Company’s EMEA reportable segment related to certain customers who filed for bankruptcy protection as well as costs related to specific reserves recorded for certain customer accounts receivables which in each case were directly impacted by the ongoing conflict between Russia and Ukraine. These expenses are not indicative of the future operating performance of the Company</w:t>
      </w:r>
      <w:r>
        <w:rPr>
          <w:rFonts w:ascii="Times New Roman;sans-serif" w:hAnsi="Times New Roman;sans-serif"/>
          <w:b w:val="false"/>
          <w:color w:val="000000"/>
          <w:sz w:val="20"/>
        </w:rPr>
        <w: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(e)Other charges include executive transition costs, facility remediation insurance recoveries, net, charges incurred by an inactive subsidiary of the Company as a result of the termination of restrictions on insurance settlement reserves, non-service components of the Company’s pension and postretirement net periodic benefit income, and the foreign currency remeasurement impacts associated with the Company’s affiliates whose local economies are designated as hyper-inflationary under U.S. GAAP. These expenses are not indicative of the future operating performance of the Company. See Notes 1, 9 and 18 of Notes to Condensed Consolidated Financial Statements, which appear in Item 1 of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(g)The impacts of certain discrete tax items include changes in valuation allowances recorded on certain Brazilian branch foreign tax credits and the recording of deferred taxes on Brazilian branch income. Both of these discrete items related to tax law changes in the U.S. due to the issuance of final foreign tax credit regulations during the period ended March 31, 2023. Additionally, the Company has discrete items related to the remeasurement of deferred taxes on the transfer of intellectual property and the release of the reserves for uncertain tax positions settled during the period and certain taxes, penalties, and interest due as a result of the settlements. See Note 11 of Notes to Condensed Consolidated Financial Statements, which appears in Item 1 of this Report.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(h)Depreciation and amortization for both the three months ended March 31, 2023 and 2022 include approximately $0.3 million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integration and other acquisition-related expenses described in (a) resulted in incremental taxes of approximately $1.4 million for the three months ended March 31, 2022. Restructuring and related charges, net described in (b) above resulted in incremental taxes of $1.0 million and $0.2 million for the three months ended March 31, 2023 and 2022, respectively. Strategic planning expenses described in (c) above resulted in incremental taxes of $0.5 million and $0.7 million for the three months ended March 31, 2023 and 2022, respectively. Russia-Ukraine conflict related expenses described in (d) resulted in incremental taxes of $0.3 million for the three months ended March 31, 2022. Other charges described in (e) resulted in a net tax benefit of less than $0.1 million and incremental taxes of less than $0.1 million for the three months ended March 31, 2023 and 2022, respectively. The impact of certain discrete items described in (g) resulted in incremental tax expense of less than $0.1 million and $3.4 million for the three months ended March 31, 2023 and 2022, respectively.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(j)The Company calculates adjusted EBITDA margin and non-GAAP operating margin as the percentage of adjusted EBITDA and non-GAAP operating income to consolidated net sales.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(k)The Company calculates non-GAAP earnings per diluted share as non-GAAP net income attributable to the Company per weighted average diluted shares outstanding using the “two-class share method” to calculate such in each given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off-balance sheet commitments or obligations as of March 31, 2023. The Company’s off-balance sheet items outstanding as of March 31, 2023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spacing w:lineRule="auto" w:line="288" w:before="0" w:after="12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the First Quarter of 2023 with the First Quarter of 2022</w:t>
      </w:r>
    </w:p>
    <w:p>
      <w:pPr>
        <w:pStyle w:val="TextBody"/>
        <w:spacing w:lineRule="auto" w:line="288" w:before="0" w:after="120"/>
        <w:ind w:left="0" w:right="0" w:firstLine="360"/>
        <w:rPr/>
      </w:pPr>
      <w:r>
        <w:rPr>
          <w:rFonts w:ascii="Times New Roman;sans-serif" w:hAnsi="Times New Roman;sans-serif"/>
          <w:b w:val="false"/>
          <w:color w:val="000000"/>
          <w:sz w:val="20"/>
        </w:rPr>
        <w:t>Net sales were $500.1 million in the first quarter of 2023 compared to $474.2 million in the first quarter of 2022. The net sales increase of $25.9 million or 5% quarter-over-quarter reflects an increase in selling price and product mix of 19%, partially offset by a decline in organic sales volumes of approximately 11% and the unfavorable impact from foreign currency translation of approximately 3%. The increase in selling price and product mix was primarily driven by year-over-year impact of our value-based pricing initiatives implemented to offset the significant increases in raw material and other input costs. The decline in organic sales volumes was primarily attributable to softer end market conditions, notably in EMEA and Asia/Pacific, the impacts of the ongoing war in Ukraine, the wind-down of the tolling agreement for products previously divested related to the Combination, and the Company’s ongoing value-based pricing initiatives</w:t>
      </w:r>
      <w:r>
        <w:rPr>
          <w:rFonts w:ascii="Times New Roman;sans-serif" w:hAnsi="Times New Roman;sans-serif"/>
          <w:b w:val="false"/>
          <w:color w:val="000000"/>
          <w:sz w:val="20"/>
          <w:highlight w:val="white"/>
        </w:rPr>
        <w: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COGS were $326.7 million in the first quarter of 2023 compared to $328.1 million in the first quarter of 2022, a decrease of $1.4 million. The relatively consistent level of COGS in both periods reflects lower spend on the decline in current year volumes, which more than offset higher costs due to inflationary pressures in the Company’s global raw material, manufacturing and supply chain and logistics costs compared to the prior year.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Gross profit was $173.5 million in the first quarter of 2023 compared to $146.1 million in the first quarter of 2022, an increase of $27.4 million or 19%. The Company’s reported gross margin in the first quarter of 2023 was 34.7% compared to 30.8% in the first quarter of 2022 primarily driven by the year-over-year impact of our value-based pricing initiatives implemented to offset the significant increases in raw material and other input costs.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SG&amp;A was $119.5 million in the first quarter of 2023 compared to $111.8 million in the first quarter of 2022, an increase $7.8 million or 7%, driven by higher labor-related costs including year-over-year inflationary increases and higher levels of incentive compensation on improved Company performance, partially offset by lower SG&amp;A due to foreign currency translation compared to the prior year. </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incurred $4.1 million of Combination, integration and other acquisition-related operating expenses in the first quarter of 2022, primarily due to various professional fees related to legal, financial and other advisory and consultant expenses for integration activities. There were no similar expenses incurred in the first quarter of 2023. See the Non-GAAP Measures section of this Item, above.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$4.0 million and $0.8 million during the first quarters of 2023 and 2022, respectively, related to reductions in headcount and site closures under the Company’s previous and current restructuring programs. See the Non-GAAP Measures section of this Item, above.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Operating income in the first quarter of 2023 was $49.9 million compared to $29.4 million in the first quarter of 2022. Excluding non-recurring and non-core expenses that are not indicative of the future operating performance of the Company described in the Non-GAAP Measures section of this Item, above, the Company’s non-GAAP operating income increased to $56.3 million in the first quarter of 2023 as compared to $39.2 million in the first quarter of 2022 primarily due to higher gross profit partially offset by higher SG&amp;A, described above.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net of $2.2 million in both the first quarter of 2023 and 2022. Both the first quarter of 2023 and 2022 included foreign exchange transaction losses. The first quarter of 2023 also included a gain on insurance recoveries, while the first quarter of 2022 included an expense related to a Combination-related indemnification asset. See the Non-GAAP Measures section of this Item, above.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$13.2 million in the first quarter of 2023 compared to $5.3 million in the first quarter of 2022, an increase of $7.9 million as a result of an increase in interest rates quarter-over-quarter, as well as higher average borrowings outstanding during the current year quarter.</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first quarters of 2023 and 2022 were 27.7% and 13.1%, respectively. The Company’s effective tax rate for the three months ended March 31, 2023 was impacted by various items including foreign tax inclusions, withholding taxes, foreign tax credits, and net tax expense related to share-based compensation, partially offset with changes in uncertain tax positions and favorable return to provision adjustments. Comparatively, the prior year effective tax rate was largely impacted by changes in the valuation allowance for foreign tax credits due to legislative guidance issued and audit settlements reached with Italian tax authorities. In addition, the Company incurred higher tax expense during the three months ended March 31, 2022 related to one of the Company’s subsidiaries recording earnings at a statutory tax rate of 25% while the recertification of its concessionary 15% tax rate was pending receipt. Excluding the impact of non-core items in each quarter, described in the Non-GAAP Measures section of this Item, above, the Company estimates that its effective tax rates for both the first quarters of 2023 and 2022 would have been approximately 27%.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 was $4.6 million in the first quarter of 2023 compared to $0.8 million in the first quarter of 2022, an increase of $3.8 million, primarily due to higher current year income from the Company’s interest in a captive insurance company as well as from the Company’s 50% interest in a joint venture in Korea. See the Non-GAAP Measures section of this Item, above.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was less than $0.1 million in both the first quarter of 2023 and 2022.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Foreign exchange unfavorably impacted the Company’s first quarter of 2023 results by approximately 7% driven by the impact from foreign currency translation on earnings as well as higher foreign exchange transaction losses in the current quarter as compared to the prior year first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Reportable Segments Review - Comparison of the First Quarter of 2023 with the First Quarter of 2022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its performance. During the first quarter of 2023, the Company reorganized its executive management team to align with its new business structure. The Company’s new structure includes three reportable segments: (i) Americas; (ii) EMEA; and (iii) Asia/Pacific.</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pPr>
      <w:r>
        <w:rPr>
          <w:rFonts w:ascii="Times New Roman;sans-serif" w:hAnsi="Times New Roman;sans-serif"/>
          <w:b w:val="false"/>
          <w:color w:val="000000"/>
          <w:sz w:val="20"/>
        </w:rPr>
        <w:t xml:space="preserve">The three geographic segments are comprised of the assets and operations in each respective region, including assets and operations formerly included in the Global Specialty Businesses segment. Prior to the Company’s reorganization, the Company’s historical reportable segments were: (i) Americas; (ii) EMEA; (iii) Asia/Pacific; and (iv) Global Specialty Businesses. </w:t>
      </w:r>
      <w:r>
        <w:rPr>
          <w:rFonts w:ascii="Times New Roman;sans-serif" w:hAnsi="Times New Roman;sans-serif"/>
          <w:b w:val="false"/>
          <w:color w:val="000000"/>
          <w:sz w:val="20"/>
          <w:highlight w:val="white"/>
        </w:rPr>
        <w:t>All prior period information has been recast to reflect the Company’s new reportable segments.</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and Restructuring and related charges. Other items not specifically identified with the Company’s reportable segments include interest expense, net, and other expense, net.</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spacing w:lineRule="auto" w:line="288" w:before="0" w:after="120"/>
        <w:ind w:left="0" w:right="0" w:firstLine="360"/>
        <w:rPr/>
      </w:pPr>
      <w:r>
        <w:rPr>
          <w:rFonts w:ascii="Times New Roman;sans-serif" w:hAnsi="Times New Roman;sans-serif"/>
          <w:b w:val="false"/>
          <w:color w:val="000000"/>
          <w:sz w:val="20"/>
        </w:rPr>
        <w:t xml:space="preserve">Americas represented approximately 50% of the Company’s consolidated net sales in the first quarter of 2023. The segment’s net sales were $251.4 million, an increase of $39.3 million or 19%, compared to the first quarter of 2022. The increase in net sales was due to higher selling price and product mix of 22% and the favorable impact of foreign currency translation of 1%, partially offset by a decrease in organic sales volumes of 4%. The increase in selling price and product mix was primarily driven by the year-over-year impact of price increases implemented throughout 2022 to offset the significant increases in raw material and other input costs. </w:t>
      </w:r>
      <w:r>
        <w:rPr>
          <w:rFonts w:ascii="Times New Roman;sans-serif" w:hAnsi="Times New Roman;sans-serif"/>
          <w:b w:val="false"/>
          <w:color w:val="000000"/>
          <w:sz w:val="20"/>
          <w:highlight w:val="white"/>
        </w:rPr>
        <w:t>The current quarter decline in organic sales volumes was primarily driven by softer market conditions, the wind-down of the tolling agreement for products previously divested related to the Combination and the Company’s ongoing value-based pricing initiatives partially offset by new business win</w:t>
      </w:r>
      <w:r>
        <w:rPr>
          <w:rFonts w:ascii="Times New Roman;sans-serif" w:hAnsi="Times New Roman;sans-serif"/>
          <w:b w:val="false"/>
          <w:color w:val="000000"/>
          <w:sz w:val="20"/>
        </w:rPr>
        <w:t xml:space="preserve">s. This segment’s operating earnings were $66.1 million, an increase of $21.1 million or 47%, compared to the first quarter of 2022 primarily driven by higher net sales coupled with a recovery in margins </w:t>
      </w:r>
      <w:r>
        <w:rPr>
          <w:rFonts w:ascii="Times New Roman;sans-serif" w:hAnsi="Times New Roman;sans-serif"/>
          <w:b w:val="false"/>
          <w:color w:val="000000"/>
          <w:sz w:val="20"/>
          <w:highlight w:val="white"/>
        </w:rPr>
        <w:t>reflecting the Company’s ongoing initiatives aimed at offsetting</w:t>
      </w:r>
      <w:r>
        <w:rPr>
          <w:color w:val="000000"/>
        </w:rPr>
        <w:t xml:space="preserve"> </w:t>
      </w:r>
      <w:r>
        <w:rPr>
          <w:rFonts w:ascii="Times New Roman;sans-serif" w:hAnsi="Times New Roman;sans-serif"/>
          <w:b w:val="false"/>
          <w:color w:val="000000"/>
          <w:sz w:val="20"/>
        </w:rPr>
        <w:t>the significant inflationary pressures impacting the business.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EMEA represented approximately 31% of the Company’s consolidated net sales in the </w:t>
      </w:r>
      <w:r>
        <w:rPr>
          <w:rFonts w:ascii="Times New Roman;sans-serif" w:hAnsi="Times New Roman;sans-serif"/>
          <w:b w:val="false"/>
          <w:color w:val="000000"/>
          <w:sz w:val="20"/>
        </w:rPr>
        <w:t>first quarter of 2023</w:t>
      </w:r>
      <w:r>
        <w:rPr>
          <w:rFonts w:ascii="Times New Roman;sans-serif" w:hAnsi="Times New Roman;sans-serif"/>
          <w:b w:val="false"/>
          <w:color w:val="000000"/>
          <w:sz w:val="20"/>
          <w:highlight w:val="white"/>
        </w:rPr>
        <w:t xml:space="preserve">. The segment’s net sales were $152.4 million, an increase of $5.6 million or 4%, compared to the </w:t>
      </w:r>
      <w:r>
        <w:rPr>
          <w:rFonts w:ascii="Times New Roman;sans-serif" w:hAnsi="Times New Roman;sans-serif"/>
          <w:b w:val="false"/>
          <w:color w:val="000000"/>
          <w:sz w:val="20"/>
        </w:rPr>
        <w:t>first</w:t>
      </w:r>
      <w:r>
        <w:rPr>
          <w:color w:val="000000"/>
          <w:highlight w:val="white"/>
        </w:rPr>
        <w:t xml:space="preserve"> </w:t>
      </w:r>
      <w:r>
        <w:rPr>
          <w:rFonts w:ascii="Times New Roman;sans-serif" w:hAnsi="Times New Roman;sans-serif"/>
          <w:b w:val="false"/>
          <w:color w:val="000000"/>
          <w:sz w:val="20"/>
          <w:highlight w:val="white"/>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xml:space="preserve">. This was driven by higher selling price and product mix of 19%, partially offset by the unfavorable impact of foreign currency translation of 4% and a decrease in sales volumes of 11%. </w:t>
      </w:r>
      <w:r>
        <w:rPr>
          <w:rFonts w:ascii="Times New Roman;sans-serif" w:hAnsi="Times New Roman;sans-serif"/>
          <w:b w:val="false"/>
          <w:color w:val="000000"/>
          <w:sz w:val="20"/>
        </w:rPr>
        <w:t>The increase in selling price and product mix was primarily driven by the year-over-year impact of price increases implemented throughout 2022 to offset the significant increases in raw material and other input costs.</w:t>
      </w:r>
      <w:r>
        <w:rPr>
          <w:color w:val="000000"/>
          <w:highlight w:val="white"/>
        </w:rPr>
        <w:t xml:space="preserve"> </w:t>
      </w:r>
      <w:r>
        <w:rPr>
          <w:rFonts w:ascii="Times New Roman;sans-serif" w:hAnsi="Times New Roman;sans-serif"/>
          <w:b w:val="false"/>
          <w:color w:val="000000"/>
          <w:sz w:val="20"/>
          <w:highlight w:val="white"/>
        </w:rPr>
        <w:t>The decline in sales volumes was primarily driven by softer market conditions, including the direct and indirect impacts of the ongoing war in Ukraine, as well as lower volumes associated with the Company’s ongoing value-based pricing initiatives and the wind-down of the tolling agreement for products previously divested related to the Combination. The unfavorable foreign curren</w:t>
      </w:r>
      <w:r>
        <w:rPr>
          <w:rFonts w:ascii="Times New Roman;sans-serif" w:hAnsi="Times New Roman;sans-serif"/>
          <w:b w:val="false"/>
          <w:color w:val="000000"/>
          <w:sz w:val="20"/>
        </w:rPr>
        <w:t>cy translation impact was primarily due to the strengthening of the U.S. dollar against the euro as this exchange rate averaged 1.07 U.S. dollar per euro in the first quarter of 2023 compared to 1.12 U.S. dollar per euro in the first quarter of 2022.</w:t>
      </w:r>
      <w:r>
        <w:rPr>
          <w:color w:val="000000"/>
          <w:highlight w:val="white"/>
        </w:rPr>
        <w:t xml:space="preserve"> </w:t>
      </w:r>
      <w:r>
        <w:rPr>
          <w:rFonts w:ascii="Times New Roman;sans-serif" w:hAnsi="Times New Roman;sans-serif"/>
          <w:b w:val="false"/>
          <w:color w:val="000000"/>
          <w:sz w:val="20"/>
          <w:highlight w:val="white"/>
        </w:rPr>
        <w:t xml:space="preserve">This segment’s operating earnings were $27.6 million, an increase of $4.3 million or 19%, compared to the </w:t>
      </w:r>
      <w:r>
        <w:rPr>
          <w:rFonts w:ascii="Times New Roman;sans-serif" w:hAnsi="Times New Roman;sans-serif"/>
          <w:b w:val="false"/>
          <w:color w:val="000000"/>
          <w:sz w:val="20"/>
        </w:rPr>
        <w:t>first</w:t>
      </w:r>
      <w:r>
        <w:rPr>
          <w:color w:val="000000"/>
          <w:highlight w:val="white"/>
        </w:rPr>
        <w:t xml:space="preserve"> </w:t>
      </w:r>
      <w:r>
        <w:rPr>
          <w:rFonts w:ascii="Times New Roman;sans-serif" w:hAnsi="Times New Roman;sans-serif"/>
          <w:b w:val="false"/>
          <w:color w:val="000000"/>
          <w:sz w:val="20"/>
          <w:highlight w:val="white"/>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xml:space="preserve">. The increase in segment operating earnings was primarily driven by higher net sales coupled with a recovery in margins reflecting the Company’s ongoing initiatives aimed at offsetting </w:t>
      </w:r>
      <w:r>
        <w:rPr>
          <w:rFonts w:ascii="Times New Roman;sans-serif" w:hAnsi="Times New Roman;sans-serif"/>
          <w:b w:val="false"/>
          <w:color w:val="000000"/>
          <w:sz w:val="20"/>
        </w:rPr>
        <w:t>the significant inflationary pressures on impacting the business</w:t>
      </w:r>
      <w:r>
        <w:rPr>
          <w:rFonts w:ascii="Times New Roman;sans-serif" w:hAnsi="Times New Roman;sans-serif"/>
          <w:b w:val="false"/>
          <w:color w:val="000000"/>
          <w:sz w:val="20"/>
          <w:highlight w:val="white"/>
        </w:rPr>
        <w:t>.</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spacing w:lineRule="auto" w:line="288" w:before="0" w:after="12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Asia/Pacific represented approximately 19% of the Company’s consolidated net sales in the first quarter of 2023. The segment’s net sales were $96.3 million, a decrease of $19.0 million or 16%, compared to the first quarter of 2022. The decrease in net sales was driven by lower organic sales volumes of 22% and an unfavorable impact from foreign currency translation of 6%, partially offset by higher selling price and product mix of 12%. The decline in organic sales volumes was primarily driven by softer market conditions, including the impact of COVID-19 lockdown measures, primarily in China, as well as lower volumes associated with the Company’s ongoing value-based pricing initiatives. The unfavorable foreign exchange impact was primarily due to the strengthening of the U.S. dollar against the Chinese renminbi as this exchange rate averaged 6.84 Chinese renminbi per U.S. dollar in the first quarter of 2023 compared to 6.35 Chinese renminbi per U.S. dollar in the first quarter of 2022. The increase in selling price and product mix was primarily driven by year-over-year impact of price increases implemented throughout 2022 to offset the significant increases in raw material and other input costs. This segment’s operating earnings were $27.7 million, an increase of $3.2 million or 13% compared to the first quarter of 2022. The increase in segment operating earnings was primarily driven by a recovery in margins reflecting the Company’s ongoing initiatives aimed at offsetting the significant inflationary pressures as well as slightly lower levels of SG&amp;A, which more than offset the decline in net sales.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Factors That May Affect Our Future Results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(Cautionary Statements Under the Private Securities Litigation Reform Act of 1995)</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information included in this Report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including statements regarding the potential effects of the COVID-19 pandemic, the Russia and Ukraine conflict, inflation, bank failures, higher interest rate environment, global supply chain constraints on the Company’s business, results of operations, and financial condition, our expectation that we will maintain sufficient liquidity, remain in compliance with the terms of the Company’s credit facility, expectations about future demand and raw material costs and statements regarding the impact of increased raw material costs and pricing initiatives.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statements with respect to our beliefs, plans, objectives, goals, expectations, anticipations, intentions, financial condition, results of operations, future performance, and business, including:</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impacts on our business as a result of the COVID-19 pandemic;</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timing and extent of the projected impacts on our business as a result of the Ukrainian and Russian conflict and actions taken by various governments and governmental organizations in response;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inflationary pressures, cost increases and the impacts of constraints and disruptions in the global supply chain;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potential benefits of acquisitions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potential for a variety of macroeconomic events, including the possibility of global or regional recessions, inflation generally, continued or accelerated cost increases in prices of raw materials such as oil and increasing interest rates, to impact the value of our assets or result in asset impairments or otherwise adversely affect our business;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current and future results and plans including our sustainability goals;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statements that include the words “may,” “could,” “should,” “would,” “believe,” “expect,” “anticipate,” “estimate,” “intend,” “plan” or similar expressions.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or all of the forward-looking statements in this Report, in the Company’s Annual Report to Shareholders for 2022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major risks and uncertainties include, but are not limited to, the primary and secondary impacts of the COVID-19 pandemic, as well as inflationary pressures, including the potential for continued significant increases in raw material costs, supply chain disruptions, customer financial instability, rising interest rates and the possibility of economic recession,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Therefore, we caution you not to place undue reliance on our forward-looking statements. For more information regarding these risks and uncertainties as well as certain additional risks that we face, refer to the Risk Factors section, which appears in Item 1A in our 2022 Form 10-K and in our quarterly and other reports filed from time to time with the SEC. This discussion is provided as permitted by the Private Securities Litigation Reform Act of 1995.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Quaker Houghton on the Internet</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evaluated the information required under this Item that was disclosed in Part II, Item 7A, of our Annual Report on Form 10-K for the year ended December 31, 2022, and we believe there has been no material change to that information, except the interest rate risk noted below.</w:t>
      </w:r>
    </w:p>
    <w:p>
      <w:pPr>
        <w:pStyle w:val="TextBody"/>
        <w:spacing w:lineRule="auto" w:line="288" w:before="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Interest Rate Risk. </w:t>
      </w:r>
    </w:p>
    <w:p>
      <w:pPr>
        <w:pStyle w:val="TextBody"/>
        <w:spacing w:lineRule="auto" w:line="288" w:before="0" w:after="120"/>
        <w:ind w:left="0" w:right="0" w:firstLine="360"/>
        <w:rPr/>
      </w:pPr>
      <w:r>
        <w:rPr>
          <w:rFonts w:ascii="Times New Roman;sans-serif" w:hAnsi="Times New Roman;sans-serif"/>
          <w:b w:val="false"/>
          <w:color w:val="000000"/>
          <w:sz w:val="20"/>
          <w:highlight w:val="white"/>
        </w:rPr>
        <w:t xml:space="preserve">During June 2022, the Company entered into an amendment to its primary credit facility (the “Original Credit Facility”, or as amended, the “Credit Facility”). See </w:t>
      </w:r>
      <w:r>
        <w:rPr>
          <w:rFonts w:ascii="Times New Roman;sans-serif" w:hAnsi="Times New Roman;sans-serif"/>
          <w:b w:val="false"/>
          <w:color w:val="000000"/>
          <w:sz w:val="20"/>
        </w:rPr>
        <w:t>Note 20 of Notes to Consolidated Financial Statements included in Item 8 of our 2022</w:t>
      </w:r>
      <w:r>
        <w:rPr>
          <w:color w:val="000000"/>
          <w:highlight w:val="white"/>
        </w:rPr>
        <w:t xml:space="preserve"> </w:t>
      </w:r>
      <w:r>
        <w:rPr>
          <w:rFonts w:ascii="Times New Roman;sans-serif" w:hAnsi="Times New Roman;sans-serif"/>
          <w:b w:val="false"/>
          <w:color w:val="000000"/>
          <w:sz w:val="20"/>
          <w:highlight w:val="white"/>
        </w:rPr>
        <w:t xml:space="preserve">Form 10-K and Note 14 of Notes to Condensed Consolidated Financial Statements, which appears in Item 1 of this Report. As of December 31, 2022, borrowings under the Credit Facility bear interest at either term Secured Overnight Financing Rate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 As of December 31, 2022, and March 31, 2023, the Company had outstanding borrowings under the Credit Facility of approximately $943.5 million and $931.5 million, respectively. The weighted average interest rate applicable on outstanding borrowings under the Credit Facility was approximately 4.9% and </w:t>
      </w:r>
      <w:r>
        <w:rPr>
          <w:rFonts w:ascii="Times New Roman;sans-serif" w:hAnsi="Times New Roman;sans-serif"/>
          <w:b w:val="false"/>
          <w:color w:val="000000"/>
          <w:sz w:val="20"/>
        </w:rPr>
        <w:t>5.9%</w:t>
      </w:r>
      <w:r>
        <w:rPr>
          <w:color w:val="000000"/>
          <w:highlight w:val="white"/>
        </w:rPr>
        <w:t xml:space="preserve"> </w:t>
      </w:r>
      <w:r>
        <w:rPr>
          <w:rFonts w:ascii="Times New Roman;sans-serif" w:hAnsi="Times New Roman;sans-serif"/>
          <w:b w:val="false"/>
          <w:color w:val="000000"/>
          <w:sz w:val="20"/>
          <w:highlight w:val="white"/>
        </w:rPr>
        <w:t xml:space="preserve">as of December 31, 2022, and March 31, 2023, respectively. The weighted average interest rate applicable on outstanding borrowings under the Original Credit Facility and the Credit Facility during the year ended December 31, 2022 was approximately 3.0% and the three months ended March 31, 2023 was approximately </w:t>
      </w:r>
      <w:r>
        <w:rPr>
          <w:rFonts w:ascii="Times New Roman;sans-serif" w:hAnsi="Times New Roman;sans-serif"/>
          <w:b w:val="false"/>
          <w:color w:val="000000"/>
          <w:sz w:val="20"/>
        </w:rPr>
        <w:t>5.8%</w:t>
      </w:r>
      <w:r>
        <w:rPr>
          <w:rFonts w:ascii="Times New Roman;sans-serif" w:hAnsi="Times New Roman;sans-serif"/>
          <w:b w:val="false"/>
          <w:color w:val="000000"/>
          <w:sz w:val="20"/>
          <w:highlight w:val="white"/>
        </w:rPr>
        <w:t>. An interest rate change of 100 basis points would result in an approximate $9.4 million and $9.3 million increase or decrease to interest expense for the year ended December 31, 2022 and the year ended December 31, 2023, respectively.</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into an average fixed rate obligation of 3.64% plus an applicable margin as provided in the Credit Facility based on the Company’s consolidated net leverage ratio. As of March 31, 2023, the aggregate interest rate on the swaps, including the fixed base rate plus the applicable margin, was 5.2%. These interest rate swaps are designated and qualify as cash flow hedges. The Company has previously used derivative financial instruments primarily for the purpose of hedging exposures to fluctuations in interest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20"/>
        <w:ind w:left="0" w:right="0" w:firstLine="360"/>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March 31, 2023, the end of the period covered by this Report, our disclosure controls and procedures (as defined in Rule 13a-15(e) under the Exchange Act) were effective.</w:t>
      </w:r>
    </w:p>
    <w:p>
      <w:pPr>
        <w:pStyle w:val="TextBody"/>
        <w:spacing w:lineRule="auto" w:line="288" w:before="0" w:after="120"/>
        <w:ind w:left="0" w:right="0" w:firstLine="360"/>
        <w:rPr/>
      </w:pPr>
      <w:r>
        <w:rPr>
          <w:rFonts w:ascii="Times New Roman;sans-serif" w:hAnsi="Times New Roman;sans-serif"/>
          <w:b w:val="false"/>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March 31, 2023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ans-serif" w:hAnsi="Times New Roman;sans-serif"/>
          <w:b w:val="false"/>
          <w:color w:val="000000"/>
          <w:sz w:val="20"/>
          <w:highlight w:val="white"/>
        </w:rPr>
        <w:t>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Items 3, 4 and 5 of Part II are inapplicable and have been omitted.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the information in Note 18 of Notes to the Condensed Consolidated Financial Statements in Part I, Item 1,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2022 Form 10-K. There have been no material changes to the risk factors described therein.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CellMar>
          <w:top w:w="28" w:type="dxa"/>
          <w:left w:w="28" w:type="dxa"/>
          <w:bottom w:w="28" w:type="dxa"/>
          <w:right w:w="28" w:type="dxa"/>
        </w:tblCellMar>
      </w:tblPr>
      <w:tblGrid>
        <w:gridCol w:w="529"/>
        <w:gridCol w:w="406"/>
        <w:gridCol w:w="409"/>
        <w:gridCol w:w="109"/>
        <w:gridCol w:w="109"/>
        <w:gridCol w:w="109"/>
        <w:gridCol w:w="355"/>
        <w:gridCol w:w="355"/>
        <w:gridCol w:w="356"/>
        <w:gridCol w:w="109"/>
        <w:gridCol w:w="109"/>
        <w:gridCol w:w="109"/>
        <w:gridCol w:w="218"/>
        <w:gridCol w:w="763"/>
        <w:gridCol w:w="112"/>
        <w:gridCol w:w="109"/>
        <w:gridCol w:w="109"/>
        <w:gridCol w:w="109"/>
        <w:gridCol w:w="742"/>
        <w:gridCol w:w="742"/>
        <w:gridCol w:w="745"/>
        <w:gridCol w:w="109"/>
        <w:gridCol w:w="109"/>
        <w:gridCol w:w="109"/>
        <w:gridCol w:w="455"/>
        <w:gridCol w:w="2368"/>
        <w:gridCol w:w="342"/>
      </w:tblGrid>
      <w:tr>
        <w:trPr/>
        <w:tc>
          <w:tcPr>
            <w:tcW w:w="52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13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t>
              <w:br/>
              <w:t>Total Number</w:t>
              <w:br/>
              <w:t>of Shares</w:t>
              <w:br/>
              <w:t>Purchased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w:t>
              <w:br/>
              <w:t>Average</w:t>
              <w:br/>
              <w:t>Price Paid</w:t>
              <w:br/>
              <w:t>Per Share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w:t>
              <w:br/>
              <w:t>Total Number of</w:t>
              <w:br/>
              <w:t>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w:t>
              <w:br/>
              <w:t>Approximate Dollar Value of Shares that May Yet be Purchased Under the Plans or Programs (3)</w:t>
            </w:r>
          </w:p>
        </w:tc>
      </w:tr>
      <w:tr>
        <w:trPr/>
        <w:tc>
          <w:tcPr>
            <w:tcW w:w="13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January 1 - January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196.87</w:t>
            </w:r>
            <w:r>
              <w:rPr>
                <w:color w:val="000000"/>
              </w:rPr>
              <w:t>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6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86,865,026</w:t>
            </w:r>
            <w:r>
              <w:rPr>
                <w:color w:val="000000"/>
              </w:rPr>
              <w:t> </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30,521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215.44</w:t>
            </w: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68"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86,865,026</w:t>
            </w:r>
            <w:r>
              <w:rPr>
                <w:color w:val="000000"/>
              </w:rPr>
              <w:t>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5,033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193.28</w:t>
            </w: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68"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86,865,026</w:t>
            </w:r>
            <w:r>
              <w:rPr>
                <w:color w:val="000000"/>
              </w:rPr>
              <w:t> </w:t>
            </w:r>
          </w:p>
        </w:tc>
        <w:tc>
          <w:tcPr>
            <w:tcW w:w="3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35,657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201.86</w:t>
            </w:r>
            <w:r>
              <w:rPr>
                <w:color w:val="000000"/>
              </w:rPr>
              <w:t> </w:t>
            </w:r>
          </w:p>
        </w:tc>
        <w:tc>
          <w:tcPr>
            <w:tcW w:w="11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6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86,865,026</w:t>
            </w:r>
            <w:r>
              <w:rPr>
                <w:color w:val="000000"/>
              </w:rPr>
              <w:t> </w:t>
            </w:r>
          </w:p>
        </w:tc>
        <w:tc>
          <w:tcPr>
            <w:tcW w:w="34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March 31, 2023.</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Limitation on the Payment of Dividends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Credit Facility has certain limitations on the payment of dividends and other so-called restricted payment covenants. See Note 14 of Notes to Condensed Consolidated Financial Statements, in Part I, Item 1,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 Exhibits</w:t>
      </w:r>
    </w:p>
    <w:tbl>
      <w:tblPr>
        <w:tblW w:w="10205" w:type="dxa"/>
        <w:jc w:val="left"/>
        <w:tblInd w:w="0" w:type="dxa"/>
        <w:tblCellMar>
          <w:top w:w="28" w:type="dxa"/>
          <w:left w:w="28" w:type="dxa"/>
          <w:bottom w:w="28" w:type="dxa"/>
          <w:right w:w="28" w:type="dxa"/>
        </w:tblCellMar>
      </w:tblPr>
      <w:tblGrid>
        <w:gridCol w:w="252"/>
        <w:gridCol w:w="221"/>
        <w:gridCol w:w="222"/>
        <w:gridCol w:w="109"/>
        <w:gridCol w:w="109"/>
        <w:gridCol w:w="109"/>
        <w:gridCol w:w="2685"/>
        <w:gridCol w:w="2685"/>
        <w:gridCol w:w="3813"/>
      </w:tblGrid>
      <w:tr>
        <w:trPr/>
        <w:tc>
          <w:tcPr>
            <w:tcW w:w="25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pPr>
            <w:hyperlink r:id="rId2">
              <w:r>
                <w:rPr>
                  <w:rStyle w:val="InternetLink"/>
                </w:rPr>
                <w:t>Amended and Restated Articles of Incorporation (as amended through July 24, 2019). </w:t>
              </w:r>
            </w:hyperlink>
            <w:hyperlink r:id="rId3">
              <w:r>
                <w:rPr>
                  <w:rStyle w:val="InternetLink"/>
                </w:rPr>
                <w:t>Incorporated by reference to Exhibit 3.1 as filed by the Registrant with its quarterly report on Form 10-Q filed on August 1, 2019.</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r:id="rId4">
              <w:r>
                <w:rPr>
                  <w:rStyle w:val="InternetLink"/>
                </w:rPr>
                <w:t xml:space="preserve">Amended and Restated By-laws (effective December 19, 2022). </w:t>
              </w:r>
            </w:hyperlink>
            <w:hyperlink r:id="rId5">
              <w:r>
                <w:rPr>
                  <w:rStyle w:val="InternetLink"/>
                </w:rPr>
                <w:t>Incorporated by reference to Exhibit 3.1 as filed by the Registrant within its current report on Form 8-K on December 20, 2022</w:t>
              </w:r>
            </w:hyperlink>
            <w:hyperlink r:id="rId6">
              <w:r>
                <w:rPr>
                  <w:rStyle w:val="InternetLink"/>
                </w:rPr>
                <w:t>.</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pPr>
            <w:hyperlink w:anchor="kwr2023q1-exx101.htm">
              <w:r>
                <w:rPr>
                  <w:rStyle w:val="InternetLink"/>
                  <w:rFonts w:ascii="Times New Roman;sans-serif" w:hAnsi="Times New Roman;sans-serif"/>
                  <w:b w:val="false"/>
                  <w:color w:val="0000FF"/>
                  <w:sz w:val="20"/>
                  <w:u w:val="single"/>
                </w:rPr>
                <w:t>Employment Agreement by and between the Registrant and Jeffrey Fleck dated January 23, 2023, effective February 27, 2023.*†</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pPr>
            <w:hyperlink w:anchor="kwr2023q1-exx102.htm">
              <w:r>
                <w:rPr>
                  <w:rStyle w:val="InternetLink"/>
                </w:rPr>
                <w:t>Form of Change of Control Agreement by and between the Registrant and certain executive officers (including Jeffrey Fleck).</w:t>
              </w:r>
            </w:hyperlink>
            <w:hyperlink w:anchor="kwr2023q1-exx102.htm">
              <w:r>
                <w:rPr>
                  <w:rStyle w:val="InternetLink"/>
                </w:rPr>
                <w:t>*</w:t>
              </w:r>
            </w:hyperlink>
            <w:hyperlink w:anchor="kwr2023q1-exx102.htm">
              <w:r>
                <w:rPr>
                  <w:rStyle w:val="InternetLink"/>
                  <w:color w:val="0000FF"/>
                  <w:highlight w:val="white"/>
                  <w:u w:val="single"/>
                </w:rPr>
                <w:t>†</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kwr2023q1-exx103.htm">
              <w:r>
                <w:rPr>
                  <w:rStyle w:val="InternetLink"/>
                  <w:rFonts w:ascii="Times New Roman;sans-serif" w:hAnsi="Times New Roman;sans-serif"/>
                  <w:b w:val="false"/>
                  <w:color w:val="0000FF"/>
                  <w:sz w:val="20"/>
                  <w:u w:val="single"/>
                </w:rPr>
                <w:t>Form of Performance Stock Unit Award Agreement for executive officers and other employees under Registrant’s 2016 Long-Term Performance Incentive Plan.*†</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w:anchor="kwr2023q1-exx311.htm">
              <w:r>
                <w:rPr>
                  <w:rStyle w:val="InternetLink"/>
                  <w:rFonts w:ascii="Times New Roman;sans-serif" w:hAnsi="Times New Roman;sans-serif"/>
                  <w:b w:val="false"/>
                  <w:color w:val="0000FF"/>
                  <w:sz w:val="20"/>
                  <w:u w:val="single"/>
                </w:rPr>
                <w:t>Certification of Chief Executive Officer of the Company pursuant to Rule 13a-14(a) of the Securities Exchange Act of 1934.*</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w:anchor="kwr2023q1-exx312.htm">
              <w:r>
                <w:rPr>
                  <w:rStyle w:val="InternetLink"/>
                  <w:rFonts w:ascii="Times New Roman;sans-serif" w:hAnsi="Times New Roman;sans-serif"/>
                  <w:b w:val="false"/>
                  <w:color w:val="0000FF"/>
                  <w:sz w:val="20"/>
                  <w:u w:val="single"/>
                </w:rPr>
                <w:t>Certification of Chief Financial Officer of the Company pursuant to Rule 13a-14(a) of the Securities Exchange Act of 1934.*</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w:anchor="kwr2023q1-exx321.htm">
              <w:r>
                <w:rPr>
                  <w:rStyle w:val="InternetLink"/>
                  <w:rFonts w:ascii="Times New Roman;sans-serif" w:hAnsi="Times New Roman;sans-serif"/>
                  <w:b w:val="false"/>
                  <w:color w:val="0000FF"/>
                  <w:sz w:val="20"/>
                  <w:u w:val="single"/>
                </w:rPr>
                <w:t>Certification of Chief Executive Officer of the Company Pursuant to 18 U.S. C. Section 1350.**</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w:anchor="kwr2023q1-exx322.htm">
              <w:r>
                <w:rPr>
                  <w:rStyle w:val="InternetLink"/>
                  <w:rFonts w:ascii="Times New Roman;sans-serif" w:hAnsi="Times New Roman;sans-serif"/>
                  <w:b w:val="false"/>
                  <w:color w:val="0000FF"/>
                  <w:sz w:val="20"/>
                  <w:u w:val="single"/>
                </w:rPr>
                <w:t>Certification of Chief Financial Officer of the Company Pursuant to 18 U.S. C. Section 1350.**</w:t>
              </w:r>
            </w:hyperlink>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1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101.INS)*</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lineRule="auto" w:line="288" w:before="0" w:after="120"/>
        <w:ind w:left="0" w:right="0" w:hanging="360"/>
        <w:rPr>
          <w:color w:val="000000"/>
          <w:highlight w:val="white"/>
        </w:rPr>
      </w:pPr>
      <w:r>
        <w:rPr>
          <w:color w:val="000000"/>
          <w:highlight w:val="white"/>
        </w:rPr>
        <w:t xml:space="preserve">† </w:t>
      </w:r>
      <w:r>
        <w:rPr>
          <w:rFonts w:ascii="Times New Roman;sans-serif" w:hAnsi="Times New Roman;sans-serif"/>
          <w:b w:val="false"/>
          <w:color w:val="000000"/>
          <w:sz w:val="20"/>
          <w:highlight w:val="white"/>
        </w:rPr>
        <w:t>Management contract or compensatory plan.</w:t>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20"/>
        <w:rPr/>
      </w:pPr>
      <w:hyperlink w:anchor="iab397af51de14f6e9eb865a603eb3aad_7">
        <w:r>
          <w:rPr>
            <w:rStyle w:val="InternetLink"/>
            <w:rFonts w:ascii="Times New Roman;sans-serif" w:hAnsi="Times New Roman;sans-serif"/>
            <w:b w:val="false"/>
            <w:color w:val="0000FF"/>
            <w:sz w:val="20"/>
            <w:u w:val="single"/>
          </w:rPr>
          <w:t>Table of Content</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CellMar>
          <w:top w:w="28" w:type="dxa"/>
          <w:left w:w="28" w:type="dxa"/>
          <w:bottom w:w="28" w:type="dxa"/>
          <w:right w:w="28" w:type="dxa"/>
        </w:tblCellMar>
      </w:tblPr>
      <w:tblGrid>
        <w:gridCol w:w="454"/>
        <w:gridCol w:w="399"/>
        <w:gridCol w:w="402"/>
        <w:gridCol w:w="2619"/>
        <w:gridCol w:w="2619"/>
        <w:gridCol w:w="3712"/>
      </w:tblGrid>
      <w:tr>
        <w:trPr/>
        <w:tc>
          <w:tcPr>
            <w:tcW w:w="454"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3712" w:type="dxa"/>
            <w:tcBorders/>
            <w:shd w:fill="auto" w:val="clear"/>
            <w:vAlign w:val="center"/>
          </w:tcPr>
          <w:p>
            <w:pPr>
              <w:pStyle w:val="TableContents"/>
              <w:spacing w:before="0" w:after="283"/>
              <w:rPr>
                <w:sz w:val="4"/>
                <w:szCs w:val="4"/>
              </w:rPr>
            </w:pPr>
            <w:r>
              <w:rPr>
                <w:sz w:val="4"/>
                <w:szCs w:val="4"/>
              </w:rPr>
            </w:r>
          </w:p>
        </w:tc>
      </w:tr>
      <w:tr>
        <w:trPr/>
        <w:tc>
          <w:tcPr>
            <w:tcW w:w="1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1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W. Hostetter</w:t>
            </w:r>
          </w:p>
        </w:tc>
      </w:tr>
      <w:tr>
        <w:trPr/>
        <w:tc>
          <w:tcPr>
            <w:tcW w:w="1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895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Shane W. Hostetter, Senior Vice President, Chief Financial Officer (officer duly authorized on behalf of, and principal financial officer of, the Registrant)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drawing>
          <wp:inline distT="0" distB="63500" distL="0" distR="0">
            <wp:extent cx="3429000" cy="79057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7"/>
                    <a:stretch>
                      <a:fillRect/>
                    </a:stretch>
                  </pic:blipFill>
                  <pic:spPr bwMode="auto">
                    <a:xfrm>
                      <a:off x="0" y="0"/>
                      <a:ext cx="3429000" cy="790575"/>
                    </a:xfrm>
                    <a:prstGeom prst="rect">
                      <a:avLst/>
                    </a:prstGeom>
                  </pic:spPr>
                </pic:pic>
              </a:graphicData>
            </a:graphic>
          </wp:inline>
        </w:drawing>
      </w:r>
    </w:p>
    <w:p>
      <w:pPr>
        <w:pStyle w:val="TextBody"/>
        <w:spacing w:before="0" w:after="0"/>
        <w:jc w:val="both"/>
        <w:rPr/>
      </w:pPr>
      <w:r>
        <w:rPr/>
      </w:r>
    </w:p>
    <w:p>
      <w:pPr>
        <w:pStyle w:val="TextBody"/>
        <w:spacing w:lineRule="auto" w:line="192" w:before="0" w:after="0"/>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EMPLOYMENT AGREEMENT</w:t>
      </w:r>
    </w:p>
    <w:p>
      <w:pPr>
        <w:pStyle w:val="TextBody"/>
        <w:spacing w:before="0" w:after="120"/>
        <w:rPr/>
      </w:pPr>
      <w:r>
        <w:rPr/>
      </w: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January 23, 2023</w:t>
      </w:r>
    </w:p>
    <w:tbl>
      <w:tblPr>
        <w:tblW w:w="2204" w:type="dxa"/>
        <w:jc w:val="left"/>
        <w:tblInd w:w="0" w:type="dxa"/>
        <w:tblCellMar>
          <w:top w:w="28" w:type="dxa"/>
          <w:left w:w="28" w:type="dxa"/>
          <w:bottom w:w="28" w:type="dxa"/>
          <w:right w:w="28" w:type="dxa"/>
        </w:tblCellMar>
      </w:tblPr>
      <w:tblGrid>
        <w:gridCol w:w="276"/>
        <w:gridCol w:w="244"/>
        <w:gridCol w:w="245"/>
        <w:gridCol w:w="421"/>
        <w:gridCol w:w="421"/>
        <w:gridCol w:w="597"/>
      </w:tblGrid>
      <w:tr>
        <w:trPr/>
        <w:tc>
          <w:tcPr>
            <w:tcW w:w="27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1439" w:type="dxa"/>
            <w:gridSpan w:val="3"/>
            <w:tcBorders/>
            <w:shd w:fill="auto" w:val="clear"/>
            <w:tcMar>
              <w:top w:w="0" w:type="dxa"/>
              <w:left w:w="0" w:type="dxa"/>
              <w:bottom w:w="0" w:type="dxa"/>
              <w:right w:w="0" w:type="dxa"/>
            </w:tcMar>
            <w:vAlign w:val="center"/>
          </w:tcPr>
          <w:p>
            <w:pPr>
              <w:pStyle w:val="TableContents"/>
              <w:spacing w:lineRule="auto" w:line="417" w:before="0" w:after="120"/>
              <w:jc w:val="both"/>
              <w:rPr>
                <w:rFonts w:ascii="Times New Roman;sans-serif" w:hAnsi="Times New Roman;sans-serif"/>
                <w:b/>
                <w:color w:val="000000"/>
                <w:sz w:val="20"/>
              </w:rPr>
            </w:pPr>
            <w:r>
              <w:rPr>
                <w:rFonts w:ascii="Times New Roman;sans-serif" w:hAnsi="Times New Roman;sans-serif"/>
                <w:b/>
                <w:color w:val="000000"/>
                <w:sz w:val="20"/>
              </w:rPr>
              <w:t>Jeff Fleck</w:t>
            </w:r>
          </w:p>
          <w:p>
            <w:pPr>
              <w:pStyle w:val="TableContents"/>
              <w:spacing w:lineRule="auto" w:line="240" w:before="0" w:after="120"/>
              <w:jc w:val="left"/>
              <w:rPr>
                <w:rFonts w:ascii="Times New Roman;sans-serif" w:hAnsi="Times New Roman;sans-serif"/>
                <w:b/>
                <w:color w:val="000000"/>
                <w:sz w:val="20"/>
              </w:rPr>
            </w:pPr>
            <w:r>
              <w:rPr>
                <w:rFonts w:ascii="Times New Roman;sans-serif" w:hAnsi="Times New Roman;sans-serif"/>
                <w:b/>
                <w:color w:val="000000"/>
                <w:sz w:val="20"/>
              </w:rPr>
              <w:t>[ REDACTED ]</w:t>
            </w:r>
          </w:p>
        </w:tc>
      </w:tr>
    </w:tbl>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to this Employment Agreement (“Agreement”) are Jeff Fleck (“You” or the “Executive”) and Quaker Chemical Corporation, d/b/a Quaker Houghton, a Pennsylvania corporation (“Quaker Houghton” or the “Company”).</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hereby appointed as the Company’s Senior Vice President, Chief Global Supply Chain Officer (“GSCO”) with a start date of in or about February 27, 2023. </w:t>
      </w:r>
    </w:p>
    <w:p>
      <w:pPr>
        <w:pStyle w:val="TextBody"/>
        <w:spacing w:lineRule="auto" w:line="288" w:before="0" w:after="120"/>
        <w:jc w:val="both"/>
        <w:rPr>
          <w:color w:val="000000"/>
        </w:rPr>
      </w:pPr>
      <w:r>
        <w:rPr>
          <w:color w:val="000000"/>
        </w:rPr>
        <w:t>    </w:t>
      </w:r>
      <w:r>
        <w:rPr>
          <w:rFonts w:ascii="Times New Roman;sans-serif" w:hAnsi="Times New Roman;sans-serif"/>
          <w:b w:val="false"/>
          <w:color w:val="000000"/>
          <w:sz w:val="20"/>
        </w:rPr>
        <w:t>NOW THEREFORE in consideration of the mutual promises and covenants herein contained and intending to be legally bound hereby the parties hereto agree as follows:</w:t>
      </w:r>
    </w:p>
    <w:p>
      <w:pPr>
        <w:pStyle w:val="TextBody"/>
        <w:spacing w:lineRule="auto" w:line="288" w:before="0" w:after="120"/>
        <w:jc w:val="both"/>
        <w:rPr/>
      </w:pPr>
      <w:r>
        <w:rPr>
          <w:rFonts w:ascii="Times New Roman;sans-serif" w:hAnsi="Times New Roman;sans-serif"/>
          <w:b/>
          <w:color w:val="000000"/>
          <w:sz w:val="20"/>
        </w:rPr>
        <w:t>1.</w:t>
      </w:r>
      <w:r>
        <w:rPr>
          <w:color w:val="000000"/>
        </w:rPr>
        <w:t>    </w:t>
      </w:r>
      <w:r>
        <w:rPr>
          <w:rFonts w:ascii="Times New Roman;sans-serif" w:hAnsi="Times New Roman;sans-serif"/>
          <w:b/>
          <w:color w:val="000000"/>
          <w:sz w:val="20"/>
          <w:u w:val="single"/>
        </w:rPr>
        <w:t>Duties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Quaker Houghton agrees to employ you and you agree to serve as Quaker Houghton’s GSCO.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 </w:t>
      </w:r>
    </w:p>
    <w:p>
      <w:pPr>
        <w:pStyle w:val="TextBody"/>
        <w:spacing w:lineRule="auto" w:line="288" w:before="0" w:after="120"/>
        <w:jc w:val="both"/>
        <w:rPr/>
      </w:pPr>
      <w:r>
        <w:rPr>
          <w:rFonts w:ascii="Times New Roman;sans-serif" w:hAnsi="Times New Roman;sans-serif"/>
          <w:b/>
          <w:color w:val="000000"/>
          <w:sz w:val="20"/>
        </w:rPr>
        <w:t>2.    </w:t>
      </w:r>
      <w:r>
        <w:rPr>
          <w:rFonts w:ascii="Times New Roman;sans-serif" w:hAnsi="Times New Roman;sans-serif"/>
          <w:b/>
          <w:color w:val="000000"/>
          <w:sz w:val="20"/>
          <w:u w:val="single"/>
        </w:rPr>
        <w:t>Compensation</w:t>
      </w:r>
    </w:p>
    <w:p>
      <w:pPr>
        <w:pStyle w:val="TextBody"/>
        <w:spacing w:lineRule="auto" w:line="288" w:before="0" w:after="120"/>
        <w:jc w:val="both"/>
        <w:rPr>
          <w:color w:val="000000"/>
        </w:rPr>
      </w:pPr>
      <w:r>
        <w:rPr>
          <w:color w:val="000000"/>
        </w:rPr>
        <w:t>    </w:t>
      </w:r>
      <w:r>
        <w:rPr>
          <w:rFonts w:ascii="Times New Roman;sans-serif" w:hAnsi="Times New Roman;sans-serif"/>
          <w:b w:val="false"/>
          <w:color w:val="000000"/>
          <w:sz w:val="20"/>
        </w:rPr>
        <w:t xml:space="preserve">Your base salary will be determined from time to time by the Quaker Houghton Board of Directors. In addition, you will be entitled to participate, to the extent eligible, in any of Quaker Houghton’s annual and long-term incentive plans, retirement savings plan (401k plan), and will be entitled to vacations, paid holidays, and medical, dental, and other benefits as are made generally available by Quaker Houghton to its full-time U.S. employees. During your employment with Quaker Houghton, your salary will not be reduced by Quaker Houghton without your prior written consent. Your initial compensation and benefits are outlined on Addendum 1, which is attached hereto and made a part hereof. </w:t>
      </w:r>
    </w:p>
    <w:p>
      <w:pPr>
        <w:pStyle w:val="TextBody"/>
        <w:spacing w:lineRule="auto" w:line="288" w:before="0" w:after="120"/>
        <w:jc w:val="both"/>
        <w:rPr/>
      </w:pPr>
      <w:r>
        <w:rPr>
          <w:rFonts w:ascii="Times New Roman;sans-serif" w:hAnsi="Times New Roman;sans-serif"/>
          <w:b/>
          <w:color w:val="000000"/>
          <w:sz w:val="20"/>
        </w:rPr>
        <w:t>3.    </w:t>
      </w:r>
      <w:r>
        <w:rPr>
          <w:rFonts w:ascii="Times New Roman;sans-serif" w:hAnsi="Times New Roman;sans-serif"/>
          <w:b/>
          <w:color w:val="000000"/>
          <w:sz w:val="20"/>
          <w:u w:val="single"/>
        </w:rPr>
        <w:t>Term of Employment</w:t>
      </w:r>
      <w:r>
        <w:rPr>
          <w:rFonts w:ascii="Times New Roman;sans-serif" w:hAnsi="Times New Roman;sans-serif"/>
          <w:b w:val="false"/>
          <w:color w:val="000000"/>
          <w:sz w:val="20"/>
        </w:rPr>
        <w: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 Quaker has the right to terminate your employment upon less than ninety (90) days’ notice for Cause (as defined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2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r>
                    </w:p>
                  </w:txbxContent>
                </v:textbox>
              </v:rect>
            </w:pict>
          </mc:Fallback>
        </mc:AlternateContent>
      </w:r>
    </w:p>
    <w:p>
      <w:pPr>
        <w:pStyle w:val="TextBody"/>
        <w:spacing w:lineRule="auto" w:line="288" w:before="0" w:after="0"/>
        <w:rPr/>
      </w:pPr>
      <w:r>
        <w:rPr>
          <w:rFonts w:ascii="Times New Roman;sans-serif" w:hAnsi="Times New Roman;sans-serif"/>
          <w:b/>
          <w:color w:val="000000"/>
          <w:sz w:val="20"/>
        </w:rPr>
        <w:t>4.    </w:t>
      </w:r>
      <w:r>
        <w:rPr>
          <w:rFonts w:ascii="Times New Roman;sans-serif" w:hAnsi="Times New Roman;sans-serif"/>
          <w:b/>
          <w:color w:val="000000"/>
          <w:sz w:val="20"/>
          <w:u w:val="single"/>
        </w:rPr>
        <w:t>Covenant Not to Disclose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As GSCO,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 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any and all materials in your possession or control which include or contain any Quaker Houghton Confidential Information.</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You acknowledge that, by this Section 4(b), you have been notified in accordance with the Defend Trade Secrets Act that, notwithstanding the foregoing:</w:t>
      </w:r>
    </w:p>
    <w:p>
      <w:pPr>
        <w:pStyle w:val="TextBody"/>
        <w:spacing w:lineRule="auto" w:line="288" w:before="0" w:after="12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pStyle w:val="TextBody"/>
        <w:spacing w:lineRule="auto" w:line="288" w:before="0" w:after="12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c.    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pStyle w:val="TextBody"/>
        <w:spacing w:lineRule="auto" w:line="288" w:before="0" w:after="120"/>
        <w:jc w:val="both"/>
        <w:rPr/>
      </w:pPr>
      <w:r>
        <w:rPr>
          <w:rFonts w:ascii="Times New Roman;sans-serif" w:hAnsi="Times New Roman;sans-serif"/>
          <w:b/>
          <w:color w:val="000000"/>
          <w:sz w:val="20"/>
        </w:rPr>
        <w:t>5.    </w:t>
      </w:r>
      <w:r>
        <w:rPr>
          <w:rFonts w:ascii="Times New Roman;sans-serif" w:hAnsi="Times New Roman;sans-serif"/>
          <w:b/>
          <w:color w:val="000000"/>
          <w:sz w:val="20"/>
          <w:u w:val="single"/>
        </w:rPr>
        <w:t>Covenant Not to Compete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your position of GSCO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 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r>
        <w:br w:type="page"/>
      </w:r>
    </w:p>
    <w:p>
      <w:pPr>
        <w:pStyle w:val="TextBody"/>
        <w:spacing w:before="0" w:after="12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Contractual Restrictions</w:t>
      </w:r>
      <w:r>
        <w:rPr>
          <w:color w:val="000000"/>
        </w:rPr>
        <w:t xml:space="preserve">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pStyle w:val="TextBody"/>
        <w:spacing w:lineRule="auto" w:line="288" w:before="0" w:after="120"/>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Inventions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pStyle w:val="TextBody"/>
        <w:spacing w:lineRule="auto" w:line="288" w:before="0" w:after="120"/>
        <w:ind w:left="0" w:right="0" w:hanging="720"/>
        <w:rPr/>
      </w:pPr>
      <w:r>
        <w:rPr>
          <w:rFonts w:ascii="Times New Roman;sans-serif" w:hAnsi="Times New Roman;sans-serif"/>
          <w:b/>
          <w:color w:val="000000"/>
          <w:sz w:val="20"/>
        </w:rPr>
        <w:t>8.</w:t>
      </w:r>
      <w:r>
        <w:rPr>
          <w:rFonts w:ascii="Times New Roman;sans-serif" w:hAnsi="Times New Roman;sans-serif"/>
          <w:b/>
          <w:color w:val="000000"/>
          <w:sz w:val="20"/>
          <w:u w:val="single"/>
        </w:rPr>
        <w:t>Termination</w:t>
      </w:r>
      <w:r>
        <w:rPr>
          <w:rFonts w:ascii="Times New Roman;sans-serif" w:hAnsi="Times New Roman;sans-serif"/>
          <w:b w:val="false"/>
          <w:color w:val="000000"/>
          <w:sz w:val="20"/>
        </w:rPr>
        <w:t xml:space="preserve">.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the receipt of your request; and</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provided you sign a Release within 45 days of the later of the date you receive the Release or your Separation from Service. Continuation of all medical and dental coverage’s will also be available for 18 months at a level equal to the coverage provided before your Separation from Service.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r>
        <w:br w:type="page"/>
      </w:r>
    </w:p>
    <w:p>
      <w:pPr>
        <w:pStyle w:val="TextBody"/>
        <w:spacing w:before="0" w:after="12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ind w:left="0" w:right="0" w:hanging="360"/>
        <w:jc w:val="both"/>
        <w:rPr/>
      </w:pPr>
      <w:r>
        <w:rPr>
          <w:rFonts w:ascii="Times New Roman;sans-serif" w:hAnsi="Times New Roman;sans-serif"/>
          <w:b w:val="false"/>
          <w:color w:val="000000"/>
          <w:sz w:val="20"/>
        </w:rPr>
        <w:t>(c)D</w:t>
      </w:r>
      <w:r>
        <w:rPr>
          <w:rFonts w:ascii="Times New Roman;sans-serif" w:hAnsi="Times New Roman;sans-serif"/>
          <w:b w:val="false"/>
          <w:color w:val="000000"/>
          <w:sz w:val="20"/>
          <w:u w:val="single"/>
        </w:rPr>
        <w:t>isability of Executive</w:t>
      </w:r>
      <w:r>
        <w:rPr>
          <w:rFonts w:ascii="Times New Roman;sans-serif" w:hAnsi="Times New Roman;sans-serif"/>
          <w:b w:val="false"/>
          <w:color w:val="000000"/>
          <w:sz w:val="20"/>
        </w:rPr>
        <w:t xml:space="preserve">.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 </w:t>
      </w:r>
    </w:p>
    <w:p>
      <w:pPr>
        <w:pStyle w:val="TextBody"/>
        <w:spacing w:lineRule="auto" w:line="288" w:before="0" w:after="120"/>
        <w:ind w:left="0" w:right="0" w:firstLine="720"/>
        <w:jc w:val="both"/>
        <w:rPr/>
      </w:pPr>
      <w:r>
        <w:rPr>
          <w:color w:val="000000"/>
        </w:rPr>
        <w:t>“</w:t>
      </w:r>
      <w:r>
        <w:rPr>
          <w:rFonts w:ascii="Times New Roman;sans-serif" w:hAnsi="Times New Roman;sans-serif"/>
          <w:b/>
          <w:color w:val="000000"/>
          <w:sz w:val="20"/>
        </w:rPr>
        <w:t>Separation from Service”</w:t>
      </w:r>
      <w:r>
        <w:rPr>
          <w:color w:val="000000"/>
        </w:rPr>
        <w:t xml:space="preserve"> </w:t>
      </w:r>
      <w:r>
        <w:rPr>
          <w:rFonts w:ascii="Times New Roman;sans-serif" w:hAnsi="Times New Roman;sans-serif"/>
          <w:b w:val="false"/>
          <w:color w:val="000000"/>
          <w:sz w:val="20"/>
        </w:rPr>
        <w:t>means your separation from service with Quaker Houghton and its affiliates within the meaning of Treas. Reg. §1.409A-1(h) or any successor thereto.</w:t>
      </w:r>
    </w:p>
    <w:p>
      <w:pPr>
        <w:pStyle w:val="TextBody"/>
        <w:spacing w:lineRule="auto" w:line="288" w:before="0" w:after="120"/>
        <w:jc w:val="both"/>
        <w:rPr/>
      </w:pPr>
      <w:r>
        <w:rPr>
          <w:color w:val="000000"/>
        </w:rPr>
        <w:t>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your employment with Quaker Houghton has been terminated by reason of (i) your willful and material breach of this Agreement (after having received notice thereof and a reasonable 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pStyle w:val="TextBody"/>
        <w:spacing w:lineRule="auto" w:line="288" w:before="0" w:after="120"/>
        <w:ind w:left="0" w:right="0" w:firstLine="720"/>
        <w:jc w:val="both"/>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means (x) the 60th day after your Separation from Service or (y) if you are a specified employee (as defined in Treas. Reg. §1.409A-1(i)) as of the date of your Separation 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pStyle w:val="TextBody"/>
        <w:spacing w:lineRule="auto" w:line="288" w:before="0" w:after="120"/>
        <w:ind w:left="0" w:right="0" w:firstLine="720"/>
        <w:jc w:val="both"/>
        <w:rPr/>
      </w:pPr>
      <w:r>
        <w:rPr>
          <w:color w:val="000000"/>
        </w:rPr>
        <w:t>“</w:t>
      </w:r>
      <w:r>
        <w:rPr>
          <w:rFonts w:ascii="Times New Roman;sans-serif" w:hAnsi="Times New Roman;sans-serif"/>
          <w:b/>
          <w:color w:val="000000"/>
          <w:sz w:val="20"/>
        </w:rPr>
        <w:t>Release”</w:t>
      </w:r>
      <w:r>
        <w:rPr>
          <w:color w:val="000000"/>
        </w:rPr>
        <w:t xml:space="preserve"> </w:t>
      </w:r>
      <w:r>
        <w:rPr>
          <w:rFonts w:ascii="Times New Roman;sans-serif" w:hAnsi="Times New Roman;sans-serif"/>
          <w:b w:val="false"/>
          <w:color w:val="000000"/>
          <w:sz w:val="20"/>
        </w:rPr>
        <w:t>means a release (in a form satisfactory to Quaker Houghton) of any and all claims against Quaker Houghton and all 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pStyle w:val="TextBody"/>
        <w:spacing w:lineRule="auto" w:line="288" w:before="0" w:after="12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Indemnification</w:t>
      </w:r>
    </w:p>
    <w:p>
      <w:pPr>
        <w:pStyle w:val="TextBody"/>
        <w:spacing w:lineRule="auto" w:line="288" w:before="0" w:after="120"/>
        <w:jc w:val="both"/>
        <w:rPr/>
      </w:pPr>
      <w:r>
        <w:rPr>
          <w:color w:val="000000"/>
        </w:rPr>
        <w:t>    </w:t>
      </w:r>
      <w:r>
        <w:rPr>
          <w:rFonts w:ascii="Times New Roman;sans-serif" w:hAnsi="Times New Roman;sans-serif"/>
          <w:b w:val="false"/>
          <w:color w:val="000000"/>
          <w:sz w:val="20"/>
        </w:rPr>
        <w:t xml:space="preserve">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10.    Governing Law.</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provisions of this Agreement shall be construed in accordance with the laws of the Commonwealth of Pennsylvania without reference to principles of conflicts of laws.</w:t>
      </w:r>
      <w:r>
        <w:br w:type="page"/>
      </w:r>
    </w:p>
    <w:p>
      <w:pPr>
        <w:pStyle w:val="TextBody"/>
        <w:spacing w:before="0" w:after="12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jc w:val="both"/>
        <w:rPr/>
      </w:pPr>
      <w:r>
        <w:rPr>
          <w:rFonts w:ascii="Times New Roman;sans-serif" w:hAnsi="Times New Roman;sans-serif"/>
          <w:b/>
          <w:color w:val="000000"/>
          <w:sz w:val="20"/>
        </w:rPr>
        <w:t>11.    </w:t>
      </w:r>
      <w:r>
        <w:rPr>
          <w:rFonts w:ascii="Times New Roman;sans-serif" w:hAnsi="Times New Roman;sans-serif"/>
          <w:b/>
          <w:color w:val="000000"/>
          <w:sz w:val="20"/>
          <w:u w:val="single"/>
        </w:rPr>
        <w:t>Miscellaneous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executed this Agreement the day and year first above written.</w:t>
      </w:r>
    </w:p>
    <w:p>
      <w:pPr>
        <w:pStyle w:val="TextBody"/>
        <w:spacing w:before="0" w:after="0"/>
        <w:jc w:val="both"/>
        <w:rPr/>
      </w:pPr>
      <w:r>
        <w:rPr/>
      </w:r>
    </w:p>
    <w:p>
      <w:pPr>
        <w:pStyle w:val="TextBody"/>
        <w:spacing w:before="0" w:after="0"/>
        <w:jc w:val="both"/>
        <w:rPr/>
      </w:pPr>
      <w:r>
        <w:rPr/>
      </w:r>
    </w:p>
    <w:tbl>
      <w:tblPr>
        <w:tblW w:w="10151" w:type="dxa"/>
        <w:jc w:val="center"/>
        <w:tblInd w:w="0" w:type="dxa"/>
        <w:tblCellMar>
          <w:top w:w="28" w:type="dxa"/>
          <w:left w:w="28" w:type="dxa"/>
          <w:bottom w:w="28" w:type="dxa"/>
          <w:right w:w="28" w:type="dxa"/>
        </w:tblCellMar>
      </w:tblPr>
      <w:tblGrid>
        <w:gridCol w:w="1914"/>
        <w:gridCol w:w="1686"/>
        <w:gridCol w:w="1695"/>
        <w:gridCol w:w="109"/>
        <w:gridCol w:w="109"/>
        <w:gridCol w:w="109"/>
        <w:gridCol w:w="1326"/>
        <w:gridCol w:w="1326"/>
        <w:gridCol w:w="1877"/>
      </w:tblGrid>
      <w:tr>
        <w:trPr/>
        <w:tc>
          <w:tcPr>
            <w:tcW w:w="1914"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DBA QUAKER HOUGHTON</w:t>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Robert T. Traub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Leneis</w:t>
            </w:r>
          </w:p>
        </w:tc>
      </w:tr>
      <w:tr>
        <w:trPr/>
        <w:tc>
          <w:tcPr>
            <w:tcW w:w="5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Human Resources Officer</w:t>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Robert T. Traub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Fleck</w:t>
            </w:r>
          </w:p>
        </w:tc>
      </w:tr>
      <w:tr>
        <w:trPr/>
        <w:tc>
          <w:tcPr>
            <w:tcW w:w="5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w:t>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jc w:val="center"/>
        <w:rPr/>
      </w:pPr>
      <w:r>
        <w:rPr/>
      </w:r>
      <w:r>
        <w:br w:type="page"/>
      </w:r>
    </w:p>
    <w:p>
      <w:pPr>
        <w:pStyle w:val="TextBody"/>
        <w:spacing w:before="0" w:after="12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ADDENDUM 1</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706"/>
        <w:gridCol w:w="373"/>
        <w:gridCol w:w="376"/>
        <w:gridCol w:w="2706"/>
        <w:gridCol w:w="2493"/>
        <w:gridCol w:w="3551"/>
      </w:tblGrid>
      <w:tr>
        <w:trPr/>
        <w:tc>
          <w:tcPr>
            <w:tcW w:w="70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2493" w:type="dxa"/>
            <w:tcBorders/>
            <w:shd w:fill="auto" w:val="clear"/>
            <w:vAlign w:val="center"/>
          </w:tcPr>
          <w:p>
            <w:pPr>
              <w:pStyle w:val="TableContents"/>
              <w:spacing w:before="0" w:after="283"/>
              <w:rPr>
                <w:sz w:val="4"/>
                <w:szCs w:val="4"/>
              </w:rPr>
            </w:pPr>
            <w:r>
              <w:rPr>
                <w:sz w:val="4"/>
                <w:szCs w:val="4"/>
              </w:rPr>
            </w:r>
          </w:p>
        </w:tc>
        <w:tc>
          <w:tcPr>
            <w:tcW w:w="3551"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Base Salary:</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Your salary will be payable on a bi-weekly basis at the rate of $17,115, which is annualized at $445,000. You will be eligible for your next salary increase in 2024.</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Annual and Long-</w:t>
            </w:r>
          </w:p>
          <w:p>
            <w:pPr>
              <w:pStyle w:val="TableContents"/>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Term Bonuses:</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your position, you are eligible to participate in the Annual Incentive Plan (“AIP”) with a target award percentage for 2023 full year of 55% of your base salary, dependent upon Quaker Houghton’s financial results and personal objectives to be determined.</w:t>
            </w:r>
          </w:p>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will be eligible to participate in the 2023-2025 Long-Term Incentive Plan (“LTIP”) for the full year of 2023. The value, at a target level is $400,000. </w:t>
            </w:r>
          </w:p>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incentive compensation awards are made at the Company’s discretion, are subject to change, and require the approval of the Company’s Compensation and Human Resources Committee.</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Special One-time Equity Grant:</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 xml:space="preserve">You will receive am equity sign-on award valued at </w:t>
            </w:r>
            <w:r>
              <w:rPr>
                <w:rFonts w:ascii="Times New Roman;sans-serif" w:hAnsi="Times New Roman;sans-serif"/>
                <w:b/>
                <w:color w:val="000000"/>
                <w:sz w:val="20"/>
              </w:rPr>
              <w:t xml:space="preserve">$440,000 </w:t>
            </w:r>
            <w:r>
              <w:rPr>
                <w:rFonts w:ascii="Times New Roman;sans-serif" w:hAnsi="Times New Roman;sans-serif"/>
                <w:b w:val="false"/>
                <w:color w:val="000000"/>
                <w:sz w:val="20"/>
              </w:rPr>
              <w:t>allocated as follows</w:t>
            </w:r>
            <w:r>
              <w:rPr>
                <w:rFonts w:ascii="Times New Roman;sans-serif" w:hAnsi="Times New Roman;sans-serif"/>
                <w:b/>
                <w:color w:val="000000"/>
                <w:sz w:val="20"/>
              </w:rPr>
              <w:t>:</w:t>
            </w:r>
          </w:p>
          <w:p>
            <w:pPr>
              <w:pStyle w:val="TableContents"/>
              <w:spacing w:lineRule="auto" w:line="288" w:before="0" w:after="120"/>
              <w:ind w:left="0" w:right="0" w:hanging="360"/>
              <w:jc w:val="both"/>
              <w:rPr/>
            </w:pPr>
            <w:r>
              <w:rPr>
                <w:color w:val="000000"/>
              </w:rPr>
              <w:t>•</w:t>
            </w:r>
            <w:r>
              <w:rPr>
                <w:rFonts w:ascii="Times New Roman;sans-serif" w:hAnsi="Times New Roman;sans-serif"/>
                <w:b/>
                <w:color w:val="000000"/>
                <w:sz w:val="20"/>
              </w:rPr>
              <w:t>$220,000</w:t>
            </w:r>
            <w:r>
              <w:rPr>
                <w:color w:val="000000"/>
              </w:rPr>
              <w:t xml:space="preserve"> </w:t>
            </w:r>
            <w:r>
              <w:rPr>
                <w:rFonts w:ascii="Times New Roman;sans-serif" w:hAnsi="Times New Roman;sans-serif"/>
                <w:b w:val="false"/>
                <w:color w:val="000000"/>
                <w:sz w:val="20"/>
              </w:rPr>
              <w:t xml:space="preserve">RSAs, ratable vesting on the 1st anniversary of grant date, and </w:t>
            </w:r>
          </w:p>
          <w:p>
            <w:pPr>
              <w:pStyle w:val="TableContents"/>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$220,000 </w:t>
            </w:r>
            <w:r>
              <w:rPr>
                <w:rFonts w:ascii="Times New Roman;sans-serif" w:hAnsi="Times New Roman;sans-serif"/>
                <w:b w:val="false"/>
                <w:color w:val="000000"/>
                <w:sz w:val="20"/>
              </w:rPr>
              <w:t>RSAs, ratable vesting on the 2nd anniversary of grant date</w:t>
            </w:r>
          </w:p>
          <w:p>
            <w:pPr>
              <w:pStyle w:val="TableContents"/>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equity award is subject to clawback and must be repaid to the Company if you either voluntarily leave your employment or are dismissed for cause within the first two (2) years of your tenure with Quaker Houghton. </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Special One-time Cash Bonus:</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pPr>
            <w:r>
              <w:rPr>
                <w:rFonts w:ascii="Times New Roman;sans-serif" w:hAnsi="Times New Roman;sans-serif"/>
                <w:b/>
                <w:color w:val="000000"/>
                <w:sz w:val="20"/>
              </w:rPr>
              <w:t xml:space="preserve">$175,000 </w:t>
            </w:r>
            <w:r>
              <w:rPr>
                <w:rFonts w:ascii="Times New Roman;sans-serif" w:hAnsi="Times New Roman;sans-serif"/>
                <w:b w:val="false"/>
                <w:color w:val="000000"/>
                <w:sz w:val="20"/>
              </w:rPr>
              <w:t>as a total cash sign on bonus payable in 2 installments as follows:</w:t>
            </w:r>
          </w:p>
          <w:p>
            <w:pPr>
              <w:pStyle w:val="TableContents"/>
              <w:spacing w:lineRule="auto" w:line="288" w:before="0" w:after="120"/>
              <w:ind w:left="0" w:right="0" w:hanging="360"/>
              <w:jc w:val="left"/>
              <w:rPr/>
            </w:pPr>
            <w:r>
              <w:rPr>
                <w:color w:val="000000"/>
              </w:rPr>
              <w:t>•</w:t>
            </w:r>
            <w:r>
              <w:rPr>
                <w:rFonts w:ascii="Times New Roman;sans-serif" w:hAnsi="Times New Roman;sans-serif"/>
                <w:b/>
                <w:color w:val="000000"/>
                <w:sz w:val="20"/>
              </w:rPr>
              <w:t>$87,500</w:t>
            </w:r>
            <w:r>
              <w:rPr>
                <w:color w:val="000000"/>
              </w:rPr>
              <w:t xml:space="preserve"> </w:t>
            </w:r>
            <w:r>
              <w:rPr>
                <w:rFonts w:ascii="Times New Roman;sans-serif" w:hAnsi="Times New Roman;sans-serif"/>
                <w:b w:val="false"/>
                <w:color w:val="000000"/>
                <w:sz w:val="20"/>
              </w:rPr>
              <w:t xml:space="preserve">as soon as administratively possible after 30 days of employment and </w:t>
            </w:r>
          </w:p>
          <w:p>
            <w:pPr>
              <w:pStyle w:val="TableContents"/>
              <w:spacing w:lineRule="auto" w:line="288" w:before="0" w:after="120"/>
              <w:ind w:left="0" w:right="0" w:hanging="360"/>
              <w:jc w:val="left"/>
              <w:rPr/>
            </w:pPr>
            <w:r>
              <w:rPr>
                <w:color w:val="000000"/>
              </w:rPr>
              <w:t>•</w:t>
            </w:r>
            <w:r>
              <w:rPr>
                <w:rFonts w:ascii="Times New Roman;sans-serif" w:hAnsi="Times New Roman;sans-serif"/>
                <w:b/>
                <w:color w:val="000000"/>
                <w:sz w:val="20"/>
              </w:rPr>
              <w:t>$87,500</w:t>
            </w:r>
            <w:r>
              <w:rPr>
                <w:color w:val="000000"/>
              </w:rPr>
              <w:t xml:space="preserve"> </w:t>
            </w:r>
            <w:r>
              <w:rPr>
                <w:rFonts w:ascii="Times New Roman;sans-serif" w:hAnsi="Times New Roman;sans-serif"/>
                <w:b w:val="false"/>
                <w:color w:val="000000"/>
                <w:sz w:val="20"/>
              </w:rPr>
              <w:t>as soon as administratively possible after 12 months of employment.</w:t>
            </w:r>
          </w:p>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you voluntarily resign prior to completing one (1) year of employment with the Company, you agree to reimburse Quaker Houghton for the full amount of the cash payment(s) that was made during the previous one-year period.</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Planning:</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will be eligible to be reimbursed for up to $3,500 per calendar year for expenses incurred for financial planning and/or tax preparation.</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Relocation:</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will receive relocation assistance from Quaker Houghton’s selected service provider.</w:t>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120"/>
              <w:jc w:val="both"/>
              <w:rPr/>
            </w:pPr>
            <w:r>
              <w:rPr/>
            </w:r>
          </w:p>
          <w:p>
            <w:pPr>
              <w:pStyle w:val="TableContents"/>
              <w:spacing w:before="0" w:after="120"/>
              <w:jc w:val="both"/>
              <w:rPr/>
            </w:pPr>
            <w:r>
              <w:rPr/>
            </w:r>
          </w:p>
          <w:p>
            <w:pPr>
              <w:pStyle w:val="TableContents"/>
              <w:spacing w:before="0" w:after="120"/>
              <w:jc w:val="both"/>
              <w:rPr/>
            </w:pPr>
            <w:r>
              <w:rPr/>
            </w:r>
          </w:p>
          <w:p>
            <w:pPr>
              <w:pStyle w:val="TableContents"/>
              <w:spacing w:before="0" w:after="120"/>
              <w:jc w:val="both"/>
              <w:rPr/>
            </w:pPr>
            <w:r>
              <w:rPr/>
            </w:r>
          </w:p>
          <w:p>
            <w:pPr>
              <w:pStyle w:val="TableContents"/>
              <w:spacing w:before="0" w:after="120"/>
              <w:jc w:val="both"/>
              <w:rPr/>
            </w:pPr>
            <w:r>
              <w:rPr/>
            </w:r>
          </w:p>
          <w:p>
            <w:pPr>
              <w:pStyle w:val="TableContents"/>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Benefits:</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Quaker Houghton offers a Flexible Benefits Program that is subject to change. This gives you the opportunity to choose from a variety of options creating a customized benefits package. The following benefits are currently part of the program. In each of these areas, you are offered a range of options so you may choose the ones that make the most sense for your personal situation.</w:t>
            </w:r>
          </w:p>
          <w:p>
            <w:pPr>
              <w:pStyle w:val="TableContents"/>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Medical </w:t>
            </w:r>
          </w:p>
          <w:p>
            <w:pPr>
              <w:pStyle w:val="TableContents"/>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Dental </w:t>
            </w:r>
          </w:p>
          <w:p>
            <w:pPr>
              <w:pStyle w:val="TableContents"/>
              <w:spacing w:lineRule="auto" w:line="288" w:before="0" w:after="120"/>
              <w:ind w:left="0" w:right="0" w:hanging="360"/>
              <w:jc w:val="both"/>
              <w:rPr/>
            </w:pPr>
            <w:r>
              <w:rPr>
                <w:color w:val="000000"/>
              </w:rPr>
              <w:t>•</w:t>
            </w:r>
            <w:r>
              <w:rPr>
                <w:rFonts w:ascii="Times New Roman;sans-serif" w:hAnsi="Times New Roman;sans-serif"/>
                <w:b w:val="false"/>
                <w:color w:val="000000"/>
                <w:sz w:val="20"/>
              </w:rPr>
              <w:t>Life &amp; AD&amp;D Insurance</w:t>
            </w:r>
          </w:p>
          <w:p>
            <w:pPr>
              <w:pStyle w:val="TableContents"/>
              <w:spacing w:lineRule="auto" w:line="288" w:before="0" w:after="120"/>
              <w:ind w:left="0" w:right="0" w:hanging="360"/>
              <w:jc w:val="both"/>
              <w:rPr/>
            </w:pPr>
            <w:r>
              <w:rPr>
                <w:color w:val="000000"/>
              </w:rPr>
              <w:t>•</w:t>
            </w:r>
            <w:r>
              <w:rPr>
                <w:rFonts w:ascii="Times New Roman;sans-serif" w:hAnsi="Times New Roman;sans-serif"/>
                <w:b w:val="false"/>
                <w:color w:val="000000"/>
                <w:sz w:val="20"/>
              </w:rPr>
              <w:t>Long-term Disability</w:t>
            </w:r>
          </w:p>
          <w:p>
            <w:pPr>
              <w:pStyle w:val="TableContents"/>
              <w:spacing w:lineRule="auto" w:line="288" w:before="0" w:after="120"/>
              <w:ind w:left="0" w:right="0" w:hanging="360"/>
              <w:jc w:val="both"/>
              <w:rPr/>
            </w:pPr>
            <w:r>
              <w:rPr>
                <w:color w:val="000000"/>
              </w:rPr>
              <w:t>•</w:t>
            </w:r>
            <w:r>
              <w:rPr>
                <w:rFonts w:ascii="Times New Roman;sans-serif" w:hAnsi="Times New Roman;sans-serif"/>
                <w:b w:val="false"/>
                <w:color w:val="000000"/>
                <w:sz w:val="20"/>
              </w:rPr>
              <w:t>Health Care and Dependent Care Flexible Spending Accounts (FSAs)</w:t>
            </w:r>
          </w:p>
          <w:p>
            <w:pPr>
              <w:pStyle w:val="TableContents"/>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flexible benefits, Quaker Houghton also currently offers the following benefit plans:</w:t>
            </w:r>
          </w:p>
          <w:p>
            <w:pPr>
              <w:pStyle w:val="TableContents"/>
              <w:spacing w:lineRule="auto" w:line="288" w:before="0" w:after="120"/>
              <w:ind w:left="0" w:right="0" w:hanging="360"/>
              <w:jc w:val="both"/>
              <w:rPr/>
            </w:pPr>
            <w:r>
              <w:rPr>
                <w:color w:val="000000"/>
              </w:rPr>
              <w:t>• </w:t>
            </w:r>
            <w:r>
              <w:rPr>
                <w:rFonts w:ascii="Times New Roman;sans-serif" w:hAnsi="Times New Roman;sans-serif"/>
                <w:b w:val="false"/>
                <w:color w:val="000000"/>
                <w:sz w:val="20"/>
              </w:rPr>
              <w:t>Retirement Savings Plan (401K)</w:t>
            </w:r>
          </w:p>
        </w:tc>
      </w:tr>
    </w:tbl>
    <w:p>
      <w:pPr>
        <w:pStyle w:val="TextBody"/>
        <w:spacing w:before="0" w:after="0"/>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Pre-Employment Testing Requirements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This offer and Employment Agreement are contingent upon the satisfactory results of a pre-employment background check, drug screening and/or physical exam. You will have three (3) business days from the time you receive instructions from our vendor to obtain your pre-employment drug screening and physical exam. Failure to do so may result in rescinding of this offer and agreement. In addition to the pre-employment testing, you may be required to participate in random drug and/or alcohol testing as part of the safety program at your assigned work location.  Failure to participate in such a testing program, or failure to successfully pass such a test, will be cause for termination.</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2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spacing w:before="0" w:after="0"/>
        <w:jc w:val="center"/>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CHANGE IN CONTROL AGREEMENT</w:t>
      </w:r>
    </w:p>
    <w:p>
      <w:pPr>
        <w:pStyle w:val="TextBody"/>
        <w:spacing w:lineRule="auto" w:line="288" w:before="0" w:after="120"/>
        <w:rPr/>
      </w:pPr>
      <w:r>
        <w:rPr>
          <w:color w:val="000000"/>
        </w:rPr>
        <w:t>    </w:t>
      </w:r>
      <w:r>
        <w:rPr>
          <w:rFonts w:ascii="Times New Roman;sans-serif" w:hAnsi="Times New Roman;sans-serif"/>
          <w:b w:val="false"/>
          <w:color w:val="000000"/>
          <w:sz w:val="20"/>
        </w:rPr>
        <w:t xml:space="preserve">THIS AGREEMENT, dated </w:t>
      </w:r>
      <w:r>
        <w:rPr>
          <w:rFonts w:ascii="Times New Roman;sans-serif" w:hAnsi="Times New Roman;sans-serif"/>
          <w:b w:val="false"/>
          <w:color w:val="000000"/>
          <w:sz w:val="20"/>
          <w:u w:val="single"/>
        </w:rPr>
        <w:t>JANUARY 23, 2023</w:t>
      </w:r>
      <w:r>
        <w:rPr>
          <w:color w:val="000000"/>
        </w:rPr>
        <w:t xml:space="preserve"> </w:t>
      </w:r>
      <w:r>
        <w:rPr>
          <w:rFonts w:ascii="Times New Roman;sans-serif" w:hAnsi="Times New Roman;sans-serif"/>
          <w:b w:val="false"/>
          <w:color w:val="000000"/>
          <w:sz w:val="20"/>
        </w:rPr>
        <w:t>between QUAKER CHEMICAL CORPORATION, d/b/a QUAKER HOUGHTON, a Pennsylvania corporation (the “Company”), and Jeff Fleck (the “Manager”),</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 I T N E S S E T H T H A 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WHEREAS, the Board of Directors of the Company believes that the execution by the Company of change in control agreements with certain management personnel, including the Manager, is an important factor in achieving this desired end;</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NOW, THEREFORE, IN CONSIDERATION of the mutual obligations and agreements contained herein and intending to be legally bound hereby, the Manager and the Company agree that the Change in Control Agreement is amended and restated, as follows:</w:t>
      </w:r>
    </w:p>
    <w:p>
      <w:pPr>
        <w:pStyle w:val="TextBody"/>
        <w:spacing w:lineRule="auto" w:line="288" w:before="0" w:after="120"/>
        <w:rPr/>
      </w:pPr>
      <w:r>
        <w:rPr>
          <w:rFonts w:ascii="Times New Roman;sans-serif" w:hAnsi="Times New Roman;sans-serif"/>
          <w:b/>
          <w:color w:val="000000"/>
          <w:sz w:val="20"/>
        </w:rPr>
        <w:t>1.</w:t>
      </w:r>
      <w:r>
        <w:rPr>
          <w:rFonts w:ascii="Times New Roman;sans-serif" w:hAnsi="Times New Roman;sans-serif"/>
          <w:b/>
          <w:color w:val="000000"/>
          <w:sz w:val="20"/>
        </w:rPr>
        <w:t>Term of Agreement.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This Agreement shall become effective on your start date with the Company (the “Effective Date”), and shall continue in effect through December 31, 2023,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pStyle w:val="TextBody"/>
        <w:spacing w:lineRule="auto" w:line="288" w:before="0" w:after="120"/>
        <w:rPr/>
      </w:pPr>
      <w:r>
        <w:rPr>
          <w:rFonts w:ascii="Times New Roman;sans-serif" w:hAnsi="Times New Roman;sans-serif"/>
          <w:b/>
          <w:color w:val="000000"/>
          <w:sz w:val="20"/>
        </w:rPr>
        <w:t>2.</w:t>
      </w:r>
      <w:r>
        <w:rPr>
          <w:rFonts w:ascii="Times New Roman;sans-serif" w:hAnsi="Times New Roman;sans-serif"/>
          <w:b/>
          <w:color w:val="000000"/>
          <w:sz w:val="20"/>
        </w:rPr>
        <w:t>Change in Control.</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As used in this Agreement, a “Change in Control” of the Company shall be deemed to have occurred if:</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 provided, however, that a Change in Control shall not be deemed to have occurred under the provisions of this subsection (a) by reason of the beneficial ownership of voting securities by members of the Benoliel family (as defined below) unless and until the beneficial ownership of all members of the Benoliel family (including any other individuals or entities who or which, together with any member or members of the Benoliel family, are deemed under Sections 13(d) or 14(d) of the Exchange Act to constitute a single Person) exceeds 50% of the combined voting power of the Company’s then outstanding securities;</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w:t>
      </w:r>
    </w:p>
    <w:p>
      <w:pPr>
        <w:pStyle w:val="TextBody"/>
        <w:spacing w:lineRule="auto" w:line="288" w:before="0" w:after="12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- 1 -</w:t>
                      </w:r>
                    </w:p>
                  </w:txbxContent>
                </v:textbox>
              </v:rect>
            </w:pict>
          </mc:Fallback>
        </mc:AlternateContent>
      </w:r>
    </w:p>
    <w:p>
      <w:pPr>
        <w:pStyle w:val="TextBody"/>
        <w:spacing w:lineRule="auto" w:line="288" w:before="0" w:after="120"/>
        <w:ind w:left="0" w:right="0" w:firstLine="720"/>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Company’s shareholders or the Company’s Board of Directors shall approve the liquidation or dissolution of the Company.</w:t>
      </w:r>
    </w:p>
    <w:p>
      <w:pPr>
        <w:pStyle w:val="TextBody"/>
        <w:spacing w:lineRule="auto" w:line="288" w:before="0" w:after="120"/>
        <w:rPr/>
      </w:pPr>
      <w:r>
        <w:rPr>
          <w:rFonts w:ascii="Times New Roman;sans-serif" w:hAnsi="Times New Roman;sans-serif"/>
          <w:b/>
          <w:color w:val="000000"/>
          <w:sz w:val="20"/>
        </w:rPr>
        <w:t>3.</w:t>
      </w:r>
      <w:r>
        <w:rPr>
          <w:rFonts w:ascii="Times New Roman;sans-serif" w:hAnsi="Times New Roman;sans-serif"/>
          <w:b/>
          <w:color w:val="000000"/>
          <w:sz w:val="20"/>
        </w:rPr>
        <w:t>Entitlement to Change in Control Benefits; Certain Definitions.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A Covered Termination shall have occurred in the event the Manager’s employment with the Company or its affiliates is terminated within two (2) years following a Change in Control by:</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Company or its affiliates without Cause (as defined below); or</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(ii)Resignation of the Manager for Good Reason (as defined below).</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pStyle w:val="TextBody"/>
        <w:spacing w:lineRule="auto" w:line="288" w:before="0" w:after="120"/>
        <w:ind w:left="0" w:right="0" w:firstLine="720"/>
        <w:rPr/>
      </w:pPr>
      <w:r>
        <w:rPr>
          <w:color w:val="000000"/>
        </w:rPr>
        <w:t>“</w:t>
      </w:r>
      <w:r>
        <w:rPr>
          <w:rFonts w:ascii="Times New Roman;sans-serif" w:hAnsi="Times New Roman;sans-serif"/>
          <w:b w:val="false"/>
          <w:color w:val="000000"/>
          <w:sz w:val="20"/>
          <w:u w:val="single"/>
        </w:rPr>
        <w:t>Cause</w:t>
      </w:r>
      <w:r>
        <w:rPr>
          <w:color w:val="000000"/>
        </w:rPr>
        <w:t xml:space="preserve">” </w:t>
      </w:r>
      <w:r>
        <w:rPr>
          <w:rFonts w:ascii="Times New Roman;sans-serif" w:hAnsi="Times New Roman;sans-serif"/>
          <w:b w:val="false"/>
          <w:color w:val="000000"/>
          <w:sz w:val="20"/>
        </w:rPr>
        <w:t>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his position.</w:t>
      </w:r>
    </w:p>
    <w:p>
      <w:pPr>
        <w:pStyle w:val="TextBody"/>
        <w:spacing w:lineRule="auto" w:line="288" w:before="0" w:after="120"/>
        <w:ind w:left="0" w:right="0" w:firstLine="720"/>
        <w:rPr/>
      </w:pPr>
      <w:r>
        <w:rPr>
          <w:color w:val="000000"/>
        </w:rPr>
        <w:t>“</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shall mean the Internal Revenue Code of 1986, as amended, together with any applicable regulations thereunder.</w:t>
      </w:r>
    </w:p>
    <w:p>
      <w:pPr>
        <w:pStyle w:val="TextBody"/>
        <w:spacing w:lineRule="auto" w:line="288" w:before="0" w:after="120"/>
        <w:ind w:left="0" w:right="0" w:firstLine="720"/>
        <w:rPr/>
      </w:pPr>
      <w:r>
        <w:rPr>
          <w:color w:val="000000"/>
        </w:rPr>
        <w:t>“</w:t>
      </w:r>
      <w:r>
        <w:rPr>
          <w:rFonts w:ascii="Times New Roman;sans-serif" w:hAnsi="Times New Roman;sans-serif"/>
          <w:b w:val="false"/>
          <w:color w:val="000000"/>
          <w:sz w:val="20"/>
          <w:u w:val="single"/>
        </w:rPr>
        <w:t>Disability</w:t>
      </w:r>
      <w:r>
        <w:rPr>
          <w:color w:val="000000"/>
        </w:rPr>
        <w:t xml:space="preserve">” </w:t>
      </w:r>
      <w:r>
        <w:rPr>
          <w:rFonts w:ascii="Times New Roman;sans-serif" w:hAnsi="Times New Roman;sans-serif"/>
          <w:b w:val="false"/>
          <w:color w:val="000000"/>
          <w:sz w:val="20"/>
        </w:rPr>
        <w:t>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pStyle w:val="TextBody"/>
        <w:spacing w:lineRule="auto" w:line="288" w:before="0" w:after="120"/>
        <w:ind w:left="0" w:right="0" w:firstLine="720"/>
        <w:rPr/>
      </w:pPr>
      <w:r>
        <w:rPr>
          <w:color w:val="000000"/>
        </w:rPr>
        <w:t>“</w:t>
      </w:r>
      <w:r>
        <w:rPr>
          <w:rFonts w:ascii="Times New Roman;sans-serif" w:hAnsi="Times New Roman;sans-serif"/>
          <w:b w:val="false"/>
          <w:color w:val="000000"/>
          <w:sz w:val="20"/>
          <w:u w:val="single"/>
        </w:rPr>
        <w:t>Good Reason</w:t>
      </w:r>
      <w:r>
        <w:rPr>
          <w:color w:val="000000"/>
        </w:rPr>
        <w:t xml:space="preserve">” </w:t>
      </w:r>
      <w:r>
        <w:rPr>
          <w:rFonts w:ascii="Times New Roman;sans-serif" w:hAnsi="Times New Roman;sans-serif"/>
          <w:b w:val="false"/>
          <w:color w:val="000000"/>
          <w:sz w:val="20"/>
        </w:rPr>
        <w:t xml:space="preserve">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 </w:t>
      </w:r>
    </w:p>
    <w:p>
      <w:pPr>
        <w:pStyle w:val="TextBody"/>
        <w:spacing w:lineRule="auto" w:line="288" w:before="0" w:after="120"/>
        <w:rPr/>
      </w:pPr>
      <w:r>
        <w:rPr>
          <w:color w:val="000000"/>
        </w:rPr>
        <w:t>    “</w:t>
      </w:r>
      <w:r>
        <w:rPr>
          <w:rFonts w:ascii="Times New Roman;sans-serif" w:hAnsi="Times New Roman;sans-serif"/>
          <w:b w:val="false"/>
          <w:color w:val="000000"/>
          <w:sz w:val="20"/>
          <w:u w:val="single"/>
        </w:rPr>
        <w:t>Payment Date</w:t>
      </w:r>
      <w:r>
        <w:rPr>
          <w:color w:val="000000"/>
        </w:rPr>
        <w:t xml:space="preserve">” </w:t>
      </w:r>
      <w:r>
        <w:rPr>
          <w:rFonts w:ascii="Times New Roman;sans-serif" w:hAnsi="Times New Roman;sans-serif"/>
          <w:b w:val="false"/>
          <w:color w:val="000000"/>
          <w:sz w:val="20"/>
        </w:rPr>
        <w:t>shall mean the 60th day after the Manager’s Separation from Service, subject to Section 9.</w:t>
      </w:r>
    </w:p>
    <w:p>
      <w:pPr>
        <w:pStyle w:val="TextBody"/>
        <w:spacing w:lineRule="auto" w:line="288" w:before="0" w:after="120"/>
        <w:rPr/>
      </w:pPr>
      <w:r>
        <w:rPr>
          <w:color w:val="000000"/>
        </w:rPr>
        <w:t>    “</w:t>
      </w:r>
      <w:r>
        <w:rPr>
          <w:rFonts w:ascii="Times New Roman;sans-serif" w:hAnsi="Times New Roman;sans-serif"/>
          <w:b w:val="false"/>
          <w:color w:val="000000"/>
          <w:sz w:val="20"/>
          <w:u w:val="single"/>
        </w:rPr>
        <w:t>Release</w:t>
      </w:r>
      <w:r>
        <w:rPr>
          <w:color w:val="000000"/>
        </w:rPr>
        <w:t xml:space="preserve">” </w:t>
      </w:r>
      <w:r>
        <w:rPr>
          <w:rFonts w:ascii="Times New Roman;sans-serif" w:hAnsi="Times New Roman;sans-serif"/>
          <w:b w:val="false"/>
          <w:color w:val="000000"/>
          <w:sz w:val="20"/>
        </w:rPr>
        <w:t>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his Covered Termination, and the Manager does not revoke the Release.</w:t>
      </w:r>
    </w:p>
    <w:p>
      <w:pPr>
        <w:pStyle w:val="TextBody"/>
        <w:spacing w:lineRule="auto" w:line="288" w:before="0" w:after="120"/>
        <w:rPr/>
      </w:pPr>
      <w:r>
        <w:rPr>
          <w:color w:val="000000"/>
        </w:rPr>
        <w:t>    “</w:t>
      </w:r>
      <w:r>
        <w:rPr>
          <w:rFonts w:ascii="Times New Roman;sans-serif" w:hAnsi="Times New Roman;sans-serif"/>
          <w:b w:val="false"/>
          <w:color w:val="000000"/>
          <w:sz w:val="20"/>
          <w:u w:val="single"/>
        </w:rPr>
        <w:t>Separation from Service</w:t>
      </w:r>
      <w:r>
        <w:rPr>
          <w:color w:val="000000"/>
        </w:rPr>
        <w:t xml:space="preserve">” </w:t>
      </w:r>
      <w:r>
        <w:rPr>
          <w:rFonts w:ascii="Times New Roman;sans-serif" w:hAnsi="Times New Roman;sans-serif"/>
          <w:b w:val="false"/>
          <w:color w:val="000000"/>
          <w:sz w:val="20"/>
        </w:rPr>
        <w:t>shall mean the Manager’s separation from service with the Company and its affiliates within the meaning of Treas. Reg. §1.409A-1(h) or any successor thereto.</w:t>
      </w:r>
    </w:p>
    <w:p>
      <w:pPr>
        <w:pStyle w:val="TextBody"/>
        <w:spacing w:lineRule="auto" w:line="288" w:before="0" w:after="120"/>
        <w:rPr/>
      </w:pPr>
      <w:r>
        <w:rPr>
          <w:color w:val="000000"/>
        </w:rPr>
        <w:t>    “</w:t>
      </w:r>
      <w:r>
        <w:rPr>
          <w:rFonts w:ascii="Times New Roman;sans-serif" w:hAnsi="Times New Roman;sans-serif"/>
          <w:b w:val="false"/>
          <w:color w:val="000000"/>
          <w:sz w:val="20"/>
          <w:u w:val="single"/>
        </w:rPr>
        <w:t>Specified Employee</w:t>
      </w:r>
      <w:r>
        <w:rPr>
          <w:color w:val="000000"/>
        </w:rPr>
        <w:t xml:space="preserve">” </w:t>
      </w:r>
      <w:r>
        <w:rPr>
          <w:rFonts w:ascii="Times New Roman;sans-serif" w:hAnsi="Times New Roman;sans-serif"/>
          <w:b w:val="false"/>
          <w:color w:val="000000"/>
          <w:sz w:val="20"/>
        </w:rPr>
        <w:t xml:space="preserve">shall mean the Manager if he is a specified employee as defined in Section 409A of the Code as of the date of his Separation from Service.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v:rect>
            </w:pict>
          </mc:Fallback>
        </mc:AlternateContent>
      </w:r>
    </w:p>
    <w:p>
      <w:pPr>
        <w:pStyle w:val="TextBody"/>
        <w:spacing w:lineRule="auto" w:line="288" w:before="0" w:after="120"/>
        <w:rPr/>
      </w:pPr>
      <w:r>
        <w:rPr>
          <w:rFonts w:ascii="Times New Roman;sans-serif" w:hAnsi="Times New Roman;sans-serif"/>
          <w:b/>
          <w:color w:val="000000"/>
          <w:sz w:val="20"/>
        </w:rPr>
        <w:t>4.</w:t>
      </w:r>
      <w:r>
        <w:rPr>
          <w:rFonts w:ascii="Times New Roman;sans-serif" w:hAnsi="Times New Roman;sans-serif"/>
          <w:b/>
          <w:color w:val="000000"/>
          <w:sz w:val="20"/>
        </w:rPr>
        <w:t>Severance Allowance.</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Amount of Severance Allowance</w:t>
      </w:r>
      <w:r>
        <w:rPr>
          <w:rFonts w:ascii="Times New Roman;sans-serif" w:hAnsi="Times New Roman;sans-serif"/>
          <w:b w:val="false"/>
          <w:color w:val="000000"/>
          <w:sz w:val="20"/>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(i)An amount equivalent to the highest annualized base salary which the Manager was entitled to receive from the Company and its subsidiaries at any time during his employment prior to the Covered Termination; and</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(ii)An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no event shall any retention bonus or change in control or success fee be taken into account when determining the amount of the Severance Allowance hereunder.</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Payment of Severance Allowance</w:t>
      </w:r>
      <w:r>
        <w:rPr>
          <w:rFonts w:ascii="Times New Roman;sans-serif" w:hAnsi="Times New Roman;sans-serif"/>
          <w:b w:val="false"/>
          <w:color w:val="000000"/>
          <w:sz w:val="20"/>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pStyle w:val="TextBody"/>
        <w:spacing w:lineRule="auto" w:line="288" w:before="0" w:after="120"/>
        <w:rPr/>
      </w:pPr>
      <w:r>
        <w:rPr>
          <w:rFonts w:ascii="Times New Roman;sans-serif" w:hAnsi="Times New Roman;sans-serif"/>
          <w:b/>
          <w:color w:val="000000"/>
          <w:sz w:val="20"/>
        </w:rPr>
        <w:t>5.</w:t>
      </w:r>
      <w:r>
        <w:rPr>
          <w:rFonts w:ascii="Times New Roman;sans-serif" w:hAnsi="Times New Roman;sans-serif"/>
          <w:b/>
          <w:color w:val="000000"/>
          <w:sz w:val="20"/>
        </w:rPr>
        <w:t>Outplacement and Welfare Benefits.</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Outplacement</w:t>
      </w:r>
      <w:r>
        <w:rPr>
          <w:rFonts w:ascii="Times New Roman;sans-serif" w:hAnsi="Times New Roman;sans-serif"/>
          <w:b w:val="false"/>
          <w:color w:val="000000"/>
          <w:sz w:val="20"/>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Welfare Benefits</w:t>
      </w:r>
      <w:r>
        <w:rPr>
          <w:rFonts w:ascii="Times New Roman;sans-serif" w:hAnsi="Times New Roman;sans-serif"/>
          <w:b w:val="false"/>
          <w:color w:val="000000"/>
          <w:sz w:val="20"/>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his dependents because the Manager is no longer an employee of the Company or its subsidiaries, the Company itself shall, to the extent necessary, pay or otherwise provide for such benefits to the Manager and his dependents.</w:t>
      </w:r>
    </w:p>
    <w:p>
      <w:pPr>
        <w:pStyle w:val="TextBody"/>
        <w:spacing w:lineRule="auto" w:line="288" w:before="0" w:after="120"/>
        <w:rPr/>
      </w:pPr>
      <w:r>
        <w:rPr>
          <w:rFonts w:ascii="Times New Roman;sans-serif" w:hAnsi="Times New Roman;sans-serif"/>
          <w:b/>
          <w:color w:val="000000"/>
          <w:sz w:val="20"/>
        </w:rPr>
        <w:t>6.</w:t>
      </w:r>
      <w:r>
        <w:rPr>
          <w:rFonts w:ascii="Times New Roman;sans-serif" w:hAnsi="Times New Roman;sans-serif"/>
          <w:b/>
          <w:color w:val="000000"/>
          <w:sz w:val="20"/>
        </w:rPr>
        <w:t>Effect of Other Employment.</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his family); and the Manager’s “family” shall mean his parents, his siblings and their spouses, his children and their spouses, and the Manager’s spouse and her parents and siblings. Nothing herein shall relieve the Company of its obligations for compensation or benefits accrued up to the time of termination provided for herein.</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v:rect>
            </w:pict>
          </mc:Fallback>
        </mc:AlternateContent>
      </w:r>
    </w:p>
    <w:p>
      <w:pPr>
        <w:pStyle w:val="TextBody"/>
        <w:spacing w:lineRule="auto" w:line="288" w:before="0" w:after="120"/>
        <w:rPr/>
      </w:pPr>
      <w:r>
        <w:rPr>
          <w:rFonts w:ascii="Times New Roman;sans-serif" w:hAnsi="Times New Roman;sans-serif"/>
          <w:b/>
          <w:color w:val="000000"/>
          <w:sz w:val="20"/>
        </w:rPr>
        <w:t>7.</w:t>
      </w:r>
      <w:r>
        <w:rPr>
          <w:rFonts w:ascii="Times New Roman;sans-serif" w:hAnsi="Times New Roman;sans-serif"/>
          <w:b/>
          <w:color w:val="000000"/>
          <w:sz w:val="20"/>
        </w:rPr>
        <w:t xml:space="preserve">Other Payments and Benefits. </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 xml:space="preserve">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2001 Global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2011 Long-Term Performance Incentive Plan). </w:t>
      </w:r>
    </w:p>
    <w:p>
      <w:pPr>
        <w:pStyle w:val="TextBody"/>
        <w:spacing w:before="0" w:after="120"/>
        <w:rPr/>
      </w:pPr>
      <w:r>
        <w:rPr/>
      </w:r>
    </w:p>
    <w:p>
      <w:pPr>
        <w:pStyle w:val="TextBody"/>
        <w:spacing w:lineRule="auto" w:line="288" w:before="0" w:after="120"/>
        <w:rPr/>
      </w:pPr>
      <w:r>
        <w:rPr>
          <w:rFonts w:ascii="Times New Roman;sans-serif" w:hAnsi="Times New Roman;sans-serif"/>
          <w:b/>
          <w:color w:val="000000"/>
          <w:sz w:val="20"/>
        </w:rPr>
        <w:t>8.</w:t>
      </w:r>
      <w:r>
        <w:rPr>
          <w:rFonts w:ascii="Times New Roman;sans-serif" w:hAnsi="Times New Roman;sans-serif"/>
          <w:b/>
          <w:color w:val="000000"/>
          <w:sz w:val="20"/>
        </w:rPr>
        <w:t>Death After Covered Termination.</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pStyle w:val="TextBody"/>
        <w:spacing w:lineRule="auto" w:line="288" w:before="0" w:after="120"/>
        <w:rPr/>
      </w:pPr>
      <w:r>
        <w:rPr>
          <w:rFonts w:ascii="Times New Roman;sans-serif" w:hAnsi="Times New Roman;sans-serif"/>
          <w:b/>
          <w:color w:val="000000"/>
          <w:sz w:val="20"/>
        </w:rPr>
        <w:t>9.</w:t>
      </w:r>
      <w:r>
        <w:rPr>
          <w:rFonts w:ascii="Times New Roman;sans-serif" w:hAnsi="Times New Roman;sans-serif"/>
          <w:b/>
          <w:color w:val="000000"/>
          <w:sz w:val="20"/>
        </w:rPr>
        <w:t xml:space="preserve">Certain Section 409A Rules. </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Specified Employee</w:t>
      </w:r>
      <w:r>
        <w:rPr>
          <w:rFonts w:ascii="Times New Roman;sans-serif" w:hAnsi="Times New Roman;sans-serif"/>
          <w:b w:val="false"/>
          <w:color w:val="000000"/>
          <w:sz w:val="20"/>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Reimbursement and In-Kind Benefits</w:t>
      </w:r>
      <w:r>
        <w:rPr>
          <w:rFonts w:ascii="Times New Roman;sans-serif" w:hAnsi="Times New Roman;sans-serif"/>
          <w:b w:val="false"/>
          <w:color w:val="000000"/>
          <w:sz w:val="20"/>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pStyle w:val="TextBody"/>
        <w:spacing w:lineRule="auto" w:line="288" w:before="0" w:after="12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Interpretation and Construction</w:t>
      </w:r>
      <w:r>
        <w:rPr>
          <w:rFonts w:ascii="Times New Roman;sans-serif" w:hAnsi="Times New Roman;sans-serif"/>
          <w:b w:val="false"/>
          <w:color w:val="000000"/>
          <w:sz w:val="20"/>
        </w:rPr>
        <w:t>. This Agreement is intended to comply with Section 409A of the Code and shall be administered, interpreted and construed in accordance therewith to avoid the imposition of additional tax under Section 409A of the Code.</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v:rect>
            </w:pict>
          </mc:Fallback>
        </mc:AlternateContent>
      </w:r>
    </w:p>
    <w:p>
      <w:pPr>
        <w:pStyle w:val="TextBody"/>
        <w:spacing w:lineRule="auto" w:line="288" w:before="0" w:after="120"/>
        <w:rPr/>
      </w:pPr>
      <w:r>
        <w:rPr>
          <w:rFonts w:ascii="Times New Roman;sans-serif" w:hAnsi="Times New Roman;sans-serif"/>
          <w:b/>
          <w:color w:val="000000"/>
          <w:sz w:val="20"/>
        </w:rPr>
        <w:t>10.</w:t>
      </w:r>
      <w:r>
        <w:rPr>
          <w:rFonts w:ascii="Times New Roman;sans-serif" w:hAnsi="Times New Roman;sans-serif"/>
          <w:b/>
          <w:color w:val="000000"/>
          <w:sz w:val="20"/>
        </w:rPr>
        <w:t>Confidentiality and Noncompetition.</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Confidential Information</w:t>
      </w:r>
      <w:r>
        <w:rPr>
          <w:rFonts w:ascii="Times New Roman;sans-serif" w:hAnsi="Times New Roman;sans-serif"/>
          <w:b w:val="false"/>
          <w:color w:val="000000"/>
          <w:sz w:val="20"/>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his employment with the Company.</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(i)The Manager agrees that at no time during or following his employment with the Company will he use, divulge, or pass on, directly or through any other individual or entity, any Trade Secrets. </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(ii)Upon termination of the Manager’s employment with the Company regardless of the reason for the termination of the Manager’s employment hereunder, or at any other time upon the Company’s request, the Manager agrees to forthwith surrender to the Company any and all materials in his possession or control which constitute or contain any Proprietary Business Information.</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The Manager agrees that during his employment and for a period of one (1) year thereafter, regardless of the reason for the termination of the Manager’s employment, he will not: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(ii)directly or indirectly recruit, solicit or encourage any employee of the Company (or any of its affiliates) or otherwise induce such employee to leave the employ of the Company (or any of its affiliates) or to become an employee or otherwise be associated with his or any firm, corporation, business or other entity with which he is or may become associated; or</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pStyle w:val="TextBody"/>
        <w:spacing w:lineRule="auto" w:line="288" w:before="0" w:after="12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pStyle w:val="TextBody"/>
        <w:spacing w:lineRule="auto" w:line="288" w:before="0" w:after="120"/>
        <w:ind w:left="0" w:right="0" w:firstLine="720"/>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his dependents) shall immediately terminate.</w:t>
      </w:r>
    </w:p>
    <w:p>
      <w:pPr>
        <w:pStyle w:val="TextBody"/>
        <w:spacing w:lineRule="auto" w:line="288" w:before="0" w:after="120"/>
        <w:rPr/>
      </w:pPr>
      <w:r>
        <w:rPr>
          <w:rFonts w:ascii="Times New Roman;sans-serif" w:hAnsi="Times New Roman;sans-serif"/>
          <w:b/>
          <w:color w:val="000000"/>
          <w:sz w:val="20"/>
        </w:rPr>
        <w:t>11.</w:t>
      </w:r>
      <w:r>
        <w:rPr>
          <w:rFonts w:ascii="Times New Roman;sans-serif" w:hAnsi="Times New Roman;sans-serif"/>
          <w:b/>
          <w:color w:val="000000"/>
          <w:sz w:val="20"/>
        </w:rPr>
        <w:t>Set-Off Mitigation.</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v:rect>
            </w:pict>
          </mc:Fallback>
        </mc:AlternateContent>
      </w:r>
    </w:p>
    <w:p>
      <w:pPr>
        <w:pStyle w:val="TextBody"/>
        <w:spacing w:lineRule="auto" w:line="288" w:before="0" w:after="120"/>
        <w:rPr/>
      </w:pPr>
      <w:r>
        <w:rPr>
          <w:rFonts w:ascii="Times New Roman;sans-serif" w:hAnsi="Times New Roman;sans-serif"/>
          <w:b/>
          <w:color w:val="000000"/>
          <w:sz w:val="20"/>
        </w:rPr>
        <w:t>12.</w:t>
      </w:r>
      <w:r>
        <w:rPr>
          <w:rFonts w:ascii="Times New Roman;sans-serif" w:hAnsi="Times New Roman;sans-serif"/>
          <w:b/>
          <w:color w:val="000000"/>
          <w:sz w:val="20"/>
        </w:rPr>
        <w:t>Arbitration: Costs and Expenses of Enforcement.</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Arbitration</w:t>
      </w:r>
      <w:r>
        <w:rPr>
          <w:rFonts w:ascii="Times New Roman;sans-serif" w:hAnsi="Times New Roman;sans-serif"/>
          <w:b w:val="false"/>
          <w:color w:val="000000"/>
          <w:sz w:val="20"/>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Costs and Expenses</w:t>
      </w:r>
      <w:r>
        <w:rPr>
          <w:rFonts w:ascii="Times New Roman;sans-serif" w:hAnsi="Times New Roman;sans-serif"/>
          <w:b w:val="false"/>
          <w:color w:val="000000"/>
          <w:sz w:val="20"/>
        </w:rPr>
        <w:t xml:space="preserve">. In the event that it shall be necessary or desirable for the Manager to retain legal counsel and/or incur other costs and expenses in connection with the enforcement of any and all of his rights under this Agreement at any time during his lifetime, the Company shall pay (or the Manager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 the final outcome. </w:t>
      </w:r>
    </w:p>
    <w:p>
      <w:pPr>
        <w:pStyle w:val="TextBody"/>
        <w:spacing w:lineRule="auto" w:line="288" w:before="0" w:after="120"/>
        <w:rPr/>
      </w:pPr>
      <w:r>
        <w:rPr>
          <w:rFonts w:ascii="Times New Roman;sans-serif" w:hAnsi="Times New Roman;sans-serif"/>
          <w:b/>
          <w:color w:val="000000"/>
          <w:sz w:val="20"/>
        </w:rPr>
        <w:t>13.</w:t>
      </w:r>
      <w:r>
        <w:rPr>
          <w:rFonts w:ascii="Times New Roman;sans-serif" w:hAnsi="Times New Roman;sans-serif"/>
          <w:b/>
          <w:color w:val="000000"/>
          <w:sz w:val="20"/>
        </w:rPr>
        <w:t>Limitation on Payment Obligation.</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For purposes of this Section 13, all terms capitalized but not otherwise defined herein shall have the meanings as set forth in Section 280G of the Code. In addition:</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(iii)the portion of the “Base Amount” and the amount of “Reasonable Compensation” allocable to any “Parachute Payment” shall be determined in accordance with Section 280G(b)(3) and (4) of the Code.</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Limitation</w:t>
      </w:r>
      <w:r>
        <w:rPr>
          <w:rFonts w:ascii="Times New Roman;sans-serif" w:hAnsi="Times New Roman;sans-serif"/>
          <w:b w:val="false"/>
          <w:color w:val="000000"/>
          <w:sz w:val="20"/>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his consent. The determination of such tax counsel under this Section 13 shall be final and binding upon the Manager and the Company.</w:t>
      </w:r>
    </w:p>
    <w:p>
      <w:pPr>
        <w:pStyle w:val="TextBody"/>
        <w:spacing w:lineRule="auto" w:line="288" w:before="0" w:after="12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Illegal Payments</w:t>
      </w:r>
      <w:r>
        <w:rPr>
          <w:rFonts w:ascii="Times New Roman;sans-serif" w:hAnsi="Times New Roman;sans-serif"/>
          <w:b w:val="false"/>
          <w:color w:val="000000"/>
          <w:sz w:val="20"/>
        </w:rPr>
        <w:t>. Notwithstanding any other provision of this Agreement, no payment shall be made hereunder to or for the benefit of the Manager if and to the extent that such payments are determined to be illegal.</w:t>
      </w:r>
    </w:p>
    <w:p>
      <w:pPr>
        <w:pStyle w:val="TextBody"/>
        <w:spacing w:lineRule="auto" w:line="288" w:before="0" w:after="120"/>
        <w:rPr/>
      </w:pPr>
      <w:r>
        <w:rPr>
          <w:rFonts w:ascii="Times New Roman;sans-serif" w:hAnsi="Times New Roman;sans-serif"/>
          <w:b/>
          <w:color w:val="000000"/>
          <w:sz w:val="20"/>
        </w:rPr>
        <w:t>14.</w:t>
      </w:r>
      <w:r>
        <w:rPr>
          <w:rFonts w:ascii="Times New Roman;sans-serif" w:hAnsi="Times New Roman;sans-serif"/>
          <w:b/>
          <w:color w:val="000000"/>
          <w:sz w:val="20"/>
        </w:rPr>
        <w:t>Notices.</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pStyle w:val="TextBody"/>
        <w:spacing w:lineRule="auto" w:line="288" w:before="0" w:after="120"/>
        <w:rPr/>
      </w:pPr>
      <w:r>
        <w:rPr>
          <w:rFonts w:ascii="Times New Roman;sans-serif" w:hAnsi="Times New Roman;sans-serif"/>
          <w:b/>
          <w:color w:val="000000"/>
          <w:sz w:val="20"/>
        </w:rPr>
        <w:t>15.</w:t>
      </w:r>
      <w:r>
        <w:rPr>
          <w:rFonts w:ascii="Times New Roman;sans-serif" w:hAnsi="Times New Roman;sans-serif"/>
          <w:b/>
          <w:color w:val="000000"/>
          <w:sz w:val="20"/>
        </w:rPr>
        <w:t>Withholding.</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Notwithstanding any provision of this Agreement to the contrary, the Company may, to the extent required by law, withhold applicable Federal, state and local income and other taxes from any payments due to the Manager hereunder.</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v:rect>
            </w:pict>
          </mc:Fallback>
        </mc:AlternateContent>
      </w:r>
    </w:p>
    <w:p>
      <w:pPr>
        <w:pStyle w:val="TextBody"/>
        <w:spacing w:lineRule="auto" w:line="288" w:before="0" w:after="120"/>
        <w:rPr/>
      </w:pPr>
      <w:r>
        <w:rPr>
          <w:rFonts w:ascii="Times New Roman;sans-serif" w:hAnsi="Times New Roman;sans-serif"/>
          <w:b/>
          <w:color w:val="000000"/>
          <w:sz w:val="20"/>
        </w:rPr>
        <w:t>16.</w:t>
      </w:r>
      <w:r>
        <w:rPr>
          <w:rFonts w:ascii="Times New Roman;sans-serif" w:hAnsi="Times New Roman;sans-serif"/>
          <w:b/>
          <w:color w:val="000000"/>
          <w:sz w:val="20"/>
        </w:rPr>
        <w:t>Assignment and Benefit.</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pStyle w:val="TextBody"/>
        <w:spacing w:lineRule="auto" w:line="288" w:before="0" w:after="12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pStyle w:val="TextBody"/>
        <w:spacing w:lineRule="auto" w:line="288" w:before="0" w:after="120"/>
        <w:rPr/>
      </w:pPr>
      <w:r>
        <w:rPr>
          <w:rFonts w:ascii="Times New Roman;sans-serif" w:hAnsi="Times New Roman;sans-serif"/>
          <w:b/>
          <w:color w:val="000000"/>
          <w:sz w:val="20"/>
        </w:rPr>
        <w:t>17.</w:t>
      </w:r>
      <w:r>
        <w:rPr>
          <w:rFonts w:ascii="Times New Roman;sans-serif" w:hAnsi="Times New Roman;sans-serif"/>
          <w:b/>
          <w:color w:val="000000"/>
          <w:sz w:val="20"/>
        </w:rPr>
        <w:t>Governing Law.</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provisions of this Agreement shall be construed in accordance with the laws of the Commonwealth of Pennsylvania without reference to principles of conflicts of laws.</w:t>
      </w:r>
    </w:p>
    <w:p>
      <w:pPr>
        <w:pStyle w:val="TextBody"/>
        <w:spacing w:lineRule="auto" w:line="288" w:before="0" w:after="120"/>
        <w:rPr/>
      </w:pPr>
      <w:r>
        <w:rPr>
          <w:rFonts w:ascii="Times New Roman;sans-serif" w:hAnsi="Times New Roman;sans-serif"/>
          <w:b/>
          <w:color w:val="000000"/>
          <w:sz w:val="20"/>
        </w:rPr>
        <w:t>18.</w:t>
      </w:r>
      <w:r>
        <w:rPr>
          <w:rFonts w:ascii="Times New Roman;sans-serif" w:hAnsi="Times New Roman;sans-serif"/>
          <w:b/>
          <w:color w:val="000000"/>
          <w:sz w:val="20"/>
        </w:rPr>
        <w:t>Entire Agreement; Amendment.</w:t>
      </w:r>
    </w:p>
    <w:p>
      <w:pPr>
        <w:pStyle w:val="TextBody"/>
        <w:spacing w:lineRule="auto" w:line="288" w:before="0" w:after="12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Except for the change in control provisions set forth in the Company’s annual incentive plan and long term incentive plans, this Agreement represents the entire agreement and understanding of the parties with respect to the subject matter hereof. The Manager understands and acknowledges that the Company’s severance plan, annual incentive plan and long term incentive plans are hereby amended with respect to the Manager to avoid duplication of benefits, as provided in Section 7.</w:t>
      </w:r>
    </w:p>
    <w:p>
      <w:pPr>
        <w:pStyle w:val="TextBody"/>
        <w:spacing w:lineRule="auto" w:line="288" w:before="0" w:after="12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pStyle w:val="TextBody"/>
        <w:spacing w:lineRule="auto" w:line="288" w:before="0" w:after="120"/>
        <w:rPr/>
      </w:pPr>
      <w:r>
        <w:rPr>
          <w:rFonts w:ascii="Times New Roman;sans-serif" w:hAnsi="Times New Roman;sans-serif"/>
          <w:b/>
          <w:color w:val="000000"/>
          <w:sz w:val="20"/>
        </w:rPr>
        <w:t>19.</w:t>
      </w:r>
      <w:r>
        <w:rPr>
          <w:rFonts w:ascii="Times New Roman;sans-serif" w:hAnsi="Times New Roman;sans-serif"/>
          <w:b/>
          <w:color w:val="000000"/>
          <w:sz w:val="20"/>
        </w:rPr>
        <w:t>No Waiver.</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failure to insist upon strict compliance with any provision of this Agreement by any party shall not be deemed to be a waiver of any future noncompliance with such provision or of noncompliance with any other provision.</w:t>
      </w:r>
    </w:p>
    <w:p>
      <w:pPr>
        <w:pStyle w:val="TextBody"/>
        <w:spacing w:lineRule="auto" w:line="288" w:before="0" w:after="120"/>
        <w:rPr/>
      </w:pPr>
      <w:r>
        <w:rPr>
          <w:rFonts w:ascii="Times New Roman;sans-serif" w:hAnsi="Times New Roman;sans-serif"/>
          <w:b/>
          <w:color w:val="000000"/>
          <w:sz w:val="20"/>
        </w:rPr>
        <w:t>20.</w:t>
      </w:r>
      <w:r>
        <w:rPr>
          <w:rFonts w:ascii="Times New Roman;sans-serif" w:hAnsi="Times New Roman;sans-serif"/>
          <w:b/>
          <w:color w:val="000000"/>
          <w:sz w:val="20"/>
        </w:rPr>
        <w:t>Severability.</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In the event that any provision or portion of this Agreement shall be determined to be invalid or unenforceable for any reason, the remaining provisions of this Agreement shall be unaffected thereby and shall remain in full force and effect.</w:t>
      </w:r>
    </w:p>
    <w:p>
      <w:pPr>
        <w:pStyle w:val="TextBody"/>
        <w:spacing w:lineRule="auto" w:line="288" w:before="0" w:after="120"/>
        <w:rPr/>
      </w:pPr>
      <w:r>
        <w:rPr>
          <w:rFonts w:ascii="Times New Roman;sans-serif" w:hAnsi="Times New Roman;sans-serif"/>
          <w:b/>
          <w:color w:val="000000"/>
          <w:sz w:val="20"/>
        </w:rPr>
        <w:t>21.</w:t>
      </w:r>
      <w:r>
        <w:rPr>
          <w:rFonts w:ascii="Times New Roman;sans-serif" w:hAnsi="Times New Roman;sans-serif"/>
          <w:b/>
          <w:color w:val="000000"/>
          <w:sz w:val="20"/>
        </w:rPr>
        <w:t xml:space="preserve">Indemnification. </w: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v:rect>
            </w:pict>
          </mc:Fallback>
        </mc:AlternateContent>
      </w:r>
    </w:p>
    <w:p>
      <w:pPr>
        <w:pStyle w:val="TextBody"/>
        <w:spacing w:lineRule="auto" w:line="288" w:before="0" w:after="120"/>
        <w:rPr>
          <w:color w:val="000000"/>
        </w:rPr>
      </w:pPr>
      <w:r>
        <w:rPr>
          <w:color w:val="000000"/>
        </w:rPr>
        <w:t>    </w:t>
      </w:r>
      <w:r>
        <w:rPr>
          <w:rFonts w:ascii="Times New Roman;sans-serif" w:hAnsi="Times New Roman;sans-serif"/>
          <w:b w:val="false"/>
          <w:color w:val="000000"/>
          <w:sz w:val="20"/>
        </w:rPr>
        <w:t>IN WITNESS WHEREOF, the Manager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tbl>
      <w:tblPr>
        <w:tblW w:w="5389" w:type="dxa"/>
        <w:jc w:val="right"/>
        <w:tblInd w:w="0" w:type="dxa"/>
        <w:tblCellMar>
          <w:top w:w="28" w:type="dxa"/>
          <w:left w:w="28" w:type="dxa"/>
          <w:bottom w:w="28" w:type="dxa"/>
          <w:right w:w="28" w:type="dxa"/>
        </w:tblCellMar>
      </w:tblPr>
      <w:tblGrid>
        <w:gridCol w:w="311"/>
        <w:gridCol w:w="274"/>
        <w:gridCol w:w="274"/>
        <w:gridCol w:w="1318"/>
        <w:gridCol w:w="1318"/>
        <w:gridCol w:w="1894"/>
      </w:tblGrid>
      <w:tr>
        <w:trPr/>
        <w:tc>
          <w:tcPr>
            <w:tcW w:w="31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r>
      <w:tr>
        <w:trPr/>
        <w:tc>
          <w:tcPr>
            <w:tcW w:w="53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Fleck</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2023</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Leneis</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2023</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Human Resources Officer</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drawing>
          <wp:inline distT="0" distB="63500" distL="0" distR="0">
            <wp:extent cx="1885950" cy="723900"/>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8"/>
                    <a:stretch>
                      <a:fillRect/>
                    </a:stretch>
                  </pic:blipFill>
                  <pic:spPr bwMode="auto">
                    <a:xfrm>
                      <a:off x="0" y="0"/>
                      <a:ext cx="1885950" cy="723900"/>
                    </a:xfrm>
                    <a:prstGeom prst="rect">
                      <a:avLst/>
                    </a:prstGeom>
                  </pic:spPr>
                </pic:pic>
              </a:graphicData>
            </a:graphic>
          </wp:inline>
        </w:drawing>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33.5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v:rect>
            </w:pict>
          </mc:Fallback>
        </mc:AlternateContent>
      </w:r>
    </w:p>
    <w:p>
      <w:pPr>
        <w:pStyle w:val="TextBody"/>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10.3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PERFORMANCE STOCK UNIT AWARD </w:t>
      </w:r>
    </w:p>
    <w:p>
      <w:pPr>
        <w:pStyle w:val="TextBody"/>
        <w:spacing w:lineRule="auto" w:line="288" w:before="0" w:after="120"/>
        <w:rPr/>
      </w:pPr>
      <w:r>
        <w:rPr>
          <w:rFonts w:ascii="Times New Roman;sans-serif" w:hAnsi="Times New Roman;sans-serif"/>
          <w:b w:val="false"/>
          <w:color w:val="000000"/>
          <w:sz w:val="20"/>
        </w:rPr>
        <w:t>The Compensation and Human Resources Committee (the “Committee”) of the Board of Directors of Quaker Houghton has approved the award (the “Award”) to [</w:t>
      </w:r>
      <w:r>
        <w:rPr>
          <w:rFonts w:ascii="Times New Roman;sans-serif" w:hAnsi="Times New Roman;sans-serif"/>
          <w:b/>
          <w:color w:val="000000"/>
          <w:sz w:val="20"/>
        </w:rPr>
        <w:t xml:space="preserve">PARTICIPANT NAME] </w:t>
      </w:r>
      <w:r>
        <w:rPr>
          <w:rFonts w:ascii="Times New Roman;sans-serif" w:hAnsi="Times New Roman;sans-serif"/>
          <w:b w:val="false"/>
          <w:color w:val="000000"/>
          <w:sz w:val="20"/>
        </w:rPr>
        <w:t>(the “Grantee”), of [</w:t>
      </w:r>
      <w:r>
        <w:rPr>
          <w:rFonts w:ascii="Times New Roman;sans-serif" w:hAnsi="Times New Roman;sans-serif"/>
          <w:b/>
          <w:color w:val="000000"/>
          <w:sz w:val="20"/>
        </w:rPr>
        <w:t>TOTAL AWARD]</w:t>
      </w:r>
      <w:r>
        <w:rPr>
          <w:color w:val="000000"/>
        </w:rPr>
        <w:t xml:space="preserve"> </w:t>
      </w:r>
      <w:r>
        <w:rPr>
          <w:rFonts w:ascii="Times New Roman;sans-serif" w:hAnsi="Times New Roman;sans-serif"/>
          <w:b w:val="false"/>
          <w:color w:val="000000"/>
          <w:sz w:val="20"/>
        </w:rPr>
        <w:t>performance stock units (PSUs) as of [</w:t>
      </w:r>
      <w:r>
        <w:rPr>
          <w:rFonts w:ascii="Times New Roman;sans-serif" w:hAnsi="Times New Roman;sans-serif"/>
          <w:b/>
          <w:color w:val="000000"/>
          <w:sz w:val="20"/>
        </w:rPr>
        <w:t>GRANT DATE]</w:t>
      </w:r>
      <w:r>
        <w:rPr>
          <w:color w:val="000000"/>
        </w:rPr>
        <w:t xml:space="preserve"> </w:t>
      </w:r>
      <w:r>
        <w:rPr>
          <w:rFonts w:ascii="Times New Roman;sans-serif" w:hAnsi="Times New Roman;sans-serif"/>
          <w:b w:val="false"/>
          <w:color w:val="000000"/>
          <w:sz w:val="20"/>
        </w:rPr>
        <w:t xml:space="preserve">(the “Grant Date”), subject to achieving a pre-determined targeted performance based on the Company’s adjusted return on invested capital (ROIC) and relative total shareholder return (“TSR”) as compared to the actual ROIC of Quaker Houghton and TSR of the S&amp;P Mid Cap 400 (Materials Group), in each case, over the three-year period from January 1, 2023 to December 31, 2025 under the Quaker Houghton 2016 Long-Term Performance Incentive Plan (the “Plan”). This Award is subject to your acceptance of the terms and conditions of this Award set forth in this agreement (the “Agreement”). The level of payment can range from 0% to 200% (the “achievement percentage”) of the Target PSU award depending on our ROIC and TSR performance.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this Award are governed by this Agreement and the Plan. Unless otherwise defined herein, terms used in this Agreement have the meanings assigned to them in the Plan. In the event of any inconsistency between the terms of this Agreement and the terms of the Plan, the terms of the Plan shall govern.</w:t>
      </w:r>
    </w:p>
    <w:p>
      <w:pPr>
        <w:pStyle w:val="TextBody"/>
        <w:spacing w:lineRule="auto" w:line="288" w:before="0" w:after="120"/>
        <w:ind w:left="0" w:right="0" w:hanging="720"/>
        <w:rPr/>
      </w:pPr>
      <w:r>
        <w:rPr>
          <w:rFonts w:ascii="Times New Roman;sans-serif" w:hAnsi="Times New Roman;sans-serif"/>
          <w:b w:val="false"/>
          <w:color w:val="000000"/>
          <w:sz w:val="20"/>
        </w:rPr>
        <w:t xml:space="preserve">1.The Award (to the extent it is vested) will be paid in the calendar year following the end of the performance period. The Award will become vested as of the last day of the performance period to the extent determined by the Committee in its sole discretion. The number of shares of Quaker Houghton that will be paid under the PSU award will be equal to the sum of (x) (i) 50% </w:t>
      </w:r>
      <w:r>
        <w:rPr>
          <w:rFonts w:ascii="Times New Roman;sans-serif" w:hAnsi="Times New Roman;sans-serif"/>
          <w:b w:val="false"/>
          <w:i/>
          <w:color w:val="000000"/>
          <w:sz w:val="20"/>
        </w:rPr>
        <w:t>times</w:t>
      </w:r>
      <w:r>
        <w:rPr>
          <w:color w:val="000000"/>
        </w:rPr>
        <w:t xml:space="preserve"> </w:t>
      </w:r>
      <w:r>
        <w:rPr>
          <w:rFonts w:ascii="Times New Roman;sans-serif" w:hAnsi="Times New Roman;sans-serif"/>
          <w:b w:val="false"/>
          <w:color w:val="000000"/>
          <w:sz w:val="20"/>
        </w:rPr>
        <w:t xml:space="preserve">(ii) the payout percentage applicable to the Relative TSR Achievement Percentile </w:t>
      </w:r>
      <w:r>
        <w:rPr>
          <w:rFonts w:ascii="Times New Roman;sans-serif" w:hAnsi="Times New Roman;sans-serif"/>
          <w:b w:val="false"/>
          <w:i/>
          <w:color w:val="000000"/>
          <w:sz w:val="20"/>
        </w:rPr>
        <w:t>times</w:t>
      </w:r>
      <w:r>
        <w:rPr>
          <w:color w:val="000000"/>
        </w:rPr>
        <w:t xml:space="preserve"> </w:t>
      </w:r>
      <w:r>
        <w:rPr>
          <w:rFonts w:ascii="Times New Roman;sans-serif" w:hAnsi="Times New Roman;sans-serif"/>
          <w:b w:val="false"/>
          <w:color w:val="000000"/>
          <w:sz w:val="20"/>
        </w:rPr>
        <w:t xml:space="preserve">(iii) the Target PSU award; and (y) (i) 50% </w:t>
      </w:r>
      <w:r>
        <w:rPr>
          <w:rFonts w:ascii="Times New Roman;sans-serif" w:hAnsi="Times New Roman;sans-serif"/>
          <w:b w:val="false"/>
          <w:i/>
          <w:color w:val="000000"/>
          <w:sz w:val="20"/>
        </w:rPr>
        <w:t>times</w:t>
      </w:r>
      <w:r>
        <w:rPr>
          <w:color w:val="000000"/>
        </w:rPr>
        <w:t xml:space="preserve"> </w:t>
      </w:r>
      <w:r>
        <w:rPr>
          <w:rFonts w:ascii="Times New Roman;sans-serif" w:hAnsi="Times New Roman;sans-serif"/>
          <w:b w:val="false"/>
          <w:color w:val="000000"/>
          <w:sz w:val="20"/>
        </w:rPr>
        <w:t xml:space="preserve">(ii) the payout percentage applicable to the Adjusted Return on Invested Capital 3-Year Average Achievement Percentage </w:t>
      </w:r>
      <w:r>
        <w:rPr>
          <w:rFonts w:ascii="Times New Roman;sans-serif" w:hAnsi="Times New Roman;sans-serif"/>
          <w:b w:val="false"/>
          <w:i/>
          <w:color w:val="000000"/>
          <w:sz w:val="20"/>
        </w:rPr>
        <w:t>times</w:t>
      </w:r>
      <w:r>
        <w:rPr>
          <w:color w:val="000000"/>
        </w:rPr>
        <w:t xml:space="preserve"> </w:t>
      </w:r>
      <w:r>
        <w:rPr>
          <w:rFonts w:ascii="Times New Roman;sans-serif" w:hAnsi="Times New Roman;sans-serif"/>
          <w:b w:val="false"/>
          <w:color w:val="000000"/>
          <w:sz w:val="20"/>
        </w:rPr>
        <w:t>(iii) the Target PSU award, in each case as described below:</w:t>
      </w:r>
    </w:p>
    <w:tbl>
      <w:tblPr>
        <w:tblW w:w="10205" w:type="dxa"/>
        <w:jc w:val="left"/>
        <w:tblInd w:w="0" w:type="dxa"/>
        <w:tblCellMar>
          <w:top w:w="28" w:type="dxa"/>
          <w:left w:w="28" w:type="dxa"/>
          <w:bottom w:w="28" w:type="dxa"/>
          <w:right w:w="28" w:type="dxa"/>
        </w:tblCellMar>
      </w:tblPr>
      <w:tblGrid>
        <w:gridCol w:w="1930"/>
        <w:gridCol w:w="1589"/>
        <w:gridCol w:w="1600"/>
        <w:gridCol w:w="350"/>
        <w:gridCol w:w="350"/>
        <w:gridCol w:w="351"/>
        <w:gridCol w:w="497"/>
        <w:gridCol w:w="428"/>
        <w:gridCol w:w="367"/>
        <w:gridCol w:w="497"/>
        <w:gridCol w:w="428"/>
        <w:gridCol w:w="367"/>
        <w:gridCol w:w="497"/>
        <w:gridCol w:w="425"/>
        <w:gridCol w:w="529"/>
      </w:tblGrid>
      <w:tr>
        <w:trPr/>
        <w:tc>
          <w:tcPr>
            <w:tcW w:w="1930"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51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 Measure</w:t>
            </w:r>
          </w:p>
        </w:tc>
        <w:tc>
          <w:tcPr>
            <w:tcW w:w="105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Weighting</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w:t>
            </w:r>
          </w:p>
        </w:tc>
        <w:tc>
          <w:tcPr>
            <w:tcW w:w="4035" w:type="dxa"/>
            <w:gridSpan w:val="9"/>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Award Parameters as a % of Goal</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Board Discretion to Pay Between 0% -200%of Target</w:t>
            </w:r>
          </w:p>
        </w:tc>
      </w:tr>
      <w:tr>
        <w:trPr/>
        <w:tc>
          <w:tcPr>
            <w:tcW w:w="5119"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Relative TSR* Achievement Percentile</w:t>
            </w:r>
          </w:p>
        </w:tc>
        <w:tc>
          <w:tcPr>
            <w:tcW w:w="105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c>
          <w:tcPr>
            <w:tcW w:w="14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tc>
      </w:tr>
      <w:tr>
        <w:trPr/>
        <w:tc>
          <w:tcPr>
            <w:tcW w:w="5119"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Payout Percentage</w:t>
            </w:r>
          </w:p>
        </w:tc>
        <w:tc>
          <w:tcPr>
            <w:tcW w:w="105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50%</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100%</w:t>
            </w:r>
          </w:p>
        </w:tc>
        <w:tc>
          <w:tcPr>
            <w:tcW w:w="14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200%</w:t>
            </w:r>
          </w:p>
        </w:tc>
      </w:tr>
      <w:tr>
        <w:trPr/>
        <w:tc>
          <w:tcPr>
            <w:tcW w:w="5119"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Invested Capital (ROIC) 3-Year Average Achievement Percentage*</w:t>
            </w:r>
          </w:p>
        </w:tc>
        <w:tc>
          <w:tcPr>
            <w:tcW w:w="105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4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51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Payout Percentage</w:t>
            </w:r>
          </w:p>
        </w:tc>
        <w:tc>
          <w:tcPr>
            <w:tcW w:w="105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50%</w:t>
            </w:r>
          </w:p>
        </w:tc>
        <w:tc>
          <w:tcPr>
            <w:tcW w:w="129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100%</w:t>
            </w:r>
          </w:p>
        </w:tc>
        <w:tc>
          <w:tcPr>
            <w:tcW w:w="14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Payout at 200%</w:t>
            </w:r>
          </w:p>
        </w:tc>
      </w:tr>
      <w:tr>
        <w:trPr/>
        <w:tc>
          <w:tcPr>
            <w:tcW w:w="51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120"/>
              <w:jc w:val="left"/>
              <w:rPr/>
            </w:pPr>
            <w:r>
              <w:rPr>
                <w:rFonts w:ascii="Times New Roman;sans-serif" w:hAnsi="Times New Roman;sans-serif"/>
                <w:b w:val="false"/>
                <w:color w:val="000000"/>
                <w:sz w:val="20"/>
              </w:rPr>
              <w:t>*</w:t>
            </w:r>
            <w:r>
              <w:rPr>
                <w:rFonts w:ascii="Arial;sans-serif" w:hAnsi="Arial;sans-serif"/>
                <w:b w:val="false"/>
                <w:color w:val="000000"/>
                <w:sz w:val="16"/>
              </w:rPr>
              <w:t>PSU TSR Metric is relative TSR against S&amp;P Mid Cap 400 Materials Group</w:t>
            </w:r>
          </w:p>
        </w:tc>
      </w:tr>
    </w:tbl>
    <w:p>
      <w:pPr>
        <w:pStyle w:val="TextBody"/>
        <w:spacing w:lineRule="auto" w:line="288" w:before="0" w:after="120"/>
        <w:rPr/>
      </w:pPr>
      <w:r>
        <w:rPr>
          <w:color w:val="000000"/>
        </w:rPr>
        <w:t>    </w:t>
      </w:r>
      <w:r>
        <w:rPr>
          <w:rFonts w:ascii="Times New Roman;sans-serif" w:hAnsi="Times New Roman;sans-serif"/>
          <w:b w:val="false"/>
          <w:color w:val="000000"/>
          <w:sz w:val="20"/>
        </w:rPr>
        <w:t xml:space="preserve">Award achievement will be determined in the sole discretion of Quaker Houghton and may include adjustments relating to (i) accounting rule changes, (ii) Board-approved strategic changes, (iii) legislation or regulations that significantly impact the business results, (iv) capital or business restructurings including mergers and acquisitions, (v) legal actions against Quaker Houghton significantly affecting operating income, (vi) translational foreign exchange, (vii) natural disasters that cause material changes in business conditions, (viii) force majeures (e.g. terrorism, acts of god, war), (ix) significant operational restructuring (e.g. major IT conversion) or (x) unexpected external landscape changes that impact Award assumptions. Quaker Houghton reserves the discretion to determine the Payout Percentage (if any) for achievement thresholds that fall in between the thresholds described in the Table above;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no payment will be made with respect to the Relative TSR award measure if the Relative TSR Achievement Percentile is below 25% and no payment will be made with respect to the Return on Investment Capital award measure if the Adjusted Return on Investment Capital 3-Year Average Achievement Percentage is less than 7.4%.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59155"/>
                <wp:effectExtent l="0" t="0" r="0" b="0"/>
                <wp:wrapNone/>
                <wp:docPr id="53" name="Frame51"/>
                <a:graphic xmlns:a="http://schemas.openxmlformats.org/drawingml/2006/main">
                  <a:graphicData uri="http://schemas.microsoft.com/office/word/2010/wordprocessingShape">
                    <wps:wsp>
                      <wps:cNvSpPr txBox="1"/>
                      <wps:spPr>
                        <a:xfrm>
                          <a:off x="0" y="0"/>
                          <a:ext cx="6480175" cy="859155"/>
                        </a:xfrm>
                        <a:prstGeom prst="rect"/>
                      </wps:spPr>
                      <wps:txbx>
                        <w:txbxContent>
                          <w:p>
                            <w:pPr>
                              <w:pStyle w:val="TextBody"/>
                              <w:spacing w:lineRule="auto" w:line="319" w:before="0" w:after="0"/>
                              <w:jc w:val="right"/>
                              <w:rPr>
                                <w:rFonts w:ascii="Arial;sans-serif" w:hAnsi="Arial;sans-serif"/>
                                <w:b/>
                                <w:color w:val="000000"/>
                                <w:sz w:val="18"/>
                              </w:rPr>
                            </w:pPr>
                            <w:r>
                              <w:rPr>
                                <w:rFonts w:ascii="Arial;sans-serif" w:hAnsi="Arial;sans-serif"/>
                                <w:b/>
                                <w:color w:val="000000"/>
                                <w:sz w:val="18"/>
                              </w:rPr>
                              <w:t>Quaker Chemical Corporation</w:t>
                            </w:r>
                          </w:p>
                          <w:p>
                            <w:pPr>
                              <w:pStyle w:val="TextBody"/>
                              <w:spacing w:lineRule="auto" w:line="319" w:before="0" w:after="0"/>
                              <w:jc w:val="right"/>
                              <w:rPr>
                                <w:rFonts w:ascii="Arial;sans-serif" w:hAnsi="Arial;sans-serif"/>
                                <w:b/>
                                <w:color w:val="000000"/>
                                <w:sz w:val="18"/>
                              </w:rPr>
                            </w:pPr>
                            <w:r>
                              <w:rPr>
                                <w:rFonts w:ascii="Arial;sans-serif" w:hAnsi="Arial;sans-serif"/>
                                <w:b/>
                                <w:color w:val="000000"/>
                                <w:sz w:val="18"/>
                              </w:rPr>
                              <w:t>A Quaker Houghton Company</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901 E. Hector Street</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Conshohocken, PA 19428-2380</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T: 610.832.4000</w:t>
                            </w:r>
                          </w:p>
                          <w:p>
                            <w:pPr>
                              <w:pStyle w:val="TextBody"/>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quakerhoughton.com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right"/>
                        <w:rPr>
                          <w:rFonts w:ascii="Arial;sans-serif" w:hAnsi="Arial;sans-serif"/>
                          <w:b/>
                          <w:color w:val="000000"/>
                          <w:sz w:val="18"/>
                        </w:rPr>
                      </w:pPr>
                      <w:r>
                        <w:rPr>
                          <w:rFonts w:ascii="Arial;sans-serif" w:hAnsi="Arial;sans-serif"/>
                          <w:b/>
                          <w:color w:val="000000"/>
                          <w:sz w:val="18"/>
                        </w:rPr>
                        <w:t>Quaker Chemical Corporation</w:t>
                      </w:r>
                    </w:p>
                    <w:p>
                      <w:pPr>
                        <w:pStyle w:val="TextBody"/>
                        <w:spacing w:lineRule="auto" w:line="319" w:before="0" w:after="0"/>
                        <w:jc w:val="right"/>
                        <w:rPr>
                          <w:rFonts w:ascii="Arial;sans-serif" w:hAnsi="Arial;sans-serif"/>
                          <w:b/>
                          <w:color w:val="000000"/>
                          <w:sz w:val="18"/>
                        </w:rPr>
                      </w:pPr>
                      <w:r>
                        <w:rPr>
                          <w:rFonts w:ascii="Arial;sans-serif" w:hAnsi="Arial;sans-serif"/>
                          <w:b/>
                          <w:color w:val="000000"/>
                          <w:sz w:val="18"/>
                        </w:rPr>
                        <w:t>A Quaker Houghton Company</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901 E. Hector Street</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Conshohocken, PA 19428-2380</w:t>
                      </w:r>
                    </w:p>
                    <w:p>
                      <w:pPr>
                        <w:pStyle w:val="TextBody"/>
                        <w:spacing w:lineRule="auto" w:line="319" w:before="0" w:after="0"/>
                        <w:jc w:val="right"/>
                        <w:rPr>
                          <w:rFonts w:ascii="Arial;sans-serif" w:hAnsi="Arial;sans-serif"/>
                          <w:b w:val="false"/>
                          <w:color w:val="000000"/>
                          <w:sz w:val="14"/>
                        </w:rPr>
                      </w:pPr>
                      <w:r>
                        <w:rPr>
                          <w:rFonts w:ascii="Arial;sans-serif" w:hAnsi="Arial;sans-serif"/>
                          <w:b w:val="false"/>
                          <w:color w:val="000000"/>
                          <w:sz w:val="14"/>
                        </w:rPr>
                        <w:t>T: 610.832.4000</w:t>
                      </w:r>
                    </w:p>
                    <w:p>
                      <w:pPr>
                        <w:pStyle w:val="TextBody"/>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quakerhoughton.com</w:t>
                      </w:r>
                    </w:p>
                  </w:txbxContent>
                </v:textbox>
              </v:rect>
            </w:pict>
          </mc:Fallback>
        </mc:AlternateConten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2.Grantee (or Grantee’s beneficiary) will have no voting rights with respect to the PSUs. </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3.Grantee will not be entitled to receive cash dividends or dividend equivalents on PSUs.</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4.PSUs may not be transferred in any manner other than by will or the laws of descent or distribution.</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5.Unvested PSUs will be forfeited in the event Grantee’s employment ends prior to the completion of the vesting period, unless such termination is due to (i) death, (ii) Total Disability or (iii) termination of service on or after attainment of age 60, in each case, as provided in the Plan. If the Grantee’s termination occurs due to the aforementioned circumstances, then the Grantee’s PSUs will be prorated based on number of full months of active service during the performance period, as provided in the Plan.</w:t>
      </w:r>
    </w:p>
    <w:p>
      <w:pPr>
        <w:pStyle w:val="TextBody"/>
        <w:spacing w:lineRule="auto" w:line="288"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6.All distributions to Grantee or to Grantee’s beneficiary upon vesting of the PSUs hereunder will be subject to withholding by the Plan’s third-party administrator of amounts sufficient to cover the applicable withholding obligations. In the event that any required tax withholding upon the settlement of such PSUs exceeds your other compensation due from the Company, Grantee agrees to remit to the Company, as a condition to settlement of such PSUs, such additional amounts in cash as are necessary to satisfy the required withholding. Any and all withholding obligations may be settled with shares of Common Stock.</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7.Nothing in the Plan or this Agreement will be construed as creating any right in the Grantee to continued employment or service, or as altering or amending the existing terms and conditions of the Grantee’s employment or service.</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8.All notices required to be given hereunder shall be mailed by registered or certified mail to the Company to the attention of its Secretary, at 901 E. Hector Street, Conshohocken, Pennsylvania 19428, and to Grantee at Grantee’s address as it appears on the Company’s books and records unless either of said parties has duly notified the other in writing of a change in address.</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9.To the extent not preempted by Federal law, this Agreement shall be construed, administered and governed in all respects under and by the laws of the Commonwealth of Pennsylvania, without giving effect to its conflict of laws principles.</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10.This Agreement contains all the understandings between the parties hereto pertaining to the matter referred to herein, and supersedes all undertakings and agreements, whether oral or in writing, previously entered into by them with respect thereto. Grantee represents that, in executing this Agreement, Grantee has not relied upon any representation or statement not set forth herein made by the Company with regard to the subject matter of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720"/>
        <w:jc w:val="both"/>
        <w:rPr/>
      </w:pPr>
      <w:r>
        <w:rPr/>
      </w:r>
    </w:p>
    <w:tbl>
      <w:tblPr>
        <w:tblW w:w="2548" w:type="dxa"/>
        <w:jc w:val="left"/>
        <w:tblInd w:w="0" w:type="dxa"/>
        <w:tblCellMar>
          <w:top w:w="28" w:type="dxa"/>
          <w:left w:w="28" w:type="dxa"/>
          <w:bottom w:w="28" w:type="dxa"/>
          <w:right w:w="28" w:type="dxa"/>
        </w:tblCellMar>
      </w:tblPr>
      <w:tblGrid>
        <w:gridCol w:w="178"/>
        <w:gridCol w:w="157"/>
        <w:gridCol w:w="159"/>
        <w:gridCol w:w="601"/>
        <w:gridCol w:w="601"/>
        <w:gridCol w:w="852"/>
      </w:tblGrid>
      <w:tr>
        <w:trPr/>
        <w:tc>
          <w:tcPr>
            <w:tcW w:w="17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r>
      <w:tr>
        <w:trPr/>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w:t>
            </w:r>
          </w:p>
        </w:tc>
      </w:tr>
      <w:tr>
        <w:trPr/>
        <w:tc>
          <w:tcPr>
            <w:tcW w:w="49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BY: </w:t>
            </w:r>
          </w:p>
        </w:tc>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Andrew E. Tometich </w:t>
            </w:r>
          </w:p>
        </w:tc>
      </w:tr>
    </w:tbl>
    <w:p>
      <w:pPr>
        <w:pStyle w:val="TextBody"/>
        <w:spacing w:lineRule="auto" w:line="288" w:before="0" w:after="120"/>
        <w:ind w:left="0" w:right="0" w:hanging="7"/>
        <w:jc w:val="both"/>
        <w:rPr>
          <w:color w:val="000000"/>
        </w:rPr>
      </w:pPr>
      <w:r>
        <w:rPr>
          <w:color w:val="000000"/>
        </w:rPr>
        <w:t>    </w:t>
      </w:r>
      <w:r>
        <w:rPr>
          <w:rFonts w:ascii="Times New Roman;sans-serif" w:hAnsi="Times New Roman;sans-serif"/>
          <w:b w:val="false"/>
          <w:color w:val="000000"/>
          <w:sz w:val="20"/>
        </w:rPr>
        <w:t xml:space="preserve">Grantee represents that Grantee is familiar with the terms and provisions of the Plan, and hereby accepts this Award subject to the terms and provisions of the Plan insofar as they relate to PSUs granted thereunder. Grantee agrees hereby to accept as binding, conclusive, and final all decisions or interpretations of the Committee upon any questions arising under the Plan or this Grant. Grantee authorizes the Company to withhold in accordance with applicable law from any compensation payable to Grantee any taxes required to be withheld by Federal, state, or local law as a result of the vesting of this Award. Grantee represents that, in executing this Agreement, Grantee has not relied upon any representation or statement not set forth herein made by the Company with regard to the subject matter of this Agreement. </w:t>
      </w:r>
    </w:p>
    <w:tbl>
      <w:tblPr>
        <w:tblW w:w="3239" w:type="dxa"/>
        <w:jc w:val="left"/>
        <w:tblInd w:w="0" w:type="dxa"/>
        <w:tblCellMar>
          <w:top w:w="28" w:type="dxa"/>
          <w:left w:w="28" w:type="dxa"/>
          <w:bottom w:w="28" w:type="dxa"/>
          <w:right w:w="28" w:type="dxa"/>
        </w:tblCellMar>
      </w:tblPr>
      <w:tblGrid>
        <w:gridCol w:w="567"/>
        <w:gridCol w:w="498"/>
        <w:gridCol w:w="510"/>
        <w:gridCol w:w="487"/>
        <w:gridCol w:w="487"/>
        <w:gridCol w:w="690"/>
      </w:tblGrid>
      <w:tr>
        <w:trPr/>
        <w:tc>
          <w:tcPr>
            <w:tcW w:w="56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BY: </w:t>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[Participant Name]</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Acceptance Date:</w:t>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4" name="Frame52"/>
                <a:graphic xmlns:a="http://schemas.openxmlformats.org/drawingml/2006/main">
                  <a:graphicData uri="http://schemas.microsoft.com/office/word/2010/wordprocessingShape">
                    <wps:wsp>
                      <wps:cNvSpPr txBox="1"/>
                      <wps:spPr>
                        <a:xfrm>
                          <a:off x="0" y="0"/>
                          <a:ext cx="6480175" cy="59499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THE COMPANY PURSUANT TO RULE 13a 14(a) OF THE SECURITIES EXCHANGE ACT OF 1934</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Andrew E. Tometich,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Quaker Chemical Corporation;</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03" w:type="dxa"/>
        <w:jc w:val="left"/>
        <w:tblInd w:w="0" w:type="dxa"/>
        <w:tblCellMar>
          <w:top w:w="28" w:type="dxa"/>
          <w:left w:w="28" w:type="dxa"/>
          <w:bottom w:w="28" w:type="dxa"/>
          <w:right w:w="28" w:type="dxa"/>
        </w:tblCellMar>
      </w:tblPr>
      <w:tblGrid>
        <w:gridCol w:w="591"/>
        <w:gridCol w:w="520"/>
        <w:gridCol w:w="523"/>
        <w:gridCol w:w="604"/>
        <w:gridCol w:w="604"/>
        <w:gridCol w:w="86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2069"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E. Tometich</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E. Tometich</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OF THE COMPANY PURSUANT TO RULE 13a-14(a) OF THE SECURITIES EXCHANGE ACT OF 1934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Shane W. Hostetter, certify that: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Quaker Chemical Corporation;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689" w:type="dxa"/>
        <w:jc w:val="left"/>
        <w:tblInd w:w="0" w:type="dxa"/>
        <w:tblCellMar>
          <w:top w:w="28" w:type="dxa"/>
          <w:left w:w="28" w:type="dxa"/>
          <w:bottom w:w="28" w:type="dxa"/>
          <w:right w:w="28" w:type="dxa"/>
        </w:tblCellMar>
      </w:tblPr>
      <w:tblGrid>
        <w:gridCol w:w="591"/>
        <w:gridCol w:w="520"/>
        <w:gridCol w:w="523"/>
        <w:gridCol w:w="601"/>
        <w:gridCol w:w="601"/>
        <w:gridCol w:w="85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2055"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March 31,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449" w:type="dxa"/>
        <w:jc w:val="left"/>
        <w:tblInd w:w="0" w:type="dxa"/>
        <w:tblCellMar>
          <w:top w:w="28" w:type="dxa"/>
          <w:left w:w="28" w:type="dxa"/>
          <w:bottom w:w="28" w:type="dxa"/>
          <w:right w:w="28" w:type="dxa"/>
        </w:tblCellMar>
      </w:tblPr>
      <w:tblGrid>
        <w:gridCol w:w="591"/>
        <w:gridCol w:w="520"/>
        <w:gridCol w:w="523"/>
        <w:gridCol w:w="1406"/>
        <w:gridCol w:w="1406"/>
        <w:gridCol w:w="200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815"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Andrew E. Tometich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Andrew E. Tometich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of Quaker Chemical Corporation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March 31,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388" w:type="dxa"/>
        <w:jc w:val="left"/>
        <w:tblInd w:w="0" w:type="dxa"/>
        <w:tblCellMar>
          <w:top w:w="28" w:type="dxa"/>
          <w:left w:w="28" w:type="dxa"/>
          <w:bottom w:w="28" w:type="dxa"/>
          <w:right w:w="28" w:type="dxa"/>
        </w:tblCellMar>
      </w:tblPr>
      <w:tblGrid>
        <w:gridCol w:w="591"/>
        <w:gridCol w:w="520"/>
        <w:gridCol w:w="523"/>
        <w:gridCol w:w="1390"/>
        <w:gridCol w:w="1390"/>
        <w:gridCol w:w="197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4754"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of Quaker Chemical Corporation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Times">
    <w:altName w:val="Times New Roman"/>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008136219000013/exhibit31.htm" TargetMode="External"/><Relationship Id="rId4" Type="http://schemas.openxmlformats.org/officeDocument/2006/relationships/hyperlink" Target="https://www.sec.gov/Archives/edgar/data/81362/000110465922128616/tm2233147d1_ex3-1.htm" TargetMode="External"/><Relationship Id="rId5" Type="http://schemas.openxmlformats.org/officeDocument/2006/relationships/hyperlink" Target="https://www.sec.gov/Archives/edgar/data/81362/000110465922128616/tm2233147d1_ex3-1.htm" TargetMode="External"/><Relationship Id="rId6" Type="http://schemas.openxmlformats.org/officeDocument/2006/relationships/hyperlink" Target="https://www.sec.gov/Archives/edgar/data/81362/000110465922128616/tm2233147d1_ex3-1.htm" TargetMode="Externa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30849</Words>
  <CharactersWithSpaces>199716</CharactersWithSpaces>
  <Paragraphs>2246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