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42"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500" w:hanging="496"/>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366" w:lineRule="exact"/>
        <w:rPr>
          <w:sz w:val="24"/>
          <w:szCs w:val="24"/>
          <w:color w:val="auto"/>
        </w:rPr>
      </w:pPr>
    </w:p>
    <w:p>
      <w:pPr>
        <w:ind w:left="3360"/>
        <w:spacing w:after="0"/>
        <w:tabs>
          <w:tab w:leader="none" w:pos="57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number001-12019</w:t>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QUAKER CHEMICAL CORPORATION</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23" w:lineRule="exact"/>
        <w:rPr>
          <w:sz w:val="24"/>
          <w:szCs w:val="24"/>
          <w:color w:val="auto"/>
        </w:rPr>
      </w:pPr>
    </w:p>
    <w:tbl>
      <w:tblPr>
        <w:tblLayout w:type="fixed"/>
        <w:tblInd w:w="2020" w:type="dxa"/>
        <w:tblCellMar>
          <w:top w:w="0" w:type="dxa"/>
          <w:left w:w="0" w:type="dxa"/>
          <w:bottom w:w="0" w:type="dxa"/>
          <w:right w:w="0" w:type="dxa"/>
        </w:tblCellMar>
      </w:tblPr>
      <w:tr>
        <w:trPr>
          <w:trHeight w:val="187"/>
        </w:trPr>
        <w:tc>
          <w:tcPr>
            <w:tcW w:w="2940" w:type="dxa"/>
            <w:vAlign w:val="bottom"/>
          </w:tcPr>
          <w:p>
            <w:pPr>
              <w:spacing w:after="0"/>
              <w:rPr>
                <w:sz w:val="20"/>
                <w:szCs w:val="20"/>
                <w:color w:val="auto"/>
              </w:rPr>
            </w:pPr>
            <w:r>
              <w:rPr>
                <w:rFonts w:ascii="Arial" w:cs="Arial" w:eastAsia="Arial" w:hAnsi="Arial"/>
                <w:sz w:val="14"/>
                <w:szCs w:val="14"/>
                <w:b w:val="1"/>
                <w:bCs w:val="1"/>
                <w:color w:val="auto"/>
              </w:rPr>
              <w:t>Pennsylvania</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23-0993790</w:t>
            </w:r>
          </w:p>
        </w:tc>
      </w:tr>
    </w:tbl>
    <w:p>
      <w:pPr>
        <w:spacing w:after="0" w:line="4" w:lineRule="exact"/>
        <w:rPr>
          <w:sz w:val="24"/>
          <w:szCs w:val="24"/>
          <w:color w:val="auto"/>
        </w:rPr>
      </w:pPr>
    </w:p>
    <w:p>
      <w:pPr>
        <w:sectPr>
          <w:pgSz w:w="11900" w:h="16838" w:orient="portrait"/>
          <w:cols w:equalWidth="0" w:num="1">
            <w:col w:w="9660"/>
          </w:cols>
          <w:pgMar w:left="1080" w:top="939" w:right="1159" w:bottom="1440" w:gutter="0" w:footer="0" w:header="0"/>
        </w:sectPr>
      </w:pPr>
    </w:p>
    <w:p>
      <w:pPr>
        <w:ind w:left="1700"/>
        <w:spacing w:after="0"/>
        <w:rPr>
          <w:sz w:val="20"/>
          <w:szCs w:val="20"/>
          <w:color w:val="auto"/>
        </w:rPr>
      </w:pPr>
      <w:r>
        <w:rPr>
          <w:rFonts w:ascii="Arial" w:cs="Arial" w:eastAsia="Arial" w:hAnsi="Arial"/>
          <w:sz w:val="10"/>
          <w:szCs w:val="10"/>
          <w:b w:val="1"/>
          <w:bCs w:val="1"/>
          <w:color w:val="auto"/>
        </w:rPr>
        <w:t>(State or other jurisdiction of</w:t>
      </w:r>
    </w:p>
    <w:p>
      <w:pPr>
        <w:spacing w:after="0" w:line="19" w:lineRule="exact"/>
        <w:rPr>
          <w:sz w:val="24"/>
          <w:szCs w:val="24"/>
          <w:color w:val="auto"/>
        </w:rPr>
      </w:pPr>
    </w:p>
    <w:p>
      <w:pPr>
        <w:ind w:left="1660"/>
        <w:spacing w:after="0"/>
        <w:rPr>
          <w:sz w:val="20"/>
          <w:szCs w:val="20"/>
          <w:color w:val="auto"/>
        </w:rPr>
      </w:pPr>
      <w:r>
        <w:rPr>
          <w:rFonts w:ascii="Arial" w:cs="Arial" w:eastAsia="Arial" w:hAnsi="Arial"/>
          <w:sz w:val="10"/>
          <w:szCs w:val="10"/>
          <w:b w:val="1"/>
          <w:bCs w:val="1"/>
          <w:color w:val="auto"/>
        </w:rPr>
        <w:t>incorporation or organization)</w:t>
      </w:r>
    </w:p>
    <w:p>
      <w:pPr>
        <w:spacing w:after="0" w:line="262"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901 E. Hector Street,</w:t>
      </w:r>
    </w:p>
    <w:p>
      <w:pPr>
        <w:spacing w:after="0" w:line="17" w:lineRule="exact"/>
        <w:rPr>
          <w:sz w:val="24"/>
          <w:szCs w:val="24"/>
          <w:color w:val="auto"/>
        </w:rPr>
      </w:pPr>
    </w:p>
    <w:p>
      <w:pPr>
        <w:jc w:val="center"/>
        <w:ind w:right="1320"/>
        <w:spacing w:after="0"/>
        <w:rPr>
          <w:sz w:val="20"/>
          <w:szCs w:val="20"/>
          <w:color w:val="auto"/>
        </w:rPr>
      </w:pPr>
      <w:r>
        <w:rPr>
          <w:rFonts w:ascii="Arial" w:cs="Arial" w:eastAsia="Arial" w:hAnsi="Arial"/>
          <w:sz w:val="12"/>
          <w:szCs w:val="12"/>
          <w:b w:val="1"/>
          <w:bCs w:val="1"/>
          <w:color w:val="auto"/>
        </w:rPr>
        <w:t>Conshohocken, Pennsylvania</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00" w:lineRule="exact"/>
        <w:rPr>
          <w:sz w:val="24"/>
          <w:szCs w:val="24"/>
          <w:color w:val="auto"/>
        </w:rPr>
      </w:pPr>
    </w:p>
    <w:p>
      <w:pPr>
        <w:spacing w:after="0" w:line="278" w:lineRule="exact"/>
        <w:rPr>
          <w:sz w:val="24"/>
          <w:szCs w:val="24"/>
          <w:color w:val="auto"/>
        </w:rPr>
      </w:pPr>
    </w:p>
    <w:p>
      <w:pPr>
        <w:ind w:left="80"/>
        <w:spacing w:after="0"/>
        <w:rPr>
          <w:sz w:val="20"/>
          <w:szCs w:val="20"/>
          <w:color w:val="auto"/>
        </w:rPr>
      </w:pPr>
      <w:r>
        <w:rPr>
          <w:rFonts w:ascii="Arial" w:cs="Arial" w:eastAsia="Arial" w:hAnsi="Arial"/>
          <w:sz w:val="13"/>
          <w:szCs w:val="13"/>
          <w:b w:val="1"/>
          <w:bCs w:val="1"/>
          <w:color w:val="auto"/>
        </w:rPr>
        <w:t>19428 – 2380</w:t>
      </w:r>
    </w:p>
    <w:p>
      <w:pPr>
        <w:spacing w:after="0" w:line="26" w:lineRule="exact"/>
        <w:rPr>
          <w:sz w:val="24"/>
          <w:szCs w:val="24"/>
          <w:color w:val="auto"/>
        </w:rPr>
      </w:pPr>
    </w:p>
    <w:p>
      <w:pPr>
        <w:sectPr>
          <w:pgSz w:w="11900" w:h="16838" w:orient="portrait"/>
          <w:cols w:equalWidth="0" w:num="2">
            <w:col w:w="6200" w:space="720"/>
            <w:col w:w="2740"/>
          </w:cols>
          <w:pgMar w:left="1080" w:top="939" w:right="1159" w:bottom="1440" w:gutter="0" w:footer="0" w:header="0"/>
          <w:type w:val="continuous"/>
        </w:sectPr>
      </w:pPr>
    </w:p>
    <w:p>
      <w:pPr>
        <w:ind w:left="1460"/>
        <w:spacing w:after="0"/>
        <w:tabs>
          <w:tab w:leader="none" w:pos="7100" w:val="left"/>
        </w:tabs>
        <w:rPr>
          <w:sz w:val="20"/>
          <w:szCs w:val="20"/>
          <w:color w:val="auto"/>
        </w:rPr>
      </w:pPr>
      <w:r>
        <w:rPr>
          <w:rFonts w:ascii="Arial" w:cs="Arial" w:eastAsia="Arial" w:hAnsi="Arial"/>
          <w:sz w:val="12"/>
          <w:szCs w:val="12"/>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1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 610-832-4000</w:t>
      </w: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Not Applicable</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3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1020" w:type="dxa"/>
            <w:vAlign w:val="bottom"/>
          </w:tcPr>
          <w:p>
            <w:pPr>
              <w:spacing w:after="0"/>
              <w:rPr>
                <w:sz w:val="18"/>
                <w:szCs w:val="18"/>
                <w:color w:val="auto"/>
              </w:rPr>
            </w:pPr>
          </w:p>
        </w:tc>
        <w:tc>
          <w:tcPr>
            <w:tcW w:w="3300" w:type="dxa"/>
            <w:vAlign w:val="bottom"/>
            <w:gridSpan w:val="2"/>
          </w:tcPr>
          <w:p>
            <w:pPr>
              <w:jc w:val="center"/>
              <w:ind w:right="2220"/>
              <w:spacing w:after="0"/>
              <w:rPr>
                <w:sz w:val="20"/>
                <w:szCs w:val="20"/>
                <w:color w:val="auto"/>
              </w:rPr>
            </w:pPr>
            <w:r>
              <w:rPr>
                <w:rFonts w:ascii="Arial" w:cs="Arial" w:eastAsia="Arial" w:hAnsi="Arial"/>
                <w:sz w:val="14"/>
                <w:szCs w:val="14"/>
                <w:color w:val="auto"/>
                <w:w w:val="92"/>
              </w:rPr>
              <w:t>Title of each class</w:t>
            </w:r>
          </w:p>
        </w:tc>
        <w:tc>
          <w:tcPr>
            <w:tcW w:w="2560" w:type="dxa"/>
            <w:vAlign w:val="bottom"/>
            <w:gridSpan w:val="2"/>
          </w:tcPr>
          <w:p>
            <w:pPr>
              <w:jc w:val="center"/>
              <w:ind w:right="1460"/>
              <w:spacing w:after="0"/>
              <w:rPr>
                <w:sz w:val="20"/>
                <w:szCs w:val="20"/>
                <w:color w:val="auto"/>
              </w:rPr>
            </w:pPr>
            <w:r>
              <w:rPr>
                <w:rFonts w:ascii="Arial" w:cs="Arial" w:eastAsia="Arial" w:hAnsi="Arial"/>
                <w:sz w:val="14"/>
                <w:szCs w:val="14"/>
                <w:color w:val="auto"/>
                <w:w w:val="96"/>
              </w:rPr>
              <w:t>Trading Symbol(s)</w:t>
            </w: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93"/>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4320" w:type="dxa"/>
            <w:vAlign w:val="bottom"/>
            <w:gridSpan w:val="3"/>
          </w:tcPr>
          <w:p>
            <w:pPr>
              <w:jc w:val="center"/>
              <w:ind w:right="1180"/>
              <w:spacing w:after="0"/>
              <w:rPr>
                <w:sz w:val="20"/>
                <w:szCs w:val="20"/>
                <w:color w:val="auto"/>
              </w:rPr>
            </w:pPr>
            <w:r>
              <w:rPr>
                <w:rFonts w:ascii="Arial" w:cs="Arial" w:eastAsia="Arial" w:hAnsi="Arial"/>
                <w:sz w:val="14"/>
                <w:szCs w:val="14"/>
                <w:color w:val="auto"/>
                <w:w w:val="94"/>
              </w:rPr>
              <w:t>Common Stock, $1 par value</w:t>
            </w:r>
          </w:p>
        </w:tc>
        <w:tc>
          <w:tcPr>
            <w:tcW w:w="2560" w:type="dxa"/>
            <w:vAlign w:val="bottom"/>
            <w:gridSpan w:val="2"/>
          </w:tcPr>
          <w:p>
            <w:pPr>
              <w:jc w:val="center"/>
              <w:ind w:right="1460"/>
              <w:spacing w:after="0"/>
              <w:rPr>
                <w:sz w:val="20"/>
                <w:szCs w:val="20"/>
                <w:color w:val="auto"/>
              </w:rPr>
            </w:pPr>
            <w:r>
              <w:rPr>
                <w:rFonts w:ascii="Arial" w:cs="Arial" w:eastAsia="Arial" w:hAnsi="Arial"/>
                <w:sz w:val="14"/>
                <w:szCs w:val="14"/>
                <w:color w:val="auto"/>
              </w:rPr>
              <w:t>KWR</w:t>
            </w: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95"/>
              </w:rPr>
              <w:t>New York Stock Exchange</w:t>
            </w:r>
          </w:p>
        </w:tc>
      </w:tr>
    </w:tbl>
    <w:p>
      <w:pPr>
        <w:spacing w:after="0" w:line="114" w:lineRule="exact"/>
        <w:rPr>
          <w:sz w:val="24"/>
          <w:szCs w:val="24"/>
          <w:color w:val="auto"/>
        </w:rPr>
      </w:pPr>
    </w:p>
    <w:p>
      <w:pPr>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filedall reports required to be filed by Section 13 or 15(d) of the SecuritiesExchange Act of 1934 during the preceding 12 months (or for such shorter period that the registrantwas required to file such reports), and (2) has been subjectto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53" w:lineRule="exact"/>
        <w:rPr>
          <w:sz w:val="24"/>
          <w:szCs w:val="24"/>
          <w:color w:val="auto"/>
        </w:rPr>
      </w:pPr>
    </w:p>
    <w:p>
      <w:pPr>
        <w:ind w:right="40"/>
        <w:spacing w:after="0" w:line="269" w:lineRule="exact"/>
        <w:rPr>
          <w:sz w:val="20"/>
          <w:szCs w:val="20"/>
          <w:color w:val="auto"/>
        </w:rPr>
      </w:pPr>
      <w:r>
        <w:rPr>
          <w:rFonts w:ascii="Arial" w:cs="Arial" w:eastAsia="Arial" w:hAnsi="Arial"/>
          <w:sz w:val="13"/>
          <w:szCs w:val="13"/>
          <w:color w:val="auto"/>
        </w:rPr>
        <w:t xml:space="preserve">Indicate by check mark whether the registrant has submittedelectronically every Interactive Data File required to be submittedpursuant to Rule 405 of Regulation S-T (§232.405 of this chapter) during the preceding 12 months (or forsuch shorter period that the registrant was requiredto submit such files). Yes </w:t>
      </w:r>
      <w:r>
        <w:rPr>
          <w:rFonts w:ascii="MS PGothic" w:cs="MS PGothic" w:eastAsia="MS PGothic" w:hAnsi="MS PGothic"/>
          <w:sz w:val="25"/>
          <w:szCs w:val="25"/>
          <w:color w:val="auto"/>
          <w:highlight w:val="black"/>
          <w:vertAlign w:val="superscript"/>
        </w:rPr>
        <w:t>☒</w:t>
      </w:r>
      <w:r>
        <w:rPr>
          <w:rFonts w:ascii="Arial" w:cs="Arial" w:eastAsia="Arial" w:hAnsi="Arial"/>
          <w:sz w:val="13"/>
          <w:szCs w:val="13"/>
          <w:color w:val="auto"/>
        </w:rPr>
        <w:t xml:space="preserve"> No </w:t>
      </w:r>
      <w:r>
        <w:rPr>
          <w:rFonts w:ascii="MS PGothic" w:cs="MS PGothic" w:eastAsia="MS PGothic" w:hAnsi="MS PGothic"/>
          <w:sz w:val="25"/>
          <w:szCs w:val="25"/>
          <w:color w:val="auto"/>
          <w:highlight w:val="black"/>
          <w:vertAlign w:val="superscript"/>
        </w:rPr>
        <w:t>☐</w:t>
      </w:r>
    </w:p>
    <w:p>
      <w:pPr>
        <w:spacing w:after="0" w:line="1"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acceleratedfiler, a non-accelerated filer, a smaller reporting company, or an emerging growth company. See the definitions of “large accelerated filer,” “accelerated filer”, “smaller reporting company”,and “emerging growth company” in Rule 12b-2 of the Exchange Act.</w:t>
      </w:r>
    </w:p>
    <w:tbl>
      <w:tblPr>
        <w:tblLayout w:type="fixed"/>
        <w:tblInd w:w="1320" w:type="dxa"/>
        <w:tblCellMar>
          <w:top w:w="0" w:type="dxa"/>
          <w:left w:w="0" w:type="dxa"/>
          <w:bottom w:w="0" w:type="dxa"/>
          <w:right w:w="0" w:type="dxa"/>
        </w:tblCellMar>
      </w:tblPr>
      <w:tr>
        <w:trPr>
          <w:trHeight w:val="298"/>
        </w:trPr>
        <w:tc>
          <w:tcPr>
            <w:tcW w:w="3480" w:type="dxa"/>
            <w:vAlign w:val="bottom"/>
          </w:tcPr>
          <w:p>
            <w:pPr>
              <w:spacing w:after="0" w:line="298"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8"/>
                <w:szCs w:val="28"/>
                <w:color w:val="auto"/>
                <w:highlight w:val="black"/>
                <w:vertAlign w:val="superscript"/>
              </w:rPr>
              <w:t>☒</w:t>
            </w:r>
          </w:p>
        </w:tc>
        <w:tc>
          <w:tcPr>
            <w:tcW w:w="3460" w:type="dxa"/>
            <w:vAlign w:val="bottom"/>
          </w:tcPr>
          <w:p>
            <w:pPr>
              <w:ind w:left="1720"/>
              <w:spacing w:after="0" w:line="298"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28"/>
                <w:szCs w:val="28"/>
                <w:color w:val="auto"/>
                <w:highlight w:val="black"/>
                <w:vertAlign w:val="superscript"/>
              </w:rPr>
              <w:t>☐</w:t>
            </w: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21"/>
                <w:szCs w:val="21"/>
                <w:color w:val="auto"/>
                <w:highlight w:val="black"/>
                <w:vertAlign w:val="superscript"/>
              </w:rPr>
              <w:t>☐</w:t>
            </w:r>
          </w:p>
        </w:tc>
        <w:tc>
          <w:tcPr>
            <w:tcW w:w="3460" w:type="dxa"/>
            <w:vAlign w:val="bottom"/>
          </w:tcPr>
          <w:p>
            <w:pPr>
              <w:ind w:left="1720"/>
              <w:spacing w:after="0" w:line="189"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21"/>
                <w:szCs w:val="21"/>
                <w:color w:val="auto"/>
                <w:highlight w:val="black"/>
                <w:vertAlign w:val="superscript"/>
              </w:rPr>
              <w:t>☐</w:t>
            </w:r>
          </w:p>
        </w:tc>
      </w:tr>
      <w:tr>
        <w:trPr>
          <w:trHeight w:val="398"/>
        </w:trPr>
        <w:tc>
          <w:tcPr>
            <w:tcW w:w="3480" w:type="dxa"/>
            <w:vAlign w:val="bottom"/>
          </w:tcPr>
          <w:p>
            <w:pPr>
              <w:spacing w:after="0" w:line="322"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28"/>
                <w:szCs w:val="28"/>
                <w:color w:val="auto"/>
                <w:highlight w:val="black"/>
                <w:vertAlign w:val="superscript"/>
              </w:rPr>
              <w:t>☐</w:t>
            </w:r>
          </w:p>
        </w:tc>
        <w:tc>
          <w:tcPr>
            <w:tcW w:w="3460" w:type="dxa"/>
            <w:vAlign w:val="bottom"/>
          </w:tcPr>
          <w:p>
            <w:pPr>
              <w:spacing w:after="0"/>
              <w:rPr>
                <w:sz w:val="24"/>
                <w:szCs w:val="24"/>
                <w:color w:val="auto"/>
              </w:rPr>
            </w:pPr>
          </w:p>
        </w:tc>
      </w:tr>
    </w:tbl>
    <w:p>
      <w:pPr>
        <w:ind w:right="200"/>
        <w:spacing w:after="0" w:line="25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usethe extended transition period for complying with any newor revised financial accounting standards provided pursuant to Section 13(a)of the Exchange Act. </w:t>
      </w:r>
      <w:r>
        <w:rPr>
          <w:rFonts w:ascii="MS PGothic" w:cs="MS PGothic" w:eastAsia="MS PGothic" w:hAnsi="MS PGothic"/>
          <w:sz w:val="28"/>
          <w:szCs w:val="28"/>
          <w:color w:val="auto"/>
          <w:highlight w:val="black"/>
          <w:vertAlign w:val="superscript"/>
        </w:rPr>
        <w:t>☐</w:t>
      </w:r>
    </w:p>
    <w:p>
      <w:pPr>
        <w:spacing w:after="0" w:line="316"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(asdefined in Rule 12b-2 of the Exchange Act).</w:t>
        <w:tab/>
        <w:t xml:space="preserve">Yes </w:t>
      </w:r>
      <w:r>
        <w:rPr>
          <w:rFonts w:ascii="MS PGothic" w:cs="MS PGothic" w:eastAsia="MS PGothic" w:hAnsi="MS PGothic"/>
          <w:sz w:val="28"/>
          <w:szCs w:val="28"/>
          <w:color w:val="auto"/>
          <w:highlight w:val="black"/>
          <w:vertAlign w:val="superscript"/>
        </w:rPr>
        <w:t>☐</w:t>
      </w:r>
      <w:r>
        <w:rPr>
          <w:rFonts w:ascii="Arial" w:cs="Arial" w:eastAsia="Arial" w:hAnsi="Arial"/>
          <w:sz w:val="14"/>
          <w:szCs w:val="14"/>
          <w:color w:val="auto"/>
        </w:rPr>
        <w:t xml:space="preserve"> No </w:t>
      </w:r>
      <w:r>
        <w:rPr>
          <w:rFonts w:ascii="MS PGothic" w:cs="MS PGothic" w:eastAsia="MS PGothic" w:hAnsi="MS PGothic"/>
          <w:sz w:val="28"/>
          <w:szCs w:val="28"/>
          <w:color w:val="auto"/>
          <w:highlight w:val="black"/>
          <w:vertAlign w:val="superscript"/>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Arial" w:cs="Arial" w:eastAsia="Arial" w:hAnsi="Arial"/>
                <w:sz w:val="14"/>
                <w:szCs w:val="14"/>
                <w:color w:val="auto"/>
                <w:w w:val="95"/>
              </w:rPr>
              <w:t>Indicate the number of shares outstanding of each of theissuer’s classes of common stock, as of the latest practicable date.</w:t>
            </w:r>
          </w:p>
        </w:tc>
        <w:tc>
          <w:tcPr>
            <w:tcW w:w="880" w:type="dxa"/>
            <w:vAlign w:val="bottom"/>
          </w:tcPr>
          <w:p>
            <w:pPr>
              <w:spacing w:after="0"/>
              <w:rPr>
                <w:sz w:val="15"/>
                <w:szCs w:val="15"/>
                <w:color w:val="auto"/>
              </w:rPr>
            </w:pPr>
          </w:p>
        </w:tc>
      </w:tr>
      <w:tr>
        <w:trPr>
          <w:trHeight w:val="24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Number of Shares of Common Stock</w:t>
            </w:r>
          </w:p>
        </w:tc>
        <w:tc>
          <w:tcPr>
            <w:tcW w:w="880" w:type="dxa"/>
            <w:vAlign w:val="bottom"/>
          </w:tcPr>
          <w:p>
            <w:pPr>
              <w:spacing w:after="0"/>
              <w:rPr>
                <w:sz w:val="21"/>
                <w:szCs w:val="21"/>
                <w:color w:val="auto"/>
              </w:rPr>
            </w:pPr>
          </w:p>
        </w:tc>
      </w:tr>
      <w:tr>
        <w:trPr>
          <w:trHeight w:val="187"/>
        </w:trPr>
        <w:tc>
          <w:tcPr>
            <w:tcW w:w="7300" w:type="dxa"/>
            <w:vAlign w:val="bottom"/>
          </w:tcPr>
          <w:p>
            <w:pPr>
              <w:jc w:val="center"/>
              <w:ind w:right="1528"/>
              <w:spacing w:after="0"/>
              <w:rPr>
                <w:sz w:val="20"/>
                <w:szCs w:val="20"/>
                <w:color w:val="auto"/>
              </w:rPr>
            </w:pPr>
            <w:r>
              <w:rPr>
                <w:rFonts w:ascii="Arial" w:cs="Arial" w:eastAsia="Arial" w:hAnsi="Arial"/>
                <w:sz w:val="14"/>
                <w:szCs w:val="14"/>
                <w:b w:val="1"/>
                <w:bCs w:val="1"/>
                <w:color w:val="auto"/>
                <w:w w:val="93"/>
              </w:rPr>
              <w:t>Outstanding on October 31, 2022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17,931,664</w:t>
            </w:r>
          </w:p>
        </w:tc>
      </w:tr>
    </w:tbl>
    <w:p>
      <w:pPr>
        <w:sectPr>
          <w:pgSz w:w="11900" w:h="16838" w:orient="portrait"/>
          <w:cols w:equalWidth="0" w:num="1">
            <w:col w:w="9660"/>
          </w:cols>
          <w:pgMar w:left="1080" w:top="939" w:right="1159" w:bottom="1440" w:gutter="0" w:footer="0" w:header="0"/>
          <w:type w:val="continuous"/>
        </w:sectPr>
      </w:pPr>
    </w:p>
    <w:bookmarkStart w:id="1" w:name="page2"/>
    <w:bookmarkEnd w:id="1"/>
    <w:p>
      <w:pPr>
        <w:ind w:left="1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ectPr>
          <w:pgSz w:w="11900" w:h="16838" w:orient="portrait"/>
          <w:cols w:equalWidth="0" w:num="1">
            <w:col w:w="9940"/>
          </w:cols>
          <w:pgMar w:left="1080" w:top="1107" w:right="879"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62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8620" w:type="dxa"/>
            <w:vAlign w:val="bottom"/>
            <w:gridSpan w:val="18"/>
          </w:tcPr>
          <w:p>
            <w:pPr>
              <w:spacing w:after="0"/>
              <w:rPr>
                <w:sz w:val="20"/>
                <w:szCs w:val="20"/>
                <w:color w:val="auto"/>
              </w:rPr>
            </w:pPr>
            <w:r>
              <w:rPr>
                <w:rFonts w:ascii="Arial" w:cs="Arial" w:eastAsia="Arial" w:hAnsi="Arial"/>
                <w:sz w:val="16"/>
                <w:szCs w:val="16"/>
                <w:color w:val="0000FF"/>
                <w:w w:val="91"/>
              </w:rPr>
              <w:t>Condensed Consolidated Statements of Income for the Three and Nine Months Ended September 30, 2022 and September 30, 2021</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5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w w:val="93"/>
              </w:rPr>
              <w:t>Condensed Consolidated Statements of Comprehensive Income for the Three and Nine Months Ended September 30, 2022 and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98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6"/>
                <w:szCs w:val="16"/>
                <w:color w:val="0000FF"/>
              </w:rPr>
              <w:t>September 30, 2021</w:t>
            </w:r>
          </w:p>
        </w:tc>
        <w:tc>
          <w:tcPr>
            <w:tcW w:w="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5920" w:type="dxa"/>
            <w:vAlign w:val="bottom"/>
            <w:tcBorders>
              <w:bottom w:val="single" w:sz="8" w:color="0000FF"/>
            </w:tcBorders>
            <w:gridSpan w:val="14"/>
          </w:tcPr>
          <w:p>
            <w:pPr>
              <w:spacing w:after="0" w:line="183" w:lineRule="exact"/>
              <w:rPr>
                <w:sz w:val="20"/>
                <w:szCs w:val="20"/>
                <w:color w:val="auto"/>
              </w:rPr>
            </w:pPr>
            <w:r>
              <w:rPr>
                <w:rFonts w:ascii="Arial" w:cs="Arial" w:eastAsia="Arial" w:hAnsi="Arial"/>
                <w:sz w:val="16"/>
                <w:szCs w:val="16"/>
                <w:color w:val="0000FF"/>
                <w:w w:val="89"/>
              </w:rPr>
              <w:t>Condensed Consolidated Balance Sheets as of September 30, 2022 and December 31, 2021</w:t>
            </w:r>
          </w:p>
        </w:tc>
        <w:tc>
          <w:tcPr>
            <w:tcW w:w="27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8620" w:type="dxa"/>
            <w:vAlign w:val="bottom"/>
            <w:gridSpan w:val="18"/>
          </w:tcPr>
          <w:p>
            <w:pPr>
              <w:spacing w:after="0"/>
              <w:rPr>
                <w:sz w:val="20"/>
                <w:szCs w:val="20"/>
                <w:color w:val="auto"/>
              </w:rPr>
            </w:pPr>
            <w:r>
              <w:rPr>
                <w:rFonts w:ascii="Arial" w:cs="Arial" w:eastAsia="Arial" w:hAnsi="Arial"/>
                <w:sz w:val="16"/>
                <w:szCs w:val="16"/>
                <w:color w:val="0000FF"/>
                <w:w w:val="96"/>
              </w:rPr>
              <w:t>Condensed Consolidated Statements of Cash Flows for the Nine Months Ended September 30, 2022 and September 30, 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8620" w:type="dxa"/>
            <w:vAlign w:val="bottom"/>
            <w:tcBorders>
              <w:bottom w:val="single" w:sz="8" w:color="0000FF"/>
            </w:tcBorders>
            <w:gridSpan w:val="18"/>
          </w:tcPr>
          <w:p>
            <w:pPr>
              <w:spacing w:after="0" w:line="183" w:lineRule="exact"/>
              <w:rPr>
                <w:sz w:val="20"/>
                <w:szCs w:val="20"/>
                <w:color w:val="auto"/>
              </w:rPr>
            </w:pPr>
            <w:r>
              <w:rPr>
                <w:rFonts w:ascii="Arial" w:cs="Arial" w:eastAsia="Arial" w:hAnsi="Arial"/>
                <w:sz w:val="16"/>
                <w:szCs w:val="16"/>
                <w:color w:val="0000FF"/>
                <w:w w:val="90"/>
              </w:rPr>
              <w:t>Condensed Consolidated Statements of Changes in Equity for the Three and Nine Months Ended September 30, 2022 and September</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800" w:type="dxa"/>
            <w:vAlign w:val="bottom"/>
            <w:gridSpan w:val="4"/>
          </w:tcPr>
          <w:p>
            <w:pPr>
              <w:ind w:left="240"/>
              <w:spacing w:after="0" w:line="155" w:lineRule="exact"/>
              <w:rPr>
                <w:sz w:val="20"/>
                <w:szCs w:val="20"/>
                <w:color w:val="auto"/>
              </w:rPr>
            </w:pPr>
            <w:r>
              <w:rPr>
                <w:rFonts w:ascii="Arial" w:cs="Arial" w:eastAsia="Arial" w:hAnsi="Arial"/>
                <w:sz w:val="16"/>
                <w:szCs w:val="16"/>
                <w:color w:val="0000FF"/>
                <w:w w:val="86"/>
              </w:rPr>
              <w:t>30, 2021</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620" w:type="dxa"/>
            <w:vAlign w:val="bottom"/>
            <w:gridSpan w:val="18"/>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vMerge w:val="continue"/>
          </w:tcPr>
          <w:p>
            <w:pPr>
              <w:spacing w:after="0"/>
              <w:rPr>
                <w:sz w:val="20"/>
                <w:szCs w:val="20"/>
                <w:color w:val="auto"/>
              </w:rPr>
            </w:pPr>
          </w:p>
        </w:tc>
        <w:tc>
          <w:tcPr>
            <w:tcW w:w="8620" w:type="dxa"/>
            <w:vAlign w:val="bottom"/>
            <w:gridSpan w:val="18"/>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50"/>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39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2"/>
              </w:rPr>
              <w:t>Quantitative and Qualitative Disclosures about Market Risk.</w:t>
            </w:r>
          </w:p>
        </w:tc>
        <w:tc>
          <w:tcPr>
            <w:tcW w:w="1920" w:type="dxa"/>
            <w:vAlign w:val="bottom"/>
            <w:tcBorders>
              <w:top w:val="single" w:sz="8" w:color="0000FF"/>
            </w:tcBorders>
            <w:gridSpan w:val="2"/>
          </w:tcPr>
          <w:p>
            <w:pPr>
              <w:spacing w:after="0"/>
              <w:rPr>
                <w:sz w:val="21"/>
                <w:szCs w:val="21"/>
                <w:color w:val="auto"/>
              </w:rPr>
            </w:pPr>
          </w:p>
        </w:tc>
        <w:tc>
          <w:tcPr>
            <w:tcW w:w="27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620" w:type="dxa"/>
            <w:vAlign w:val="bottom"/>
            <w:gridSpan w:val="18"/>
          </w:tcPr>
          <w:p>
            <w:pPr>
              <w:spacing w:after="0"/>
              <w:rPr>
                <w:sz w:val="20"/>
                <w:szCs w:val="20"/>
                <w:color w:val="auto"/>
              </w:rPr>
            </w:pPr>
            <w:r>
              <w:rPr>
                <w:rFonts w:ascii="Arial" w:cs="Arial" w:eastAsia="Arial" w:hAnsi="Arial"/>
                <w:sz w:val="16"/>
                <w:szCs w:val="16"/>
                <w:color w:val="0000FF"/>
              </w:rPr>
              <w:t>Controls and Procedures.</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5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 w:type="dxa"/>
            <w:vAlign w:val="bottom"/>
            <w:vMerge w:val="continue"/>
          </w:tcPr>
          <w:p>
            <w:pPr>
              <w:spacing w:after="0"/>
              <w:rPr>
                <w:sz w:val="20"/>
                <w:szCs w:val="20"/>
                <w:color w:val="auto"/>
              </w:rPr>
            </w:pPr>
          </w:p>
        </w:tc>
        <w:tc>
          <w:tcPr>
            <w:tcW w:w="174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7"/>
              </w:rPr>
              <w:t>OTHER INFORMATION.</w:t>
            </w:r>
          </w:p>
        </w:tc>
        <w:tc>
          <w:tcPr>
            <w:tcW w:w="688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2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9"/>
              </w:rPr>
              <w:t>Legal Proceedings.</w:t>
            </w:r>
          </w:p>
        </w:tc>
        <w:tc>
          <w:tcPr>
            <w:tcW w:w="738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620" w:type="dxa"/>
            <w:vAlign w:val="bottom"/>
            <w:gridSpan w:val="18"/>
          </w:tcPr>
          <w:p>
            <w:pPr>
              <w:spacing w:after="0"/>
              <w:rPr>
                <w:sz w:val="20"/>
                <w:szCs w:val="20"/>
                <w:color w:val="auto"/>
              </w:rPr>
            </w:pPr>
            <w:r>
              <w:rPr>
                <w:rFonts w:ascii="Arial" w:cs="Arial" w:eastAsia="Arial" w:hAnsi="Arial"/>
                <w:sz w:val="16"/>
                <w:szCs w:val="16"/>
                <w:color w:val="0000FF"/>
              </w:rPr>
              <w:t>Risk Factors.</w:t>
            </w: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vMerge w:val="continue"/>
          </w:tcPr>
          <w:p>
            <w:pPr>
              <w:spacing w:after="0"/>
              <w:rPr>
                <w:sz w:val="21"/>
                <w:szCs w:val="21"/>
                <w:color w:val="auto"/>
              </w:rPr>
            </w:pPr>
          </w:p>
        </w:tc>
        <w:tc>
          <w:tcPr>
            <w:tcW w:w="8620" w:type="dxa"/>
            <w:vAlign w:val="bottom"/>
            <w:gridSpan w:val="18"/>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2"/>
              </w:rPr>
              <w:t>Exhibits.</w:t>
            </w:r>
          </w:p>
        </w:tc>
        <w:tc>
          <w:tcPr>
            <w:tcW w:w="3360" w:type="dxa"/>
            <w:vAlign w:val="bottom"/>
            <w:tcBorders>
              <w:top w:val="single" w:sz="8" w:color="0000FF"/>
            </w:tcBorders>
            <w:gridSpan w:val="9"/>
          </w:tcPr>
          <w:p>
            <w:pPr>
              <w:spacing w:after="0"/>
              <w:rPr>
                <w:sz w:val="20"/>
                <w:szCs w:val="20"/>
                <w:color w:val="auto"/>
              </w:rPr>
            </w:pPr>
          </w:p>
        </w:tc>
        <w:tc>
          <w:tcPr>
            <w:tcW w:w="46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3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27</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44</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45</w:t>
      </w:r>
    </w:p>
    <w:p>
      <w:pPr>
        <w:spacing w:after="0" w:line="3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ectPr>
          <w:pgSz w:w="11900" w:h="16838" w:orient="portrait"/>
          <w:cols w:equalWidth="0" w:num="2">
            <w:col w:w="9440" w:space="140"/>
            <w:col w:w="360"/>
          </w:cols>
          <w:pgMar w:left="1080" w:top="1107"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40"/>
          </w:cols>
          <w:pgMar w:left="1080" w:top="1107" w:right="8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Financial Statements (Unaudited).</w:t>
      </w:r>
    </w:p>
    <w:p>
      <w:pPr>
        <w:spacing w:after="0" w:line="30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Quaker Chemical Corporation</w:t>
      </w:r>
    </w:p>
    <w:p>
      <w:pPr>
        <w:spacing w:after="0" w:line="100"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(Dollars 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0" w:type="dxa"/>
            <w:vAlign w:val="bottom"/>
            <w:tcBorders>
              <w:bottom w:val="single" w:sz="8" w:color="B7E5FF"/>
            </w:tcBorders>
          </w:tcPr>
          <w:p>
            <w:pPr>
              <w:spacing w:after="0"/>
              <w:rPr>
                <w:sz w:val="19"/>
                <w:szCs w:val="19"/>
                <w:color w:val="auto"/>
              </w:rPr>
            </w:pPr>
          </w:p>
        </w:tc>
        <w:tc>
          <w:tcPr>
            <w:tcW w:w="474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492,218</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449,072</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rPr>
              <w:t>1,458,777</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1,314,117</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5"/>
              </w:rPr>
              <w:t>Cost of goods sold (</w:t>
            </w:r>
            <w:r>
              <w:rPr>
                <w:rFonts w:ascii="Arial" w:cs="Arial" w:eastAsia="Arial" w:hAnsi="Arial"/>
                <w:sz w:val="16"/>
                <w:szCs w:val="16"/>
                <w:color w:val="auto"/>
                <w:w w:val="95"/>
              </w:rPr>
              <w:t>excluding amortization expense - See Note 13</w:t>
            </w:r>
            <w:r>
              <w:rPr>
                <w:rFonts w:ascii="Arial" w:cs="Arial" w:eastAsia="Arial" w:hAnsi="Arial"/>
                <w:sz w:val="18"/>
                <w:szCs w:val="18"/>
                <w:color w:val="auto"/>
                <w:w w:val="95"/>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331,469</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303,941</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1,002,393</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858,341</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160,749</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145,131</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456,384</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455,776</w:t>
            </w:r>
          </w:p>
        </w:tc>
        <w:tc>
          <w:tcPr>
            <w:tcW w:w="0" w:type="dxa"/>
            <w:vAlign w:val="bottom"/>
          </w:tcPr>
          <w:p>
            <w:pPr>
              <w:spacing w:after="0"/>
              <w:rPr>
                <w:sz w:val="1"/>
                <w:szCs w:val="1"/>
                <w:color w:val="auto"/>
              </w:rPr>
            </w:pPr>
          </w:p>
        </w:tc>
      </w:tr>
      <w:tr>
        <w:trPr>
          <w:trHeight w:val="23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115,456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343,081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317,204</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Restructuring and related (credits) charges, net</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2"/>
              </w:rPr>
              <w:t>Combination, integration and other acquisition-related expenses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18,259</w:t>
            </w:r>
          </w:p>
        </w:tc>
        <w:tc>
          <w:tcPr>
            <w:tcW w:w="0" w:type="dxa"/>
            <w:vAlign w:val="bottom"/>
          </w:tcPr>
          <w:p>
            <w:pPr>
              <w:spacing w:after="0"/>
              <w:rPr>
                <w:sz w:val="1"/>
                <w:szCs w:val="1"/>
                <w:color w:val="auto"/>
              </w:rPr>
            </w:pPr>
          </w:p>
        </w:tc>
      </w:tr>
      <w:tr>
        <w:trPr>
          <w:trHeight w:val="216"/>
        </w:trPr>
        <w:tc>
          <w:tcPr>
            <w:tcW w:w="40" w:type="dxa"/>
            <w:vAlign w:val="bottom"/>
            <w:shd w:val="clear" w:color="auto" w:fill="B7E5FF"/>
          </w:tcPr>
          <w:p>
            <w:pPr>
              <w:spacing w:after="0"/>
              <w:rPr>
                <w:sz w:val="18"/>
                <w:szCs w:val="18"/>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B7E5FF"/>
          </w:tcPr>
          <w:p>
            <w:pPr>
              <w:spacing w:after="0"/>
              <w:rPr>
                <w:sz w:val="18"/>
                <w:szCs w:val="18"/>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44,609</w:t>
            </w: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36,010</w:t>
            </w:r>
          </w:p>
        </w:tc>
        <w:tc>
          <w:tcPr>
            <w:tcW w:w="10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105,915</w:t>
            </w: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119,720</w:t>
            </w:r>
          </w:p>
        </w:tc>
        <w:tc>
          <w:tcPr>
            <w:tcW w:w="0" w:type="dxa"/>
            <w:vAlign w:val="bottom"/>
          </w:tcPr>
          <w:p>
            <w:pPr>
              <w:spacing w:after="0"/>
              <w:rPr>
                <w:sz w:val="1"/>
                <w:szCs w:val="1"/>
                <w:color w:val="auto"/>
              </w:rPr>
            </w:pPr>
          </w:p>
        </w:tc>
      </w:tr>
      <w:tr>
        <w:trPr>
          <w:trHeight w:val="229"/>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19,344</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(8,389)</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(20,228)</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(16,725)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Income before taxes and equity in net income of</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associated companies</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36,305</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31,020</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75,167</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122,339</w:t>
            </w:r>
          </w:p>
        </w:tc>
        <w:tc>
          <w:tcPr>
            <w:tcW w:w="0" w:type="dxa"/>
            <w:vAlign w:val="bottom"/>
          </w:tcPr>
          <w:p>
            <w:pPr>
              <w:spacing w:after="0"/>
              <w:rPr>
                <w:sz w:val="1"/>
                <w:szCs w:val="1"/>
                <w:color w:val="auto"/>
              </w:rPr>
            </w:pPr>
          </w:p>
        </w:tc>
      </w:tr>
      <w:tr>
        <w:trPr>
          <w:trHeight w:val="23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Taxes on income before equity in net income of associated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Companies</w:t>
            </w:r>
          </w:p>
        </w:tc>
        <w:tc>
          <w:tcPr>
            <w:tcW w:w="1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10,185</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14,425</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Income before equity in net income of associated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Companies</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26,120</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30,225</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60,742</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95,637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Equity in net (loss) income of associated companies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16"/>
        </w:trPr>
        <w:tc>
          <w:tcPr>
            <w:tcW w:w="40" w:type="dxa"/>
            <w:vAlign w:val="bottom"/>
            <w:shd w:val="clear" w:color="auto" w:fill="B7E5FF"/>
          </w:tcPr>
          <w:p>
            <w:pPr>
              <w:spacing w:after="0"/>
              <w:rPr>
                <w:sz w:val="18"/>
                <w:szCs w:val="18"/>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B7E5FF"/>
          </w:tcPr>
          <w:p>
            <w:pPr>
              <w:spacing w:after="0"/>
              <w:rPr>
                <w:sz w:val="18"/>
                <w:szCs w:val="18"/>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25,908</w:t>
            </w: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31,073</w:t>
            </w:r>
          </w:p>
        </w:tc>
        <w:tc>
          <w:tcPr>
            <w:tcW w:w="100" w:type="dxa"/>
            <w:vAlign w:val="bottom"/>
            <w:shd w:val="clear" w:color="auto" w:fill="B7E5FF"/>
          </w:tcPr>
          <w:p>
            <w:pPr>
              <w:spacing w:after="0"/>
              <w:rPr>
                <w:sz w:val="18"/>
                <w:szCs w:val="18"/>
                <w:color w:val="auto"/>
              </w:rPr>
            </w:pPr>
          </w:p>
        </w:tc>
        <w:tc>
          <w:tcPr>
            <w:tcW w:w="340" w:type="dxa"/>
            <w:vAlign w:val="bottom"/>
            <w:shd w:val="clear" w:color="auto" w:fill="B7E5FF"/>
          </w:tcPr>
          <w:p>
            <w:pPr>
              <w:spacing w:after="0"/>
              <w:rPr>
                <w:sz w:val="18"/>
                <w:szCs w:val="18"/>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60,100</w:t>
            </w:r>
          </w:p>
        </w:tc>
        <w:tc>
          <w:tcPr>
            <w:tcW w:w="1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103,305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6"/>
        </w:trPr>
        <w:tc>
          <w:tcPr>
            <w:tcW w:w="40" w:type="dxa"/>
            <w:vAlign w:val="bottom"/>
            <w:shd w:val="clear" w:color="auto" w:fill="B7E5FF"/>
          </w:tcPr>
          <w:p>
            <w:pPr>
              <w:spacing w:after="0"/>
              <w:rPr>
                <w:sz w:val="20"/>
                <w:szCs w:val="20"/>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 attributable to Quaker Chemical Corporation</w:t>
            </w:r>
          </w:p>
        </w:tc>
        <w:tc>
          <w:tcPr>
            <w:tcW w:w="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25,867</w:t>
            </w:r>
          </w:p>
        </w:tc>
        <w:tc>
          <w:tcPr>
            <w:tcW w:w="120" w:type="dxa"/>
            <w:vAlign w:val="bottom"/>
            <w:shd w:val="clear" w:color="auto" w:fill="B7E5FF"/>
          </w:tcPr>
          <w:p>
            <w:pPr>
              <w:spacing w:after="0"/>
              <w:rPr>
                <w:sz w:val="20"/>
                <w:szCs w:val="20"/>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31,058</w:t>
            </w:r>
          </w:p>
        </w:tc>
        <w:tc>
          <w:tcPr>
            <w:tcW w:w="100" w:type="dxa"/>
            <w:vAlign w:val="bottom"/>
            <w:shd w:val="clear" w:color="auto" w:fill="B7E5FF"/>
          </w:tcPr>
          <w:p>
            <w:pPr>
              <w:spacing w:after="0"/>
              <w:rPr>
                <w:sz w:val="20"/>
                <w:szCs w:val="20"/>
                <w:color w:val="auto"/>
              </w:rPr>
            </w:pPr>
          </w:p>
        </w:tc>
        <w:tc>
          <w:tcPr>
            <w:tcW w:w="340" w:type="dxa"/>
            <w:vAlign w:val="bottom"/>
            <w:tcBorders>
              <w:bottom w:val="single" w:sz="8" w:color="auto"/>
            </w:tcBorders>
            <w:shd w:val="clear" w:color="auto" w:fill="B7E5FF"/>
          </w:tcPr>
          <w:p>
            <w:pPr>
              <w:jc w:val="right"/>
              <w:ind w:right="110"/>
              <w:spacing w:after="0"/>
              <w:rPr>
                <w:sz w:val="20"/>
                <w:szCs w:val="20"/>
                <w:color w:val="auto"/>
              </w:rPr>
            </w:pPr>
            <w:r>
              <w:rPr>
                <w:rFonts w:ascii="Arial" w:cs="Arial" w:eastAsia="Arial" w:hAnsi="Arial"/>
                <w:sz w:val="18"/>
                <w:szCs w:val="18"/>
                <w:color w:val="auto"/>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60,026</w:t>
            </w:r>
          </w:p>
        </w:tc>
        <w:tc>
          <w:tcPr>
            <w:tcW w:w="120" w:type="dxa"/>
            <w:vAlign w:val="bottom"/>
            <w:shd w:val="clear" w:color="auto" w:fill="B7E5FF"/>
          </w:tcPr>
          <w:p>
            <w:pPr>
              <w:spacing w:after="0"/>
              <w:rPr>
                <w:sz w:val="20"/>
                <w:szCs w:val="20"/>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103,243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40"/>
              <w:spacing w:after="0"/>
              <w:rPr>
                <w:sz w:val="20"/>
                <w:szCs w:val="20"/>
                <w:color w:val="auto"/>
              </w:rPr>
            </w:pPr>
            <w:r>
              <w:rPr>
                <w:rFonts w:ascii="Arial" w:cs="Arial" w:eastAsia="Arial" w:hAnsi="Arial"/>
                <w:sz w:val="18"/>
                <w:szCs w:val="18"/>
                <w:color w:val="auto"/>
              </w:rPr>
              <w:t>Per share data:</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 attributable to Quaker Chemical Corporation</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common shareholders – basic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 attributable to Quaker Chemical Corporation</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common shareholders – diluted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Dividends declared</w:t>
            </w:r>
          </w:p>
        </w:tc>
        <w:tc>
          <w:tcPr>
            <w:tcW w:w="18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0.435</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0.415</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9720"/>
          </w:cols>
          <w:pgMar w:left="1080" w:top="88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720"/>
          </w:cols>
          <w:pgMar w:left="1080" w:top="885" w:right="1099" w:bottom="1440" w:gutter="0" w:footer="0" w:header="0"/>
          <w:type w:val="continuous"/>
        </w:sectPr>
      </w:pPr>
    </w:p>
    <w:bookmarkStart w:id="3" w:name="page4"/>
    <w:bookmarkEnd w:id="3"/>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32"/>
        </w:trPr>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w w:val="94"/>
              </w:rPr>
              <w:t>Nine Months Ended</w:t>
            </w: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7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09"/>
        </w:trPr>
        <w:tc>
          <w:tcPr>
            <w:tcW w:w="47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25,908</w:t>
            </w:r>
          </w:p>
        </w:tc>
        <w:tc>
          <w:tcPr>
            <w:tcW w:w="1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31,073</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60,100</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103,305</w:t>
            </w:r>
          </w:p>
        </w:tc>
      </w:tr>
      <w:tr>
        <w:trPr>
          <w:trHeight w:val="237"/>
        </w:trPr>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16"/>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Currency translation adjustments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(155,284)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(29,201)</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904</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2,593</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16"/>
        </w:trPr>
        <w:tc>
          <w:tcPr>
            <w:tcW w:w="476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rPr>
              <w:t>Unrealized loss on available-for-sale securities</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(2,961)</w:t>
            </w:r>
          </w:p>
        </w:tc>
      </w:tr>
      <w:tr>
        <w:trPr>
          <w:trHeight w:val="223"/>
        </w:trPr>
        <w:tc>
          <w:tcPr>
            <w:tcW w:w="4780" w:type="dxa"/>
            <w:vAlign w:val="bottom"/>
            <w:tcBorders>
              <w:bottom w:val="single" w:sz="8" w:color="B7E5FF"/>
            </w:tcBorders>
            <w:gridSpan w:val="2"/>
          </w:tcPr>
          <w:p>
            <w:pPr>
              <w:ind w:left="28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(72,447)</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(18,780)</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(153,734)</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(28,119)</w:t>
            </w:r>
          </w:p>
        </w:tc>
      </w:tr>
      <w:tr>
        <w:trPr>
          <w:trHeight w:val="223"/>
        </w:trPr>
        <w:tc>
          <w:tcPr>
            <w:tcW w:w="4780" w:type="dxa"/>
            <w:vAlign w:val="bottom"/>
            <w:gridSpan w:val="2"/>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Comprehensive (loss)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(93,634)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75,186</w:t>
            </w:r>
          </w:p>
        </w:tc>
      </w:tr>
      <w:tr>
        <w:trPr>
          <w:trHeight w:val="230"/>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Less: Comprehensive loss attributable to</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78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0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5"/>
              </w:rPr>
              <w:t>Comprehensive (loss) income attributable to Quaker Chemical</w:t>
            </w: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78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r>
      <w:tr>
        <w:trPr>
          <w:trHeight w:val="257"/>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(46,542)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12,278</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(93,639)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75,118</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20"/>
          </w:cols>
          <w:pgMar w:left="1080" w:top="895" w:right="10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2152"/>
              <w:spacing w:after="0"/>
              <w:rPr>
                <w:sz w:val="20"/>
                <w:szCs w:val="20"/>
                <w:color w:val="auto"/>
              </w:rPr>
            </w:pPr>
            <w:r>
              <w:rPr>
                <w:rFonts w:ascii="Arial" w:cs="Arial" w:eastAsia="Arial" w:hAnsi="Arial"/>
                <w:sz w:val="16"/>
                <w:szCs w:val="16"/>
                <w:b w:val="1"/>
                <w:bCs w:val="1"/>
                <w:color w:val="auto"/>
                <w:w w:val="94"/>
              </w:rPr>
              <w:t>Quaker Chemical Corporation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40" w:type="dxa"/>
            <w:vAlign w:val="bottom"/>
          </w:tcPr>
          <w:p>
            <w:pPr>
              <w:jc w:val="center"/>
              <w:ind w:left="2152"/>
              <w:spacing w:after="0"/>
              <w:rPr>
                <w:sz w:val="20"/>
                <w:szCs w:val="20"/>
                <w:color w:val="auto"/>
              </w:rPr>
            </w:pPr>
            <w:r>
              <w:rPr>
                <w:rFonts w:ascii="Arial" w:cs="Arial" w:eastAsia="Arial" w:hAnsi="Arial"/>
                <w:sz w:val="16"/>
                <w:szCs w:val="16"/>
                <w:b w:val="1"/>
                <w:bCs w:val="1"/>
                <w:color w:val="auto"/>
                <w:w w:val="88"/>
              </w:rPr>
              <w:t>Condensed Consolidated Balance Sheets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Pr>
          <w:p>
            <w:pPr>
              <w:jc w:val="center"/>
              <w:ind w:left="2132"/>
              <w:spacing w:after="0"/>
              <w:rPr>
                <w:sz w:val="20"/>
                <w:szCs w:val="20"/>
                <w:color w:val="auto"/>
              </w:rPr>
            </w:pPr>
            <w:r>
              <w:rPr>
                <w:rFonts w:ascii="Arial" w:cs="Arial" w:eastAsia="Arial" w:hAnsi="Arial"/>
                <w:sz w:val="16"/>
                <w:szCs w:val="16"/>
                <w:b w:val="1"/>
                <w:bCs w:val="1"/>
                <w:i w:val="1"/>
                <w:iCs w:val="1"/>
                <w:color w:val="auto"/>
                <w:w w:val="88"/>
              </w:rPr>
              <w:t>(Dollars in thousands, except par value)</w:t>
            </w:r>
          </w:p>
        </w:tc>
        <w:tc>
          <w:tcPr>
            <w:tcW w:w="140" w:type="dxa"/>
            <w:vAlign w:val="bottom"/>
          </w:tcPr>
          <w:p>
            <w:pPr>
              <w:spacing w:after="0"/>
              <w:rPr>
                <w:sz w:val="17"/>
                <w:szCs w:val="17"/>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0"/>
        </w:trPr>
        <w:tc>
          <w:tcPr>
            <w:tcW w:w="7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23"/>
        </w:trPr>
        <w:tc>
          <w:tcPr>
            <w:tcW w:w="72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138,891</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165,176</w:t>
            </w:r>
          </w:p>
        </w:tc>
        <w:tc>
          <w:tcPr>
            <w:tcW w:w="0" w:type="dxa"/>
            <w:vAlign w:val="bottom"/>
          </w:tcPr>
          <w:p>
            <w:pPr>
              <w:spacing w:after="0"/>
              <w:rPr>
                <w:sz w:val="1"/>
                <w:szCs w:val="1"/>
                <w:color w:val="auto"/>
              </w:rPr>
            </w:pPr>
          </w:p>
        </w:tc>
      </w:tr>
      <w:tr>
        <w:trPr>
          <w:trHeight w:val="230"/>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461,912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430,676</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165,280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129,382</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Work-in-process and finished goods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151,860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135,149</w:t>
            </w:r>
          </w:p>
        </w:tc>
        <w:tc>
          <w:tcPr>
            <w:tcW w:w="0" w:type="dxa"/>
            <w:vAlign w:val="bottom"/>
          </w:tcPr>
          <w:p>
            <w:pPr>
              <w:spacing w:after="0"/>
              <w:rPr>
                <w:sz w:val="1"/>
                <w:szCs w:val="1"/>
                <w:color w:val="auto"/>
              </w:rPr>
            </w:pPr>
          </w:p>
        </w:tc>
      </w:tr>
      <w:tr>
        <w:trPr>
          <w:trHeight w:val="236"/>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66,760</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59,871</w:t>
            </w:r>
          </w:p>
        </w:tc>
        <w:tc>
          <w:tcPr>
            <w:tcW w:w="0" w:type="dxa"/>
            <w:vAlign w:val="bottom"/>
          </w:tcPr>
          <w:p>
            <w:pPr>
              <w:spacing w:after="0"/>
              <w:rPr>
                <w:sz w:val="1"/>
                <w:szCs w:val="1"/>
                <w:color w:val="auto"/>
              </w:rPr>
            </w:pPr>
          </w:p>
        </w:tc>
      </w:tr>
      <w:tr>
        <w:trPr>
          <w:trHeight w:val="203"/>
        </w:trPr>
        <w:tc>
          <w:tcPr>
            <w:tcW w:w="1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6940" w:type="dxa"/>
            <w:vAlign w:val="bottom"/>
            <w:shd w:val="clear" w:color="auto" w:fill="B7E5FF"/>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B7E5FF"/>
          </w:tcPr>
          <w:p>
            <w:pPr>
              <w:spacing w:after="0"/>
              <w:rPr>
                <w:sz w:val="17"/>
                <w:szCs w:val="17"/>
                <w:color w:val="auto"/>
              </w:rPr>
            </w:pPr>
          </w:p>
        </w:tc>
        <w:tc>
          <w:tcPr>
            <w:tcW w:w="1020" w:type="dxa"/>
            <w:vAlign w:val="bottom"/>
            <w:tcBorders>
              <w:bottom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984,703</w:t>
            </w:r>
          </w:p>
        </w:tc>
        <w:tc>
          <w:tcPr>
            <w:tcW w:w="160" w:type="dxa"/>
            <w:vAlign w:val="bottom"/>
            <w:shd w:val="clear" w:color="auto" w:fill="B7E5FF"/>
          </w:tcPr>
          <w:p>
            <w:pPr>
              <w:spacing w:after="0"/>
              <w:rPr>
                <w:sz w:val="17"/>
                <w:szCs w:val="17"/>
                <w:color w:val="auto"/>
              </w:rPr>
            </w:pPr>
          </w:p>
        </w:tc>
        <w:tc>
          <w:tcPr>
            <w:tcW w:w="380" w:type="dxa"/>
            <w:vAlign w:val="bottom"/>
            <w:tcBorders>
              <w:bottom w:val="single" w:sz="8" w:color="auto"/>
            </w:tcBorders>
            <w:shd w:val="clear" w:color="auto" w:fill="B7E5FF"/>
          </w:tcPr>
          <w:p>
            <w:pPr>
              <w:spacing w:after="0"/>
              <w:rPr>
                <w:sz w:val="17"/>
                <w:szCs w:val="17"/>
                <w:color w:val="auto"/>
              </w:rPr>
            </w:pPr>
          </w:p>
        </w:tc>
        <w:tc>
          <w:tcPr>
            <w:tcW w:w="800" w:type="dxa"/>
            <w:vAlign w:val="bottom"/>
            <w:tcBorders>
              <w:bottom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920,254</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425,650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434,344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(237,276)</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8"/>
              </w:rPr>
              <w:t>(236,824)</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188,374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197,520</w:t>
            </w:r>
          </w:p>
        </w:tc>
        <w:tc>
          <w:tcPr>
            <w:tcW w:w="0" w:type="dxa"/>
            <w:vAlign w:val="bottom"/>
          </w:tcPr>
          <w:p>
            <w:pPr>
              <w:spacing w:after="0"/>
              <w:rPr>
                <w:sz w:val="1"/>
                <w:szCs w:val="1"/>
                <w:color w:val="auto"/>
              </w:rPr>
            </w:pPr>
          </w:p>
        </w:tc>
      </w:tr>
      <w:tr>
        <w:trPr>
          <w:trHeight w:val="229"/>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37,005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36,635</w:t>
            </w: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591,032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631,194</w:t>
            </w:r>
          </w:p>
        </w:tc>
        <w:tc>
          <w:tcPr>
            <w:tcW w:w="0" w:type="dxa"/>
            <w:vAlign w:val="bottom"/>
          </w:tcPr>
          <w:p>
            <w:pPr>
              <w:spacing w:after="0"/>
              <w:rPr>
                <w:sz w:val="1"/>
                <w:szCs w:val="1"/>
                <w:color w:val="auto"/>
              </w:rPr>
            </w:pPr>
          </w:p>
        </w:tc>
      </w:tr>
      <w:tr>
        <w:trPr>
          <w:trHeight w:val="229"/>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915,956</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rPr>
              <w:t>1,027,782</w:t>
            </w:r>
          </w:p>
        </w:tc>
        <w:tc>
          <w:tcPr>
            <w:tcW w:w="0" w:type="dxa"/>
            <w:vAlign w:val="bottom"/>
          </w:tcPr>
          <w:p>
            <w:pPr>
              <w:spacing w:after="0"/>
              <w:rPr>
                <w:sz w:val="1"/>
                <w:szCs w:val="1"/>
                <w:color w:val="auto"/>
              </w:rPr>
            </w:pPr>
          </w:p>
        </w:tc>
      </w:tr>
      <w:tr>
        <w:trPr>
          <w:trHeight w:val="229"/>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Investments in associated companies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76,748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95,278</w:t>
            </w: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10,519</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36"/>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27,163</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17"/>
        </w:trPr>
        <w:tc>
          <w:tcPr>
            <w:tcW w:w="1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2,831,500</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2,955,760</w:t>
            </w: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80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20,471</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56,935</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209,343</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226,656</w:t>
            </w:r>
          </w:p>
        </w:tc>
        <w:tc>
          <w:tcPr>
            <w:tcW w:w="0" w:type="dxa"/>
            <w:vAlign w:val="bottom"/>
          </w:tcPr>
          <w:p>
            <w:pPr>
              <w:spacing w:after="0"/>
              <w:rPr>
                <w:sz w:val="1"/>
                <w:szCs w:val="1"/>
                <w:color w:val="auto"/>
              </w:rPr>
            </w:pPr>
          </w:p>
        </w:tc>
      </w:tr>
      <w:tr>
        <w:trPr>
          <w:trHeight w:val="243"/>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32,993</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38,197</w:t>
            </w:r>
          </w:p>
        </w:tc>
        <w:tc>
          <w:tcPr>
            <w:tcW w:w="0" w:type="dxa"/>
            <w:vAlign w:val="bottom"/>
          </w:tcPr>
          <w:p>
            <w:pPr>
              <w:spacing w:after="0"/>
              <w:rPr>
                <w:sz w:val="1"/>
                <w:szCs w:val="1"/>
                <w:color w:val="auto"/>
              </w:rPr>
            </w:pPr>
          </w:p>
        </w:tc>
      </w:tr>
      <w:tr>
        <w:trPr>
          <w:trHeight w:val="216"/>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Accrued restructuring</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Accrued pension and postretirement benefits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1,536</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91,790</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95,617</w:t>
            </w:r>
          </w:p>
        </w:tc>
        <w:tc>
          <w:tcPr>
            <w:tcW w:w="0" w:type="dxa"/>
            <w:vAlign w:val="bottom"/>
          </w:tcPr>
          <w:p>
            <w:pPr>
              <w:spacing w:after="0"/>
              <w:rPr>
                <w:sz w:val="1"/>
                <w:szCs w:val="1"/>
                <w:color w:val="auto"/>
              </w:rPr>
            </w:pPr>
          </w:p>
        </w:tc>
      </w:tr>
      <w:tr>
        <w:trPr>
          <w:trHeight w:val="216"/>
        </w:trPr>
        <w:tc>
          <w:tcPr>
            <w:tcW w:w="1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6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365,731</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430,467</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931,491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836,412</w:t>
            </w: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25,697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26,335</w:t>
            </w: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151,208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179,025</w:t>
            </w: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Non-current accrued pension and postretirement benefits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38,222</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45,984</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16"/>
        </w:trPr>
        <w:tc>
          <w:tcPr>
            <w:tcW w:w="1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1,551,870</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2"/>
              </w:rPr>
              <w:t>1,567,838</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Common stock $1 par value; authorized 30,000,000 shares; issued and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outstanding 2022 – 17,931,205 shares; 2021 – 17,897,033 shares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17,931</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17,897</w:t>
            </w:r>
          </w:p>
        </w:tc>
        <w:tc>
          <w:tcPr>
            <w:tcW w:w="0" w:type="dxa"/>
            <w:vAlign w:val="bottom"/>
          </w:tcPr>
          <w:p>
            <w:pPr>
              <w:spacing w:after="0"/>
              <w:rPr>
                <w:sz w:val="1"/>
                <w:szCs w:val="1"/>
                <w:color w:val="auto"/>
              </w:rPr>
            </w:pPr>
          </w:p>
        </w:tc>
      </w:tr>
      <w:tr>
        <w:trPr>
          <w:trHeight w:val="229"/>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Capital in excess of par value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925,037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917,053</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553,685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516,334</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(217,655)</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(63,990)</w:t>
            </w:r>
          </w:p>
        </w:tc>
        <w:tc>
          <w:tcPr>
            <w:tcW w:w="0" w:type="dxa"/>
            <w:vAlign w:val="bottom"/>
          </w:tcPr>
          <w:p>
            <w:pPr>
              <w:spacing w:after="0"/>
              <w:rPr>
                <w:sz w:val="1"/>
                <w:szCs w:val="1"/>
                <w:color w:val="auto"/>
              </w:rPr>
            </w:pPr>
          </w:p>
        </w:tc>
      </w:tr>
      <w:tr>
        <w:trPr>
          <w:trHeight w:val="209"/>
        </w:trPr>
        <w:tc>
          <w:tcPr>
            <w:tcW w:w="16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694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Quaker shareholders’ equity</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1,278,998</w:t>
            </w:r>
          </w:p>
        </w:tc>
        <w:tc>
          <w:tcPr>
            <w:tcW w:w="160" w:type="dxa"/>
            <w:vAlign w:val="bottom"/>
            <w:tcBorders>
              <w:bottom w:val="single" w:sz="8" w:color="B7E5FF"/>
            </w:tcBorders>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1,387,294</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B7E5FF"/>
          </w:tcPr>
          <w:p>
            <w:pPr>
              <w:ind w:left="20"/>
              <w:spacing w:after="0" w:line="202" w:lineRule="exact"/>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1,279,630</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89"/>
              </w:rPr>
              <w:t>1,387,922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2,831,500</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2,955,760</w:t>
            </w:r>
          </w:p>
        </w:tc>
        <w:tc>
          <w:tcPr>
            <w:tcW w:w="0" w:type="dxa"/>
            <w:vAlign w:val="bottom"/>
          </w:tcPr>
          <w:p>
            <w:pPr>
              <w:spacing w:after="0"/>
              <w:rPr>
                <w:sz w:val="1"/>
                <w:szCs w:val="1"/>
                <w:color w:val="auto"/>
              </w:rPr>
            </w:pPr>
          </w:p>
        </w:tc>
      </w:tr>
    </w:tbl>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9720"/>
          </w:cols>
          <w:pgMar w:left="1080" w:top="895" w:right="10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720"/>
          </w:cols>
          <w:pgMar w:left="1080" w:top="895" w:right="1099" w:bottom="1440" w:gutter="0" w:footer="0" w:header="0"/>
          <w:type w:val="continuous"/>
        </w:sectPr>
      </w:pPr>
    </w:p>
    <w:bookmarkStart w:id="5" w:name="page6"/>
    <w:bookmarkEnd w:id="5"/>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20"/>
                <w:szCs w:val="20"/>
                <w:color w:val="auto"/>
              </w:rPr>
            </w:pPr>
          </w:p>
        </w:tc>
      </w:tr>
      <w:tr>
        <w:trPr>
          <w:trHeight w:val="227"/>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1"/>
              </w:rPr>
              <w:t>Nine Months Ended</w:t>
            </w:r>
          </w:p>
        </w:tc>
      </w:tr>
      <w:tr>
        <w:trPr>
          <w:trHeight w:val="225"/>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b w:val="1"/>
                <w:bCs w:val="1"/>
                <w:color w:val="auto"/>
                <w:w w:val="87"/>
              </w:rPr>
              <w:t>September 30,</w:t>
            </w:r>
          </w:p>
        </w:tc>
      </w:tr>
      <w:tr>
        <w:trPr>
          <w:trHeight w:val="236"/>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72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60,100</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103,305</w:t>
            </w:r>
          </w:p>
        </w:tc>
      </w:tr>
      <w:tr>
        <w:trPr>
          <w:trHeight w:val="229"/>
        </w:trPr>
        <w:tc>
          <w:tcPr>
            <w:tcW w:w="7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2,589</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3,562</w:t>
            </w:r>
          </w:p>
        </w:tc>
      </w:tr>
      <w:tr>
        <w:trPr>
          <w:trHeight w:val="236"/>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65,440</w:t>
            </w:r>
          </w:p>
        </w:tc>
      </w:tr>
      <w:tr>
        <w:trPr>
          <w:trHeight w:val="236"/>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Equity in undistributed earnings of associated companies, net of dividends</w:t>
            </w: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3,612</w:t>
            </w: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60" w:type="dxa"/>
            <w:vAlign w:val="bottom"/>
            <w:shd w:val="clear" w:color="auto" w:fill="B7E5FF"/>
          </w:tcPr>
          <w:p>
            <w:pPr>
              <w:spacing w:after="0"/>
              <w:rPr>
                <w:sz w:val="20"/>
                <w:szCs w:val="20"/>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(7,563)</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Acquisition-related fair value adjustments related to inventory</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(8,811)</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(21,865)</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8,441</w:t>
            </w:r>
          </w:p>
        </w:tc>
      </w:tr>
      <w:tr>
        <w:trPr>
          <w:trHeight w:val="229"/>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5,246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Gain on disposal of property, plant, equipment and other assets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(4,819)</w:t>
            </w: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Combination and other acquisition-related expenses, net of payments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(4,265)</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(1,705)</w:t>
            </w:r>
          </w:p>
        </w:tc>
      </w:tr>
      <w:tr>
        <w:trPr>
          <w:trHeight w:val="229"/>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Restructuring and related (credits) charges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(6,556)</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(5,638)</w:t>
            </w:r>
          </w:p>
        </w:tc>
      </w:tr>
      <w:tr>
        <w:trPr>
          <w:trHeight w:val="236"/>
        </w:trPr>
        <w:tc>
          <w:tcPr>
            <w:tcW w:w="7220" w:type="dxa"/>
            <w:vAlign w:val="bottom"/>
            <w:gridSpan w:val="2"/>
          </w:tcPr>
          <w:p>
            <w:pPr>
              <w:ind w:left="160"/>
              <w:spacing w:after="0"/>
              <w:rPr>
                <w:sz w:val="20"/>
                <w:szCs w:val="20"/>
                <w:color w:val="auto"/>
              </w:rPr>
            </w:pPr>
            <w:r>
              <w:rPr>
                <w:rFonts w:ascii="Arial" w:cs="Arial" w:eastAsia="Arial" w:hAnsi="Arial"/>
                <w:sz w:val="18"/>
                <w:szCs w:val="18"/>
                <w:color w:val="auto"/>
              </w:rPr>
              <w:t>(Decrease) increase in cash from changes in current assets and current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6"/>
        </w:trPr>
        <w:tc>
          <w:tcPr>
            <w:tcW w:w="7200" w:type="dxa"/>
            <w:vAlign w:val="bottom"/>
            <w:shd w:val="clear" w:color="auto" w:fill="B7E5FF"/>
          </w:tcPr>
          <w:p>
            <w:pPr>
              <w:ind w:left="420"/>
              <w:spacing w:after="0"/>
              <w:rPr>
                <w:sz w:val="20"/>
                <w:szCs w:val="20"/>
                <w:color w:val="auto"/>
              </w:rPr>
            </w:pPr>
            <w:r>
              <w:rPr>
                <w:rFonts w:ascii="Arial" w:cs="Arial" w:eastAsia="Arial" w:hAnsi="Arial"/>
                <w:sz w:val="18"/>
                <w:szCs w:val="18"/>
                <w:color w:val="auto"/>
              </w:rPr>
              <w:t>liabilities, net of acquisitions:</w:t>
            </w: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60" w:type="dxa"/>
            <w:vAlign w:val="bottom"/>
            <w:shd w:val="clear" w:color="auto" w:fill="B7E5FF"/>
          </w:tcPr>
          <w:p>
            <w:pPr>
              <w:spacing w:after="0"/>
              <w:rPr>
                <w:sz w:val="20"/>
                <w:szCs w:val="20"/>
                <w:color w:val="auto"/>
              </w:rPr>
            </w:pPr>
          </w:p>
        </w:tc>
        <w:tc>
          <w:tcPr>
            <w:tcW w:w="800" w:type="dxa"/>
            <w:vAlign w:val="bottom"/>
            <w:shd w:val="clear" w:color="auto" w:fill="B7E5FF"/>
          </w:tcPr>
          <w:p>
            <w:pPr>
              <w:spacing w:after="0"/>
              <w:rPr>
                <w:sz w:val="20"/>
                <w:szCs w:val="20"/>
                <w:color w:val="auto"/>
              </w:rPr>
            </w:pP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(65,256)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(68,664)</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(72,386)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(72,962)</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(11,081)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(24,512)</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Change in restructuring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(4,557)</w:t>
            </w:r>
          </w:p>
        </w:tc>
      </w:tr>
      <w:tr>
        <w:trPr>
          <w:trHeight w:val="243"/>
        </w:trPr>
        <w:tc>
          <w:tcPr>
            <w:tcW w:w="7220" w:type="dxa"/>
            <w:vAlign w:val="bottom"/>
            <w:tcBorders>
              <w:bottom w:val="single" w:sz="8" w:color="B7E5FF"/>
            </w:tcBorders>
            <w:gridSpan w:val="2"/>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6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32,652</w:t>
            </w:r>
          </w:p>
        </w:tc>
      </w:tr>
      <w:tr>
        <w:trPr>
          <w:trHeight w:val="223"/>
        </w:trPr>
        <w:tc>
          <w:tcPr>
            <w:tcW w:w="7200" w:type="dxa"/>
            <w:vAlign w:val="bottom"/>
            <w:shd w:val="clear" w:color="auto" w:fill="B7E5FF"/>
          </w:tcPr>
          <w:p>
            <w:pPr>
              <w:ind w:left="420"/>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(26,293)</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2,509</w:t>
            </w: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Investments in property, plant and equipment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(20,230)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(12,823)</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Payments related to acquisitions, net of cash acquired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(31,975)</w:t>
            </w:r>
          </w:p>
        </w:tc>
      </w:tr>
      <w:tr>
        <w:trPr>
          <w:trHeight w:val="223"/>
        </w:trPr>
        <w:tc>
          <w:tcPr>
            <w:tcW w:w="7200" w:type="dxa"/>
            <w:vAlign w:val="bottom"/>
            <w:tcBorders>
              <w:bottom w:val="single" w:sz="8" w:color="B7E5FF"/>
            </w:tcBorders>
            <w:shd w:val="clear" w:color="auto" w:fill="B7E5FF"/>
          </w:tcPr>
          <w:p>
            <w:pPr>
              <w:ind w:left="280"/>
              <w:spacing w:after="0"/>
              <w:rPr>
                <w:sz w:val="20"/>
                <w:szCs w:val="20"/>
                <w:color w:val="auto"/>
              </w:rPr>
            </w:pPr>
            <w:r>
              <w:rPr>
                <w:rFonts w:ascii="Arial" w:cs="Arial" w:eastAsia="Arial" w:hAnsi="Arial"/>
                <w:sz w:val="18"/>
                <w:szCs w:val="18"/>
                <w:color w:val="auto"/>
              </w:rPr>
              <w:t>Proceeds from disposition of assets</w:t>
            </w: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14,744</w:t>
            </w:r>
          </w:p>
        </w:tc>
      </w:tr>
      <w:tr>
        <w:trPr>
          <w:trHeight w:val="243"/>
        </w:trPr>
        <w:tc>
          <w:tcPr>
            <w:tcW w:w="7220" w:type="dxa"/>
            <w:vAlign w:val="bottom"/>
            <w:tcBorders>
              <w:bottom w:val="single" w:sz="8" w:color="B7E5FF"/>
            </w:tcBorders>
            <w:gridSpan w:val="2"/>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(29,586)</w:t>
            </w:r>
          </w:p>
        </w:tc>
        <w:tc>
          <w:tcPr>
            <w:tcW w:w="16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(30,054)</w:t>
            </w:r>
          </w:p>
        </w:tc>
      </w:tr>
      <w:tr>
        <w:trPr>
          <w:trHeight w:val="223"/>
        </w:trPr>
        <w:tc>
          <w:tcPr>
            <w:tcW w:w="720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Payments of long-term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(668,500)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(28,558)</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Proceeds from long-term debt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(Payments) borrowings on revolving credit facilities,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39,143</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Borrowings (payments) on other debt,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2,131</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(585)</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Financing-related debt issuance costs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(22,302)</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(21,175)</w:t>
            </w:r>
          </w:p>
        </w:tc>
      </w:tr>
      <w:tr>
        <w:trPr>
          <w:trHeight w:val="230"/>
        </w:trPr>
        <w:tc>
          <w:tcPr>
            <w:tcW w:w="7220" w:type="dxa"/>
            <w:vAlign w:val="bottom"/>
            <w:tcBorders>
              <w:bottom w:val="single" w:sz="8" w:color="B7E5FF"/>
            </w:tcBorders>
            <w:gridSpan w:val="2"/>
          </w:tcPr>
          <w:p>
            <w:pPr>
              <w:ind w:left="280"/>
              <w:spacing w:after="0"/>
              <w:rPr>
                <w:sz w:val="20"/>
                <w:szCs w:val="20"/>
                <w:color w:val="auto"/>
              </w:rPr>
            </w:pPr>
            <w:r>
              <w:rPr>
                <w:rFonts w:ascii="Arial" w:cs="Arial" w:eastAsia="Arial" w:hAnsi="Arial"/>
                <w:sz w:val="18"/>
                <w:szCs w:val="18"/>
                <w:color w:val="auto"/>
              </w:rPr>
              <w:t>Stock options exercised, other</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16"/>
        </w:trPr>
        <w:tc>
          <w:tcPr>
            <w:tcW w:w="7200" w:type="dxa"/>
            <w:vAlign w:val="bottom"/>
            <w:shd w:val="clear" w:color="auto" w:fill="B7E5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46,561</w:t>
            </w:r>
          </w:p>
        </w:tc>
        <w:tc>
          <w:tcPr>
            <w:tcW w:w="160" w:type="dxa"/>
            <w:vAlign w:val="bottom"/>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(10,471)</w:t>
            </w:r>
          </w:p>
        </w:tc>
      </w:tr>
      <w:tr>
        <w:trPr>
          <w:trHeight w:val="250"/>
        </w:trPr>
        <w:tc>
          <w:tcPr>
            <w:tcW w:w="7220" w:type="dxa"/>
            <w:vAlign w:val="bottom"/>
            <w:tcBorders>
              <w:bottom w:val="single" w:sz="8" w:color="B7E5FF"/>
            </w:tcBorders>
            <w:gridSpan w:val="2"/>
          </w:tcPr>
          <w:p>
            <w:pPr>
              <w:ind w:left="420"/>
              <w:spacing w:after="0"/>
              <w:rPr>
                <w:sz w:val="20"/>
                <w:szCs w:val="20"/>
                <w:color w:val="auto"/>
              </w:rPr>
            </w:pPr>
            <w:r>
              <w:rPr>
                <w:rFonts w:ascii="Arial" w:cs="Arial" w:eastAsia="Arial" w:hAnsi="Arial"/>
                <w:sz w:val="18"/>
                <w:szCs w:val="18"/>
                <w:color w:val="auto"/>
              </w:rPr>
              <w:t>Effect of foreign exchange rate changes on cash</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r>
      <w:tr>
        <w:trPr>
          <w:trHeight w:val="216"/>
        </w:trPr>
        <w:tc>
          <w:tcPr>
            <w:tcW w:w="72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(26,285)</w:t>
            </w:r>
          </w:p>
        </w:tc>
        <w:tc>
          <w:tcPr>
            <w:tcW w:w="1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(40,502)</w:t>
            </w:r>
          </w:p>
        </w:tc>
      </w:tr>
      <w:tr>
        <w:trPr>
          <w:trHeight w:val="230"/>
        </w:trPr>
        <w:tc>
          <w:tcPr>
            <w:tcW w:w="72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165,176</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181,895</w:t>
            </w: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0"/>
        </w:trPr>
        <w:tc>
          <w:tcPr>
            <w:tcW w:w="7200" w:type="dxa"/>
            <w:vAlign w:val="bottom"/>
            <w:tcBorders>
              <w:bottom w:val="single" w:sz="8" w:color="B7E5FF"/>
            </w:tcBorders>
            <w:shd w:val="clear" w:color="auto" w:fill="B7E5FF"/>
          </w:tcPr>
          <w:p>
            <w:pPr>
              <w:ind w:left="20"/>
              <w:spacing w:after="0" w:line="203" w:lineRule="exact"/>
              <w:rPr>
                <w:sz w:val="20"/>
                <w:szCs w:val="20"/>
                <w:color w:val="auto"/>
              </w:rPr>
            </w:pPr>
            <w:r>
              <w:rPr>
                <w:rFonts w:ascii="Arial" w:cs="Arial" w:eastAsia="Arial" w:hAnsi="Arial"/>
                <w:sz w:val="18"/>
                <w:szCs w:val="18"/>
                <w:color w:val="auto"/>
              </w:rPr>
              <w:t>Cash and cash equivalents at the end of the period</w:t>
            </w: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138,891</w:t>
            </w:r>
          </w:p>
        </w:tc>
        <w:tc>
          <w:tcPr>
            <w:tcW w:w="1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360" w:type="dxa"/>
            <w:vAlign w:val="bottom"/>
            <w:tcBorders>
              <w:bottom w:val="single" w:sz="8" w:color="B7E5FF"/>
            </w:tcBorders>
            <w:shd w:val="clear" w:color="auto" w:fill="B7E5FF"/>
          </w:tcPr>
          <w:p>
            <w:pPr>
              <w:jc w:val="right"/>
              <w:ind w:right="170"/>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141,393</w:t>
            </w: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consolidatedfinancial statements.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720"/>
          </w:cols>
          <w:pgMar w:left="1080" w:top="895" w:right="1099" w:bottom="1440" w:gutter="0" w:footer="0" w:header="0"/>
          <w:type w:val="continuous"/>
        </w:sectPr>
      </w:pPr>
    </w:p>
    <w:bookmarkStart w:id="6" w:name="page7"/>
    <w:bookmarkEnd w:id="6"/>
    <w:p>
      <w:pPr>
        <w:jc w:val="center"/>
        <w:ind w:right="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Condensed Consolidated Statements of Changes in Equity</w:t>
      </w:r>
    </w:p>
    <w:p>
      <w:pPr>
        <w:spacing w:after="0" w:line="7" w:lineRule="exact"/>
        <w:rPr>
          <w:sz w:val="20"/>
          <w:szCs w:val="20"/>
          <w:color w:val="auto"/>
        </w:rPr>
      </w:pPr>
    </w:p>
    <w:p>
      <w:pPr>
        <w:ind w:left="3060"/>
        <w:spacing w:after="0"/>
        <w:rPr>
          <w:sz w:val="20"/>
          <w:szCs w:val="20"/>
          <w:color w:val="auto"/>
        </w:rPr>
      </w:pPr>
      <w:r>
        <w:rPr>
          <w:rFonts w:ascii="Arial" w:cs="Arial" w:eastAsia="Arial" w:hAnsi="Arial"/>
          <w:sz w:val="14"/>
          <w:szCs w:val="14"/>
          <w:b w:val="1"/>
          <w:bCs w:val="1"/>
          <w:i w:val="1"/>
          <w:iCs w:val="1"/>
          <w:color w:val="auto"/>
        </w:rPr>
        <w:t>(Unaudited; Dollars in thousands,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Excess of</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Retained</w:t>
            </w:r>
          </w:p>
        </w:tc>
        <w:tc>
          <w:tcPr>
            <w:tcW w:w="40" w:type="dxa"/>
            <w:vAlign w:val="bottom"/>
          </w:tcPr>
          <w:p>
            <w:pPr>
              <w:spacing w:after="0"/>
              <w:rPr>
                <w:sz w:val="19"/>
                <w:szCs w:val="19"/>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87"/>
              </w:rPr>
              <w:t>Comprehensive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5"/>
          </w:tcPr>
          <w:p>
            <w:pPr>
              <w:ind w:left="60"/>
              <w:spacing w:after="0"/>
              <w:rPr>
                <w:sz w:val="20"/>
                <w:szCs w:val="20"/>
                <w:color w:val="auto"/>
              </w:rPr>
            </w:pPr>
            <w:r>
              <w:rPr>
                <w:rFonts w:ascii="Arial" w:cs="Arial" w:eastAsia="Arial" w:hAnsi="Arial"/>
                <w:sz w:val="18"/>
                <w:szCs w:val="18"/>
                <w:b w:val="1"/>
                <w:bCs w:val="1"/>
                <w:color w:val="auto"/>
                <w:w w:val="90"/>
              </w:rPr>
              <w:t>Noncontrolling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Par Value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Earnings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Loss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ind w:left="18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520" w:type="dxa"/>
            <w:vAlign w:val="bottom"/>
            <w:tcBorders>
              <w:top w:val="single" w:sz="8" w:color="B7E5FF"/>
            </w:tcBorders>
            <w:gridSpan w:val="3"/>
            <w:shd w:val="clear" w:color="auto" w:fill="B7E5FF"/>
          </w:tcPr>
          <w:p>
            <w:pPr>
              <w:ind w:left="20"/>
              <w:spacing w:after="0" w:line="202" w:lineRule="exact"/>
              <w:rPr>
                <w:sz w:val="20"/>
                <w:szCs w:val="20"/>
                <w:color w:val="auto"/>
              </w:rPr>
            </w:pPr>
            <w:r>
              <w:rPr>
                <w:rFonts w:ascii="Arial" w:cs="Arial" w:eastAsia="Arial" w:hAnsi="Arial"/>
                <w:sz w:val="18"/>
                <w:szCs w:val="18"/>
                <w:b w:val="1"/>
                <w:bCs w:val="1"/>
                <w:color w:val="auto"/>
                <w:w w:val="96"/>
              </w:rPr>
              <w:t>Balance at December 31, 2020</w:t>
            </w: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17,851</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905,171</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8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423,940</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B7E5FF"/>
          </w:tcPr>
          <w:p>
            <w:pPr>
              <w:jc w:val="right"/>
              <w:ind w:right="20"/>
              <w:spacing w:after="0" w:line="202" w:lineRule="exact"/>
              <w:rPr>
                <w:sz w:val="20"/>
                <w:szCs w:val="20"/>
                <w:color w:val="auto"/>
              </w:rPr>
            </w:pPr>
            <w:r>
              <w:rPr>
                <w:rFonts w:ascii="Arial" w:cs="Arial" w:eastAsia="Arial" w:hAnsi="Arial"/>
                <w:sz w:val="18"/>
                <w:szCs w:val="18"/>
                <w:color w:val="auto"/>
              </w:rPr>
              <w:t>(26,598)</w:t>
            </w: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550</w:t>
            </w:r>
          </w:p>
        </w:tc>
        <w:tc>
          <w:tcPr>
            <w:tcW w:w="40" w:type="dxa"/>
            <w:vAlign w:val="bottom"/>
            <w:tcBorders>
              <w:top w:val="single" w:sz="8" w:color="auto"/>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94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1,320,914</w:t>
            </w:r>
          </w:p>
        </w:tc>
        <w:tc>
          <w:tcPr>
            <w:tcW w:w="20" w:type="dxa"/>
            <w:vAlign w:val="bottom"/>
            <w:tcBorders>
              <w:top w:val="single" w:sz="8" w:color="auto"/>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Amounts reported in other</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(26,630)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(26,632)</w:t>
            </w: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Dividends ($0.395 per share)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(7,062)</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(7,062)</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w w:val="87"/>
              </w:rPr>
              <w:t>Share issuance and equity-based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140"/>
              <w:spacing w:after="0"/>
              <w:rPr>
                <w:sz w:val="20"/>
                <w:szCs w:val="20"/>
                <w:color w:val="auto"/>
              </w:rPr>
            </w:pPr>
            <w:r>
              <w:rPr>
                <w:rFonts w:ascii="Arial" w:cs="Arial" w:eastAsia="Arial" w:hAnsi="Arial"/>
                <w:sz w:val="18"/>
                <w:szCs w:val="18"/>
                <w:color w:val="auto"/>
              </w:rPr>
              <w:t>compensation plans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3,577</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3,601</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17,875</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908,748</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455,493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(53,228)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1,329,453</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33,570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33,600</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Amounts reported in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140"/>
              <w:spacing w:after="0"/>
              <w:rPr>
                <w:sz w:val="20"/>
                <w:szCs w:val="20"/>
                <w:color w:val="auto"/>
              </w:rPr>
            </w:pPr>
            <w:r>
              <w:rPr>
                <w:rFonts w:ascii="Arial" w:cs="Arial" w:eastAsia="Arial" w:hAnsi="Arial"/>
                <w:sz w:val="18"/>
                <w:szCs w:val="18"/>
                <w:color w:val="auto"/>
              </w:rPr>
              <w:t>comprehensive gain</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17,285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17,293</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Dividends ($0.395 per share)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w w:val="87"/>
              </w:rPr>
              <w:t>Share issuance and equity-based</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B7E5FF"/>
            </w:tcBorders>
          </w:tcPr>
          <w:p>
            <w:pPr>
              <w:spacing w:after="0" w:line="20" w:lineRule="exact"/>
              <w:rPr>
                <w:sz w:val="1"/>
                <w:szCs w:val="1"/>
                <w:color w:val="auto"/>
              </w:rPr>
            </w:pPr>
          </w:p>
        </w:tc>
        <w:tc>
          <w:tcPr>
            <w:tcW w:w="236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20" w:type="dxa"/>
            <w:vAlign w:val="bottom"/>
            <w:gridSpan w:val="3"/>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17,878</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910,862</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482,001</w:t>
            </w:r>
          </w:p>
        </w:tc>
        <w:tc>
          <w:tcPr>
            <w:tcW w:w="18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(35,943)</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603</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1,375,401</w:t>
            </w:r>
          </w:p>
        </w:tc>
        <w:tc>
          <w:tcPr>
            <w:tcW w:w="2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31,058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15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31,073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Amounts reported in other</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(18,780)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Dividends ($0.415 per share)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(7,424)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(7,424)</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w w:val="87"/>
              </w:rPr>
              <w:t>Share issuance and equity-based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80" w:type="dxa"/>
            <w:vAlign w:val="bottom"/>
            <w:gridSpan w:val="2"/>
            <w:shd w:val="clear" w:color="auto" w:fill="B7E5FF"/>
          </w:tcPr>
          <w:p>
            <w:pPr>
              <w:ind w:left="140"/>
              <w:spacing w:after="0"/>
              <w:rPr>
                <w:sz w:val="20"/>
                <w:szCs w:val="20"/>
                <w:color w:val="auto"/>
              </w:rPr>
            </w:pPr>
            <w:r>
              <w:rPr>
                <w:rFonts w:ascii="Arial" w:cs="Arial" w:eastAsia="Arial" w:hAnsi="Arial"/>
                <w:sz w:val="18"/>
                <w:szCs w:val="18"/>
                <w:color w:val="auto"/>
              </w:rPr>
              <w:t>compensation plans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3,415</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3,426</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Balance at September 30, 2021</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17,889</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914,277</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(54,723)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1,383,696</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w w:val="96"/>
              </w:rPr>
              <w:t>Balance at December 31, 2021</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17,897</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917,053</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516,334</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(63,990)</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628</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1,387,922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spacing w:after="0"/>
              <w:rPr>
                <w:sz w:val="20"/>
                <w:szCs w:val="20"/>
                <w:color w:val="auto"/>
              </w:rPr>
            </w:pPr>
            <w:r>
              <w:rPr>
                <w:rFonts w:ascii="Arial" w:cs="Arial" w:eastAsia="Arial" w:hAnsi="Arial"/>
                <w:sz w:val="18"/>
                <w:szCs w:val="18"/>
                <w:color w:val="auto"/>
              </w:rPr>
              <w:t>Amounts reported in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w w:val="94"/>
              </w:rPr>
              <w:t>comprehensive (loss)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spacing w:after="0"/>
              <w:rPr>
                <w:sz w:val="20"/>
                <w:szCs w:val="20"/>
                <w:color w:val="auto"/>
              </w:rPr>
            </w:pPr>
            <w:r>
              <w:rPr>
                <w:rFonts w:ascii="Arial" w:cs="Arial" w:eastAsia="Arial" w:hAnsi="Arial"/>
                <w:sz w:val="18"/>
                <w:szCs w:val="18"/>
                <w:color w:val="auto"/>
              </w:rPr>
              <w:t>Dividends ($0.415 per share)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(7,434)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w w:val="88"/>
              </w:rPr>
              <w:t>Share issuance and equity-based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compensation plans</w:t>
            </w: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1,646</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918,699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528,716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(70,261)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1,395,700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14,343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Amounts reported in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(74,985)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Dividends ($0.415 per share)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spacing w:after="0"/>
              <w:rPr>
                <w:sz w:val="20"/>
                <w:szCs w:val="20"/>
                <w:color w:val="auto"/>
              </w:rPr>
            </w:pPr>
            <w:r>
              <w:rPr>
                <w:rFonts w:ascii="Arial" w:cs="Arial" w:eastAsia="Arial" w:hAnsi="Arial"/>
                <w:sz w:val="18"/>
                <w:szCs w:val="18"/>
                <w:color w:val="auto"/>
                <w:w w:val="87"/>
              </w:rPr>
              <w:t>Share issuance and equity-based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B7E5FF"/>
            </w:tcBorders>
          </w:tcPr>
          <w:p>
            <w:pPr>
              <w:spacing w:after="0" w:line="20" w:lineRule="exact"/>
              <w:rPr>
                <w:sz w:val="1"/>
                <w:szCs w:val="1"/>
                <w:color w:val="auto"/>
              </w:rPr>
            </w:pPr>
          </w:p>
        </w:tc>
        <w:tc>
          <w:tcPr>
            <w:tcW w:w="236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Balance at June 30, 2022</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17,920</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gridSpan w:val="2"/>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921,642</w:t>
            </w:r>
          </w:p>
        </w:tc>
        <w:tc>
          <w:tcPr>
            <w:tcW w:w="2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gridSpan w:val="2"/>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535,621</w:t>
            </w:r>
          </w:p>
        </w:tc>
        <w:tc>
          <w:tcPr>
            <w:tcW w:w="40" w:type="dxa"/>
            <w:vAlign w:val="bottom"/>
            <w:shd w:val="clear" w:color="auto" w:fill="B7E5FF"/>
          </w:tcPr>
          <w:p>
            <w:pPr>
              <w:spacing w:after="0"/>
              <w:rPr>
                <w:sz w:val="18"/>
                <w:szCs w:val="18"/>
                <w:color w:val="auto"/>
              </w:rPr>
            </w:pPr>
          </w:p>
        </w:tc>
        <w:tc>
          <w:tcPr>
            <w:tcW w:w="40" w:type="dxa"/>
            <w:vAlign w:val="bottom"/>
            <w:gridSpan w:val="2"/>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(145,246)</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0" w:type="dxa"/>
            <w:vAlign w:val="bottom"/>
            <w:gridSpan w:val="2"/>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629</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1,330,566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25,867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25,908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0" w:type="dxa"/>
            <w:vAlign w:val="bottom"/>
            <w:tcBorders>
              <w:bottom w:val="single" w:sz="8" w:color="B7E5FF"/>
            </w:tcBorders>
            <w:shd w:val="clear" w:color="auto" w:fill="B7E5FF"/>
          </w:tcPr>
          <w:p>
            <w:pPr>
              <w:spacing w:after="0"/>
              <w:rPr>
                <w:sz w:val="18"/>
                <w:szCs w:val="18"/>
                <w:color w:val="auto"/>
              </w:rPr>
            </w:pPr>
          </w:p>
        </w:tc>
        <w:tc>
          <w:tcPr>
            <w:tcW w:w="2360" w:type="dxa"/>
            <w:vAlign w:val="bottom"/>
            <w:tcBorders>
              <w:bottom w:val="single" w:sz="8" w:color="B7E5FF"/>
            </w:tcBorders>
            <w:shd w:val="clear" w:color="auto" w:fill="B7E5FF"/>
          </w:tcPr>
          <w:p>
            <w:pPr>
              <w:spacing w:after="0" w:line="202" w:lineRule="exact"/>
              <w:rPr>
                <w:sz w:val="20"/>
                <w:szCs w:val="20"/>
                <w:color w:val="auto"/>
              </w:rPr>
            </w:pPr>
            <w:r>
              <w:rPr>
                <w:rFonts w:ascii="Arial" w:cs="Arial" w:eastAsia="Arial" w:hAnsi="Arial"/>
                <w:sz w:val="18"/>
                <w:szCs w:val="18"/>
                <w:color w:val="auto"/>
              </w:rPr>
              <w:t>Amounts reported in other</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10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10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108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106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104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940" w:type="dxa"/>
            <w:vAlign w:val="bottom"/>
            <w:tcBorders>
              <w:bottom w:val="single" w:sz="8" w:color="B7E5FF"/>
            </w:tcBorders>
            <w:shd w:val="clear" w:color="auto" w:fill="B7E5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(72,409)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spacing w:after="0"/>
              <w:rPr>
                <w:sz w:val="20"/>
                <w:szCs w:val="20"/>
                <w:color w:val="auto"/>
              </w:rPr>
            </w:pPr>
            <w:r>
              <w:rPr>
                <w:rFonts w:ascii="Arial" w:cs="Arial" w:eastAsia="Arial" w:hAnsi="Arial"/>
                <w:sz w:val="18"/>
                <w:szCs w:val="18"/>
                <w:color w:val="auto"/>
              </w:rPr>
              <w:t>Dividends ($0.435 per share)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(7,803)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w w:val="88"/>
              </w:rPr>
              <w:t>Share issuance and equity-based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B7E5FF"/>
          </w:tcPr>
          <w:p>
            <w:pPr>
              <w:spacing w:after="0"/>
              <w:rPr>
                <w:sz w:val="19"/>
                <w:szCs w:val="19"/>
                <w:color w:val="auto"/>
              </w:rPr>
            </w:pPr>
          </w:p>
        </w:tc>
        <w:tc>
          <w:tcPr>
            <w:tcW w:w="2360" w:type="dxa"/>
            <w:vAlign w:val="bottom"/>
            <w:shd w:val="clear" w:color="auto" w:fill="B7E5FF"/>
          </w:tcPr>
          <w:p>
            <w:pPr>
              <w:ind w:left="140"/>
              <w:spacing w:after="0"/>
              <w:rPr>
                <w:sz w:val="20"/>
                <w:szCs w:val="20"/>
                <w:color w:val="auto"/>
              </w:rPr>
            </w:pPr>
            <w:r>
              <w:rPr>
                <w:rFonts w:ascii="Arial" w:cs="Arial" w:eastAsia="Arial" w:hAnsi="Arial"/>
                <w:sz w:val="18"/>
                <w:szCs w:val="18"/>
                <w:color w:val="auto"/>
              </w:rPr>
              <w:t>compensation plans</w:t>
            </w: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3,395</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3"/>
          </w:tcPr>
          <w:p>
            <w:pPr>
              <w:spacing w:after="0"/>
              <w:rPr>
                <w:sz w:val="20"/>
                <w:szCs w:val="20"/>
                <w:color w:val="auto"/>
              </w:rPr>
            </w:pPr>
            <w:r>
              <w:rPr>
                <w:rFonts w:ascii="Arial" w:cs="Arial" w:eastAsia="Arial" w:hAnsi="Arial"/>
                <w:sz w:val="18"/>
                <w:szCs w:val="18"/>
                <w:b w:val="1"/>
                <w:bCs w:val="1"/>
                <w:color w:val="auto"/>
                <w:w w:val="94"/>
              </w:rPr>
              <w:t>Balance at September 30, 2022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925,037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553,685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(217,655)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1,279,630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0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9880"/>
          </w:cols>
          <w:pgMar w:left="1080" w:top="895"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880"/>
          </w:cols>
          <w:pgMar w:left="1080" w:top="895" w:right="939" w:bottom="1440" w:gutter="0" w:footer="0" w:header="0"/>
          <w:type w:val="continuous"/>
        </w:sectPr>
      </w:pPr>
    </w:p>
    <w:bookmarkStart w:id="7" w:name="page8"/>
    <w:bookmarkEnd w:id="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 Basis of Presentation and Description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04"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As used in these Notes to Condensed Consolidated Financial Statements of this Quarterly Report on Form 10-Q for the period ended September 30, 2022 (the “Report”), the terms “Quaker Houghton,” the “Company,” “we,” and “our” refer to Quaker Chemical Corporation (doing business as Quaker Houghton), its subsidiaries, and associated companies, unless the context otherwise requires. As used in these Notes to Condensed Consolidated Financial Statements, the “Combination” refers to the legacy Quaker combination with Houghton International, Inc. (“Houghton”).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only of normal recurring adjustments which are necessary for a fair statement of the financial position, results of operations and cash flows for the interim periods. The results for the nine months ended September 30, 2022 are not necessarily indicative of the results to be expected for the full year. These financial statements should be read in conjunction with the Company’s Annual Report filed on Form 10-K for the year ended December 31, 2021 (the “2021 Form 10-K”).</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Business</w:t>
      </w:r>
    </w:p>
    <w:p>
      <w:pPr>
        <w:spacing w:after="0" w:line="104" w:lineRule="exact"/>
        <w:rPr>
          <w:sz w:val="20"/>
          <w:szCs w:val="20"/>
          <w:color w:val="auto"/>
        </w:rPr>
      </w:pPr>
    </w:p>
    <w:p>
      <w:pPr>
        <w:ind w:left="20" w:right="160" w:firstLine="324"/>
        <w:spacing w:after="0" w:line="236" w:lineRule="auto"/>
        <w:rPr>
          <w:sz w:val="20"/>
          <w:szCs w:val="20"/>
          <w:color w:val="auto"/>
        </w:rPr>
      </w:pPr>
      <w:r>
        <w:rPr>
          <w:rFonts w:ascii="Arial" w:cs="Arial" w:eastAsia="Arial" w:hAnsi="Arial"/>
          <w:sz w:val="18"/>
          <w:szCs w:val="18"/>
          <w:color w:val="auto"/>
        </w:rPr>
        <w:t xml:space="preserve">The Company was organized in 1918, incorporated as a Pennsylvania business corporation in 1930, and in August 2019 completed the Combination with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the Company refers to as “Fluidcare </w:t>
      </w:r>
      <w:r>
        <w:rPr>
          <w:rFonts w:ascii="Arial" w:cs="Arial" w:eastAsia="Arial" w:hAnsi="Arial"/>
          <w:sz w:val="23"/>
          <w:szCs w:val="23"/>
          <w:color w:val="auto"/>
          <w:vertAlign w:val="superscript"/>
        </w:rPr>
        <w:t>TM</w:t>
      </w:r>
      <w:r>
        <w:rPr>
          <w:rFonts w:ascii="Arial" w:cs="Arial" w:eastAsia="Arial" w:hAnsi="Arial"/>
          <w:sz w:val="18"/>
          <w:szCs w:val="18"/>
          <w:color w:val="auto"/>
        </w:rPr>
        <w:t>”) for various heavy industrial and manufacturing applications throughout its four segments: Americas; Europe, Middle East and Africa (“EMEA”); Asia/Pacific; and Global Specialty Businesses.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Hyper-inflationary economies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on various indices or index compilations being used to monitor inflation as well as economic instability, Argentina’s and</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w:t>
      </w:r>
      <w:r>
        <w:rPr>
          <w:rFonts w:ascii="MS PGothic" w:cs="MS PGothic" w:eastAsia="MS PGothic" w:hAnsi="MS PGothic"/>
          <w:sz w:val="16"/>
          <w:szCs w:val="16"/>
          <w:color w:val="auto"/>
        </w:rPr>
        <w:t>✔</w:t>
      </w:r>
      <w:r>
        <w:rPr>
          <w:rFonts w:ascii="Arial" w:cs="Arial" w:eastAsia="Arial" w:hAnsi="Arial"/>
          <w:sz w:val="16"/>
          <w:szCs w:val="16"/>
          <w:color w:val="auto"/>
        </w:rPr>
        <w:t>rkiye’s economies were considered hyper-inflationary under U.S. GAAP effective July 1, 2018 and April 1, 2022, respectively.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and for the three and nine months ended September 30, 2022, the Company's Argentine and Turkish subsidiaries represented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combined 1% and 2% of the Company’s consolidated total assets and net sales, respectively. During the three and nine months ended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the Company recorded $ 1.0 million and $1.2 million, respectively, of remeasurement losses associated with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applicable currency conversions related to Argentina and T</w:t>
      </w:r>
      <w:r>
        <w:rPr>
          <w:rFonts w:ascii="MS PGothic" w:cs="MS PGothic" w:eastAsia="MS PGothic" w:hAnsi="MS PGothic"/>
          <w:sz w:val="16"/>
          <w:szCs w:val="16"/>
          <w:color w:val="auto"/>
        </w:rPr>
        <w:t>✔</w:t>
      </w:r>
      <w:r>
        <w:rPr>
          <w:rFonts w:ascii="Arial" w:cs="Arial" w:eastAsia="Arial" w:hAnsi="Arial"/>
          <w:sz w:val="16"/>
          <w:szCs w:val="16"/>
          <w:color w:val="auto"/>
        </w:rPr>
        <w:t>rkiye. Comparatively, during the three and nine months ended September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30, 2021, the Company recorded less than $ 0.1 million and $0.3 million, respectively, of remeasurement losses associated with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applicable currency conversions related to Argentina. These losses were recorded within foreign exchange losses, net, which is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component of other (expense) income, net, in the Company’s Condensed Consolidated Statements of Income.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 Business Acquisitions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Acquisitions</w:t>
      </w:r>
    </w:p>
    <w:p>
      <w:pPr>
        <w:spacing w:after="0" w:line="117" w:lineRule="exact"/>
        <w:rPr>
          <w:sz w:val="20"/>
          <w:szCs w:val="20"/>
          <w:color w:val="auto"/>
        </w:rPr>
      </w:pPr>
    </w:p>
    <w:p>
      <w:pPr>
        <w:ind w:left="20" w:right="20" w:firstLine="324"/>
        <w:spacing w:after="0" w:line="243" w:lineRule="auto"/>
        <w:rPr>
          <w:sz w:val="20"/>
          <w:szCs w:val="20"/>
          <w:color w:val="auto"/>
        </w:rPr>
      </w:pPr>
      <w:r>
        <w:rPr>
          <w:rFonts w:ascii="Arial" w:cs="Arial" w:eastAsia="Arial" w:hAnsi="Arial"/>
          <w:sz w:val="18"/>
          <w:szCs w:val="18"/>
          <w:color w:val="auto"/>
        </w:rPr>
        <w:t>Subsequent to the date of these financial statements, in October 2022, the Company acquired a business that provides pickling and rinsing products and services, which is part of the EMEA reportable segment, for approximately 3.5 million EUR or approximately $3.5 million. This acquisition, along with the Company’s January 2022 acquisition in the Americas (described below), which had similar specializations and product offerings in pickling inhibitor technologies, strengthens Quaker Houghton’s position in pickling inhibitors and additives, enabling the Company to better support and optimize production processes for customers across the Metals industry.</w:t>
      </w:r>
    </w:p>
    <w:p>
      <w:pPr>
        <w:sectPr>
          <w:pgSz w:w="11900" w:h="16838" w:orient="portrait"/>
          <w:cols w:equalWidth="0" w:num="1">
            <w:col w:w="9720"/>
          </w:cols>
          <w:pgMar w:left="104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720"/>
          </w:cols>
          <w:pgMar w:left="1040" w:top="878" w:right="113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In January 2022, the Company acquired a business that provides pickling inhibitor technologies, drawing lubricants and stamping oil, and various other lubrication, rust preventative, and cleaner applications, which is part of the Americas reportable segment for approximately $ 8.0 million. This business broadens the Company’s product offerings within its existing metals and metalworking business in the Americas region. The Company allocated $ 5.6 million of the purchase price to intangible assets, comprised of $ 5.1 million of customer relationships to be amortized over 14 years; and $0.5 million of existing product technologies to be amortized over 14 years. In addition, the Company recorded $ 1.8 million of goodwill related to expected value not allocated to other acquired assets, all of which is expected to be tax deductible in various jurisdictions in which the Company operates. During the third quarter of 2022 the Company finalized post-closing adjustments that resulted in the Company paying less than $ 0.1 million of additional purchase consideration. Factors contributing to the purchase price that resulted in goodwill included the acquisition of business processes and personnel that will allow Quaker Houghton to better serve its customers.</w:t>
      </w:r>
    </w:p>
    <w:p>
      <w:pPr>
        <w:spacing w:after="0" w:line="58" w:lineRule="exact"/>
        <w:rPr>
          <w:sz w:val="20"/>
          <w:szCs w:val="20"/>
          <w:color w:val="auto"/>
        </w:rPr>
      </w:pPr>
    </w:p>
    <w:p>
      <w:pPr>
        <w:ind w:right="240" w:firstLine="324"/>
        <w:spacing w:after="0" w:line="249" w:lineRule="auto"/>
        <w:rPr>
          <w:sz w:val="20"/>
          <w:szCs w:val="20"/>
          <w:color w:val="auto"/>
        </w:rPr>
      </w:pPr>
      <w:r>
        <w:rPr>
          <w:rFonts w:ascii="Arial" w:cs="Arial" w:eastAsia="Arial" w:hAnsi="Arial"/>
          <w:sz w:val="18"/>
          <w:szCs w:val="18"/>
          <w:color w:val="auto"/>
        </w:rPr>
        <w:t>In January 2022, the Company acquired a business related to the sealing and impregnation of metal castings for the automotive sector, as well as impregnation resin and impregnation systems for metal parts, which is part of the Global Specialty Businesses reportable segment for approximately 1.2 million EUR or approximately $1.4 million. This business expands the Company's geographic presence in Germany as well as broadens its product offerings and service capabilities within its existing impregnation business.</w:t>
      </w:r>
    </w:p>
    <w:p>
      <w:pPr>
        <w:spacing w:after="0" w:line="74"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The results of operations of the January 2022 acquisitions subsequent to the respective acquisition dates are included in the unaudited Condensed Consolidated Statements of Income for the nine month period ended September 30, 2022. Applicable transaction expenses associated with these acquisitions are included in Combination, integration and other acquisition-related expenses in the Company’s unaudited Condensed Consolidated Statements of Income. Certain pro forma and other information is not presented, as the operations of the acquisitions are not considered material to the overall operations of the Company for the periods presented. The results of operations of the October acquisition is not included in the Consolidated Statements of Operations because the date of closing was subsequent to September 30, 2022. Preliminary purchase price allocation of assets acquired and liabilities assumed for this business acquired has not been presented as that information is not available as of the date of these Condensed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Acquisitions</w:t>
      </w:r>
    </w:p>
    <w:p>
      <w:pPr>
        <w:spacing w:after="0" w:line="104"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In November 2021, the Company acquired Baron Industries (“Baron”), a privately held company that provides vacuum impregnation services of castings, powder metals and electrical components for its Global Specialty Businesses reportable segment for $11.0 million, including an initial cash payment of $ 7.1 million, subject to post-closing adjustments as well as certain earn-out provisions that are payable at various times from 2022 through 2025. The earn-out provisions could total a maximum of $ 4.5 million. In September 2022, the Company paid $2.5 million related to certain of these earnout provisions. The Company recorded an incremental earn-out expense of $ 0.1 million during the three and nine months ended September 30, 2022 related to these earnout provisions, recorded within the financial statement caption “Combination, integration and other acquisition-related expenses” on the Company’s Condensed Consolidated Statements of Income. As of September 30, 2022, the Company has remaining earnout liabilities recorded on its Condensed Consolidated Balance Sheet of $ 1.6 million. The Company allocated $8.0 million of the purchase price to intangible assets, $ 1.1 million of property, plant and equipment and $1.5 million of other assets acquired net of liabilities assumed, which includes $0.3 million of cash acquired. In addition, the Company recorded $0.4 million of goodwill, all of which is expected to be tax deductible. Intangible assets comprised $ 7.2 million of customer relationships to be amortized over 15 years; and $0.8 million of existing product technology to be amortized over 13 years. Factors contributing to the purchase price that resulted in goodwill included the acquisition of business processes and personnel that will allow Quaker Houghton to better serve its customers. During the third quarter of 2022 the Company finalized post-closing adjustments that resulted in the Company receiving less than $ 0.1 million.</w:t>
      </w:r>
    </w:p>
    <w:p>
      <w:pPr>
        <w:spacing w:after="0" w:line="93" w:lineRule="exact"/>
        <w:rPr>
          <w:sz w:val="20"/>
          <w:szCs w:val="20"/>
          <w:color w:val="auto"/>
        </w:rPr>
      </w:pPr>
    </w:p>
    <w:p>
      <w:pPr>
        <w:ind w:right="100" w:firstLine="324"/>
        <w:spacing w:after="0" w:line="226" w:lineRule="exact"/>
        <w:rPr>
          <w:sz w:val="20"/>
          <w:szCs w:val="20"/>
          <w:color w:val="auto"/>
        </w:rPr>
      </w:pPr>
      <w:r>
        <w:rPr>
          <w:rFonts w:ascii="Arial" w:cs="Arial" w:eastAsia="Arial" w:hAnsi="Arial"/>
          <w:sz w:val="18"/>
          <w:szCs w:val="18"/>
          <w:color w:val="auto"/>
        </w:rPr>
        <w:t>In November 2021, the Company acquired a business that provides hydraulic fluids, coolants, cleaners, and rust preventative oils in T</w:t>
      </w:r>
      <w:r>
        <w:rPr>
          <w:rFonts w:ascii="MS PGothic" w:cs="MS PGothic" w:eastAsia="MS PGothic" w:hAnsi="MS PGothic"/>
          <w:sz w:val="18"/>
          <w:szCs w:val="18"/>
          <w:color w:val="auto"/>
        </w:rPr>
        <w:t>✔</w:t>
      </w:r>
      <w:r>
        <w:rPr>
          <w:rFonts w:ascii="Arial" w:cs="Arial" w:eastAsia="Arial" w:hAnsi="Arial"/>
          <w:sz w:val="18"/>
          <w:szCs w:val="18"/>
          <w:color w:val="auto"/>
        </w:rPr>
        <w:t>rkiye for its EMEA reportable segment for3.2 million EUR or approximately $ 3.7 million.</w:t>
      </w:r>
    </w:p>
    <w:p>
      <w:pPr>
        <w:spacing w:after="0" w:line="61"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In September 2021, the Company acquired the remaining interest in Grindaix GmbH (“Grindaix”), a Germany-based, high-tech provider of coolant control and delivery systems for its Global Specialty Businesses reportable segment for 2.4 million EUR or approximately $ 2.9 million, which is gross of approximately $ 0.3 million of cash acquired. Previously, in February 2021, the Company acquired a 38% ownership interest in Grindaix for 1.4 million EUR or approximately $1.7 million. The Company recorded its initial investment as an equity method investment within the Condensed Consolidated Financial Statements and accounted for the purchase of the remaining interest as a step acquisition whereby the Company remeasured the previously held equity method investment to its fair value.</w:t>
      </w:r>
    </w:p>
    <w:p>
      <w:pPr>
        <w:spacing w:after="0" w:line="93"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In June 2021, the Company acquired certain assets for its chemical milling maskants product line in the Global Specialty Businesses reportable segment for 2.3 million EUR or approximately $ 2.8 million.</w:t>
      </w:r>
    </w:p>
    <w:p>
      <w:pPr>
        <w:sectPr>
          <w:pgSz w:w="11900" w:h="16838" w:orient="portrait"/>
          <w:cols w:equalWidth="0" w:num="1">
            <w:col w:w="9680"/>
          </w:cols>
          <w:pgMar w:left="1060" w:top="878" w:right="1159" w:bottom="1440" w:gutter="0" w:footer="0" w:header="0"/>
        </w:sectPr>
      </w:pP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680"/>
          </w:cols>
          <w:pgMar w:left="1060" w:top="878" w:right="1159" w:bottom="1440" w:gutter="0" w:footer="0" w:header="0"/>
          <w:type w:val="continuous"/>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firstLine="324"/>
        <w:spacing w:after="0" w:line="261" w:lineRule="auto"/>
        <w:rPr>
          <w:sz w:val="20"/>
          <w:szCs w:val="20"/>
          <w:color w:val="auto"/>
        </w:rPr>
      </w:pPr>
      <w:r>
        <w:rPr>
          <w:rFonts w:ascii="Arial" w:cs="Arial" w:eastAsia="Arial" w:hAnsi="Arial"/>
          <w:sz w:val="17"/>
          <w:szCs w:val="17"/>
          <w:color w:val="auto"/>
        </w:rPr>
        <w:t>In February 2021, the Company acquired a tin-plating solutions business for the steel end market for $ 25.0 million. This acquisition is part of each of the Company’s geographic reportable segments. The Company allocated $ 19.6 million of the purchase price to intangible assets, comprised of $ 18.3 million of customer relationships, to be amortized over 19 years; $ 0.9 million of existing product technology to be amortized over 14 years; and $0.4 million of a licensed trademark to be amortized over 3 years. In addition, the Company recorded $5.0 million of goodwill, all of which is expected to be tax deductible in various jurisdictions in which we operate. Factors contributing to the purchase price that resulted in goodwill included the acquisition of business processes and personnel that will allow Quaker Houghton to better serve its customers.</w:t>
      </w:r>
    </w:p>
    <w:p>
      <w:pPr>
        <w:spacing w:after="0" w:line="64" w:lineRule="exact"/>
        <w:rPr>
          <w:sz w:val="20"/>
          <w:szCs w:val="20"/>
          <w:color w:val="auto"/>
        </w:rPr>
      </w:pPr>
    </w:p>
    <w:p>
      <w:pPr>
        <w:ind w:left="20" w:right="180" w:firstLine="324"/>
        <w:spacing w:after="0" w:line="213" w:lineRule="exact"/>
        <w:rPr>
          <w:sz w:val="20"/>
          <w:szCs w:val="20"/>
          <w:color w:val="auto"/>
        </w:rPr>
      </w:pPr>
      <w:r>
        <w:rPr>
          <w:rFonts w:ascii="Arial" w:cs="Arial" w:eastAsia="Arial" w:hAnsi="Arial"/>
          <w:sz w:val="18"/>
          <w:szCs w:val="18"/>
          <w:color w:val="auto"/>
        </w:rPr>
        <w:t>As of September 30, 2022, the allocation of the purchase price of all of the Company’s 2022 acquisitions, the acquisition in T</w:t>
      </w:r>
      <w:r>
        <w:rPr>
          <w:rFonts w:ascii="MS PGothic" w:cs="MS PGothic" w:eastAsia="MS PGothic" w:hAnsi="MS PGothic"/>
          <w:sz w:val="18"/>
          <w:szCs w:val="18"/>
          <w:color w:val="auto"/>
        </w:rPr>
        <w:t>✔</w:t>
      </w:r>
      <w:r>
        <w:rPr>
          <w:rFonts w:ascii="Arial" w:cs="Arial" w:eastAsia="Arial" w:hAnsi="Arial"/>
          <w:sz w:val="18"/>
          <w:szCs w:val="18"/>
          <w:color w:val="auto"/>
        </w:rPr>
        <w:t>rkiye and Baron have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96" w:lineRule="exact"/>
        <w:rPr>
          <w:sz w:val="20"/>
          <w:szCs w:val="20"/>
          <w:color w:val="auto"/>
        </w:rPr>
      </w:pPr>
    </w:p>
    <w:p>
      <w:pPr>
        <w:ind w:left="20" w:right="300" w:firstLine="324"/>
        <w:spacing w:after="0" w:line="260" w:lineRule="auto"/>
        <w:rPr>
          <w:sz w:val="20"/>
          <w:szCs w:val="20"/>
          <w:color w:val="auto"/>
        </w:rPr>
      </w:pPr>
      <w:r>
        <w:rPr>
          <w:rFonts w:ascii="Arial" w:cs="Arial" w:eastAsia="Arial" w:hAnsi="Arial"/>
          <w:sz w:val="17"/>
          <w:szCs w:val="17"/>
          <w:color w:val="auto"/>
        </w:rPr>
        <w:t>In December 2020, the Company acquired Coral Chemical Company, LLC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During the third quarter of 2022, there have been no material changes to the facts and circumstances of the claim asserted by the Sellers, and the Company continues to believe the potential range of exposure for this claim is $ 0 to $1.5 million.</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FASB issued ASU 2020 -04, </w:t>
      </w:r>
      <w:r>
        <w:rPr>
          <w:rFonts w:ascii="Arial" w:cs="Arial" w:eastAsia="Arial" w:hAnsi="Arial"/>
          <w:sz w:val="16"/>
          <w:szCs w:val="16"/>
          <w:i w:val="1"/>
          <w:iCs w:val="1"/>
          <w:color w:val="auto"/>
        </w:rPr>
        <w:t>Reference Rate Reform (Topic 848): Facilitation of the Effects of Reference Rate Reform 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in March 2020. The FASB subsequently issued ASU 2021-01,</w:t>
      </w:r>
      <w:r>
        <w:rPr>
          <w:rFonts w:ascii="Arial" w:cs="Arial" w:eastAsia="Arial" w:hAnsi="Arial"/>
          <w:sz w:val="17"/>
          <w:szCs w:val="17"/>
          <w:i w:val="1"/>
          <w:iCs w:val="1"/>
          <w:color w:val="auto"/>
        </w:rPr>
        <w:t xml:space="preserve"> Reference Rate Reform (Topic 848): Scope </w:t>
      </w:r>
      <w:r>
        <w:rPr>
          <w:rFonts w:ascii="Arial" w:cs="Arial" w:eastAsia="Arial" w:hAnsi="Arial"/>
          <w:sz w:val="17"/>
          <w:szCs w:val="17"/>
          <w:color w:val="auto"/>
        </w:rPr>
        <w:t>in</w:t>
      </w:r>
    </w:p>
    <w:p>
      <w:pPr>
        <w:spacing w:after="0" w:line="18"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January 2021 which clarified the guidance but did not materially change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On June 17, 2022, the Company entered into an amendment to its primary credit facility which, among other things, provided for the use of a USD currency LIBOR successor rate (the Secured Overnight Financing Rate (“SOFR”)). See Note 14 of Notes to Condensed Consolidated Financial Statements.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Business Segments</w:t>
      </w:r>
    </w:p>
    <w:p>
      <w:pPr>
        <w:spacing w:after="0" w:line="108" w:lineRule="exact"/>
        <w:rPr>
          <w:sz w:val="20"/>
          <w:szCs w:val="20"/>
          <w:color w:val="auto"/>
        </w:rPr>
      </w:pPr>
    </w:p>
    <w:p>
      <w:pPr>
        <w:ind w:right="80" w:firstLine="324"/>
        <w:spacing w:after="0" w:line="261" w:lineRule="auto"/>
        <w:rPr>
          <w:sz w:val="20"/>
          <w:szCs w:val="20"/>
          <w:color w:val="auto"/>
        </w:rPr>
      </w:pPr>
      <w:r>
        <w:rPr>
          <w:rFonts w:ascii="Arial" w:cs="Arial" w:eastAsia="Arial" w:hAnsi="Arial"/>
          <w:sz w:val="17"/>
          <w:szCs w:val="17"/>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The Global Specialty Businesses segment includes the Company’s container, metal finishing, mining, offshore, specialty coatings, specialty grease and Norman Hay businesses.</w:t>
      </w:r>
    </w:p>
    <w:p>
      <w:pPr>
        <w:spacing w:after="0" w:line="78" w:lineRule="exact"/>
        <w:rPr>
          <w:sz w:val="20"/>
          <w:szCs w:val="20"/>
          <w:color w:val="auto"/>
        </w:rPr>
      </w:pPr>
    </w:p>
    <w:p>
      <w:pPr>
        <w:ind w:left="20" w:right="80" w:firstLine="324"/>
        <w:spacing w:after="0" w:line="243" w:lineRule="auto"/>
        <w:rPr>
          <w:sz w:val="20"/>
          <w:szCs w:val="20"/>
          <w:color w:val="auto"/>
        </w:rPr>
      </w:pPr>
      <w:r>
        <w:rPr>
          <w:rFonts w:ascii="Arial" w:cs="Arial" w:eastAsia="Arial" w:hAnsi="Arial"/>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income, net.</w:t>
      </w:r>
    </w:p>
    <w:p>
      <w:pPr>
        <w:sectPr>
          <w:pgSz w:w="11900" w:h="16838" w:orient="portrait"/>
          <w:cols w:equalWidth="0" w:num="1">
            <w:col w:w="9720"/>
          </w:cols>
          <w:pgMar w:left="104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720"/>
          </w:cols>
          <w:pgMar w:left="1040" w:top="878" w:right="11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420" w:firstLine="324"/>
        <w:spacing w:after="0" w:line="261" w:lineRule="auto"/>
        <w:rPr>
          <w:sz w:val="20"/>
          <w:szCs w:val="20"/>
          <w:color w:val="auto"/>
        </w:rPr>
      </w:pPr>
      <w:r>
        <w:rPr>
          <w:rFonts w:ascii="Arial" w:cs="Arial" w:eastAsia="Arial" w:hAnsi="Arial"/>
          <w:sz w:val="18"/>
          <w:szCs w:val="18"/>
          <w:color w:val="auto"/>
        </w:rPr>
        <w:t>The following table presents information about the performance of the Company’s reportable segments for the three and nine months ended September 30, 2022 and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186,546</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150,799</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513,438</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425,343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113,367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362,107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365,491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91,211</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98,659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295,273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286,924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101,094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77,373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236,359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492,218</w:t>
            </w: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449,072</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1,458,777</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1,314,117</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Segment operating earnings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44,986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31,273</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107,991</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97,155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9,883</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20,153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39,932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68,802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23,336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67,469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73,990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Global Specialty Businesses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30,746</w:t>
            </w: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20,663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83,622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69,041</w:t>
            </w:r>
          </w:p>
        </w:tc>
        <w:tc>
          <w:tcPr>
            <w:tcW w:w="0" w:type="dxa"/>
            <w:vAlign w:val="bottom"/>
          </w:tcPr>
          <w:p>
            <w:pPr>
              <w:spacing w:after="0"/>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Total segment operating earnings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108,951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95,374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299,014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308,988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0"/>
              </w:rPr>
              <w:t>Combination, integration and other acquisition-related expenses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(5,786)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(7,992)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(18,259)</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Restructuring and related credits (charges), 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step up of acquired inventory sold</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Non-operating and administrative expenses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(139,894)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Depreciation of corporate assets and amortization</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(15,806)</w:t>
            </w: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(15,767)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(45,817)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(46,855)</w:t>
            </w:r>
          </w:p>
        </w:tc>
        <w:tc>
          <w:tcPr>
            <w:tcW w:w="0" w:type="dxa"/>
            <w:vAlign w:val="bottom"/>
          </w:tcPr>
          <w:p>
            <w:pPr>
              <w:spacing w:after="0"/>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44,609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105,915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119,720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19,344</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(16,725)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4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Income before taxes and equity in net income of</w:t>
            </w: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4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4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2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spacing w:after="0"/>
              <w:rPr>
                <w:sz w:val="18"/>
                <w:szCs w:val="18"/>
                <w:color w:val="auto"/>
              </w:rPr>
            </w:pPr>
          </w:p>
        </w:tc>
        <w:tc>
          <w:tcPr>
            <w:tcW w:w="1020" w:type="dxa"/>
            <w:vAlign w:val="bottom"/>
            <w:tcBorders>
              <w:top w:val="single" w:sz="8" w:color="auto"/>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associated companies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36,305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31,020</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75,167</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122,339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60" w:firstLine="324"/>
        <w:spacing w:after="0" w:line="283" w:lineRule="auto"/>
        <w:rPr>
          <w:sz w:val="20"/>
          <w:szCs w:val="20"/>
          <w:color w:val="auto"/>
        </w:rPr>
      </w:pPr>
      <w:r>
        <w:rPr>
          <w:rFonts w:ascii="Arial" w:cs="Arial" w:eastAsia="Arial" w:hAnsi="Arial"/>
          <w:sz w:val="16"/>
          <w:szCs w:val="16"/>
          <w:color w:val="auto"/>
        </w:rPr>
        <w:t>Inter-segment revenues for the three and nine months ended September 30, 2022, were $2.6 million and $8.8 million for Americas, $6.4 million and $27.7 million for EMEA, $ 0.3 million and $0.7 million for Asia/Pacific, and $2.3 million and $6.0 million for Global Specialty Businesses, respectively. Inter-segment revenues for the three and nine months ended September 30, 2021, were $3.6 million and $9.3 million for Americas, $ 6.8 million and $21.9 million for EMEA, $0.8 million and $1.3 million for Asia/Pacific, and $1.8 million and $5.9 million for Global Specialty Businesses, respectively. However, all inter-segment transactions have been eliminated from each reportable operating segment’s net sales and earnings for all periods presented in the above tables.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Arrangements Resulting in Net Reporting</w:t>
      </w:r>
    </w:p>
    <w:p>
      <w:pPr>
        <w:spacing w:after="0" w:line="131" w:lineRule="exact"/>
        <w:rPr>
          <w:sz w:val="20"/>
          <w:szCs w:val="20"/>
          <w:color w:val="auto"/>
        </w:rPr>
      </w:pPr>
    </w:p>
    <w:p>
      <w:pPr>
        <w:ind w:left="20" w:right="60" w:firstLine="324"/>
        <w:spacing w:after="0" w:line="230" w:lineRule="auto"/>
        <w:rPr>
          <w:sz w:val="20"/>
          <w:szCs w:val="20"/>
          <w:color w:val="auto"/>
        </w:rPr>
      </w:pPr>
      <w:r>
        <w:rPr>
          <w:rFonts w:ascii="Arial" w:cs="Arial" w:eastAsia="Arial" w:hAnsi="Arial"/>
          <w:sz w:val="18"/>
          <w:szCs w:val="18"/>
          <w:color w:val="auto"/>
        </w:rPr>
        <w:t xml:space="preserve">As part of the Company’s Fluidcare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business, certain third-party product sales to customers are managed by the Company. The Company transferred third-party products under arrangements recognized on a net reporting basis of $ 21.4 million and $ 61.7 million for the three and nine months ended September 30, 2022, respectively, and $18.9 million and $53.4 million for the three and nine months ended September 30, 2021, respectively.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Customer Concentration</w:t>
      </w:r>
    </w:p>
    <w:p>
      <w:pPr>
        <w:spacing w:after="0" w:line="77" w:lineRule="exact"/>
        <w:rPr>
          <w:sz w:val="20"/>
          <w:szCs w:val="20"/>
          <w:color w:val="auto"/>
        </w:rPr>
      </w:pPr>
    </w:p>
    <w:p>
      <w:pPr>
        <w:ind w:left="20" w:right="240" w:firstLine="324"/>
        <w:spacing w:after="0" w:line="263" w:lineRule="auto"/>
        <w:rPr>
          <w:sz w:val="20"/>
          <w:szCs w:val="20"/>
          <w:color w:val="auto"/>
        </w:rPr>
      </w:pPr>
      <w:r>
        <w:rPr>
          <w:rFonts w:ascii="Arial" w:cs="Arial" w:eastAsia="Arial" w:hAnsi="Arial"/>
          <w:sz w:val="17"/>
          <w:szCs w:val="17"/>
          <w:color w:val="auto"/>
        </w:rPr>
        <w:t>A significant portion of the Company’s revenues are realized from the sale of process fluids and services to manufacturers of steel, aluminum, automobiles, aerospace, industrial and agricultural equipment, and durable goods. As previously disclosed in the Company’s 2021 Form 10-K, for the year ended December 31, 2021,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60"/>
          </w:cols>
          <w:pgMar w:left="1040" w:top="878" w:right="109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7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Company had no material contract assets recorded on its Condensed Consolidated Balance Sheets as of September 30, 2022 or December 31, 2021.</w:t>
      </w:r>
    </w:p>
    <w:p>
      <w:pPr>
        <w:spacing w:after="0" w:line="36"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color w:val="auto"/>
        </w:rPr>
        <w:t>The Company had approximately $6.0 million and $7.0 million of deferred revenue as of September 30, 2022 and December 31, 2021, respectively. For the nine months ended September 30, 2022, the Company satisfied all of the associated performance obligations and recognized into revenue the advance payments received and recorded as of December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Also, net sales of each of the Company’s major product lines are generally spread throughout all three of the Company’s geographic regions, and in most cases, are approximately proportionate to the level of total sales in each region.</w:t>
      </w:r>
    </w:p>
    <w:p>
      <w:pPr>
        <w:spacing w:after="0" w:line="45" w:lineRule="exact"/>
        <w:rPr>
          <w:sz w:val="20"/>
          <w:szCs w:val="20"/>
          <w:color w:val="auto"/>
        </w:rPr>
      </w:pPr>
    </w:p>
    <w:p>
      <w:pPr>
        <w:ind w:right="480" w:firstLine="324"/>
        <w:spacing w:after="0" w:line="276" w:lineRule="auto"/>
        <w:rPr>
          <w:sz w:val="20"/>
          <w:szCs w:val="20"/>
          <w:color w:val="auto"/>
        </w:rPr>
      </w:pPr>
      <w:r>
        <w:rPr>
          <w:rFonts w:ascii="Arial" w:cs="Arial" w:eastAsia="Arial" w:hAnsi="Arial"/>
          <w:sz w:val="18"/>
          <w:szCs w:val="18"/>
          <w:color w:val="auto"/>
        </w:rPr>
        <w:t>The following tables disaggregate the Company’s net sales by segment, geographic region, customer industry, and timing of revenue recognized for the three and nine months ended September 30, 2022 and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89"/>
              </w:rPr>
              <w:t>Three Months Ended September 30, 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tcBorders>
              <w:bottom w:val="single" w:sz="8" w:color="B7E5FF"/>
            </w:tcBorders>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7E5FF"/>
            </w:tcBorders>
            <w:shd w:val="clear" w:color="auto" w:fill="B7E5FF"/>
          </w:tcPr>
          <w:p>
            <w:pPr>
              <w:jc w:val="right"/>
              <w:ind w:right="70"/>
              <w:spacing w:after="0"/>
              <w:rPr>
                <w:sz w:val="20"/>
                <w:szCs w:val="20"/>
                <w:color w:val="auto"/>
              </w:rPr>
            </w:pPr>
            <w:r>
              <w:rPr>
                <w:rFonts w:ascii="Arial" w:cs="Arial" w:eastAsia="Arial" w:hAnsi="Arial"/>
                <w:sz w:val="18"/>
                <w:szCs w:val="18"/>
                <w:color w:val="auto"/>
              </w:rPr>
              <w:t>69,249</w:t>
            </w:r>
          </w:p>
        </w:tc>
        <w:tc>
          <w:tcPr>
            <w:tcW w:w="220" w:type="dxa"/>
            <w:vAlign w:val="bottom"/>
            <w:tcBorders>
              <w:bottom w:val="single" w:sz="8" w:color="B7E5FF"/>
            </w:tcBorders>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32,690</w:t>
            </w:r>
          </w:p>
        </w:tc>
        <w:tc>
          <w:tcPr>
            <w:tcW w:w="240" w:type="dxa"/>
            <w:vAlign w:val="bottom"/>
            <w:tcBorders>
              <w:bottom w:val="single" w:sz="8" w:color="B7E5FF"/>
            </w:tcBorders>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B7E5FF"/>
            </w:tcBorders>
            <w:shd w:val="clear" w:color="auto" w:fill="B7E5FF"/>
          </w:tcPr>
          <w:p>
            <w:pPr>
              <w:jc w:val="right"/>
              <w:ind w:right="70"/>
              <w:spacing w:after="0"/>
              <w:rPr>
                <w:sz w:val="20"/>
                <w:szCs w:val="20"/>
                <w:color w:val="auto"/>
              </w:rPr>
            </w:pPr>
            <w:r>
              <w:rPr>
                <w:rFonts w:ascii="Arial" w:cs="Arial" w:eastAsia="Arial" w:hAnsi="Arial"/>
                <w:sz w:val="18"/>
                <w:szCs w:val="18"/>
                <w:color w:val="auto"/>
              </w:rPr>
              <w:t>52,856</w:t>
            </w:r>
          </w:p>
        </w:tc>
        <w:tc>
          <w:tcPr>
            <w:tcW w:w="200" w:type="dxa"/>
            <w:vAlign w:val="bottom"/>
            <w:tcBorders>
              <w:bottom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154,795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117,297</w:t>
            </w: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80,677</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38,355</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236,329</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186,546</w:t>
            </w: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113,367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91,211</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391,124</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67,469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20,185</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13,440</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101,094</w:t>
            </w:r>
          </w:p>
        </w:tc>
        <w:tc>
          <w:tcPr>
            <w:tcW w:w="0" w:type="dxa"/>
            <w:vAlign w:val="bottom"/>
          </w:tcPr>
          <w:p>
            <w:pPr>
              <w:spacing w:after="0"/>
              <w:rPr>
                <w:sz w:val="1"/>
                <w:szCs w:val="1"/>
                <w:color w:val="auto"/>
              </w:rPr>
            </w:pPr>
          </w:p>
        </w:tc>
      </w:tr>
      <w:tr>
        <w:trPr>
          <w:trHeight w:val="236"/>
        </w:trPr>
        <w:tc>
          <w:tcPr>
            <w:tcW w:w="60" w:type="dxa"/>
            <w:vAlign w:val="bottom"/>
            <w:tcBorders>
              <w:right w:val="single" w:sz="8" w:color="B7E5FF"/>
            </w:tcBorders>
          </w:tcPr>
          <w:p>
            <w:pPr>
              <w:spacing w:after="0"/>
              <w:rPr>
                <w:sz w:val="20"/>
                <w:szCs w:val="20"/>
                <w:color w:val="auto"/>
              </w:rPr>
            </w:pPr>
          </w:p>
        </w:tc>
        <w:tc>
          <w:tcPr>
            <w:tcW w:w="1580" w:type="dxa"/>
            <w:vAlign w:val="bottom"/>
            <w:shd w:val="clear" w:color="auto" w:fill="B7E5FF"/>
          </w:tcPr>
          <w:p>
            <w:pPr>
              <w:spacing w:after="0"/>
              <w:rPr>
                <w:sz w:val="20"/>
                <w:szCs w:val="20"/>
                <w:color w:val="auto"/>
              </w:rPr>
            </w:pPr>
          </w:p>
        </w:tc>
        <w:tc>
          <w:tcPr>
            <w:tcW w:w="1860" w:type="dxa"/>
            <w:vAlign w:val="bottom"/>
            <w:shd w:val="clear" w:color="auto" w:fill="B7E5FF"/>
          </w:tcPr>
          <w:p>
            <w:pPr>
              <w:spacing w:after="0"/>
              <w:rPr>
                <w:sz w:val="20"/>
                <w:szCs w:val="20"/>
                <w:color w:val="auto"/>
              </w:rPr>
            </w:pP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254,015</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133,552</w:t>
            </w:r>
          </w:p>
        </w:tc>
        <w:tc>
          <w:tcPr>
            <w:tcW w:w="1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104,651</w:t>
            </w: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492,218</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138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136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136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1360" w:type="dxa"/>
            <w:vAlign w:val="bottom"/>
            <w:tcBorders>
              <w:bottom w:val="single" w:sz="8" w:color="B7E5FF"/>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244,162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127,045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101,945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473,152</w:t>
            </w:r>
          </w:p>
        </w:tc>
        <w:tc>
          <w:tcPr>
            <w:tcW w:w="0" w:type="dxa"/>
            <w:vAlign w:val="bottom"/>
          </w:tcPr>
          <w:p>
            <w:pPr>
              <w:spacing w:after="0"/>
              <w:rPr>
                <w:sz w:val="1"/>
                <w:szCs w:val="1"/>
                <w:color w:val="auto"/>
              </w:rPr>
            </w:pPr>
          </w:p>
        </w:tc>
      </w:tr>
      <w:tr>
        <w:trPr>
          <w:trHeight w:val="237"/>
        </w:trPr>
        <w:tc>
          <w:tcPr>
            <w:tcW w:w="60" w:type="dxa"/>
            <w:vAlign w:val="bottom"/>
            <w:tcBorders>
              <w:right w:val="single" w:sz="8" w:color="B7E5FF"/>
            </w:tcBorders>
          </w:tcPr>
          <w:p>
            <w:pPr>
              <w:spacing w:after="0"/>
              <w:rPr>
                <w:sz w:val="20"/>
                <w:szCs w:val="20"/>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9,853</w:t>
            </w:r>
          </w:p>
        </w:tc>
        <w:tc>
          <w:tcPr>
            <w:tcW w:w="120" w:type="dxa"/>
            <w:vAlign w:val="bottom"/>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6,507</w:t>
            </w:r>
          </w:p>
        </w:tc>
        <w:tc>
          <w:tcPr>
            <w:tcW w:w="1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19,066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254,015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133,552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104,651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492,218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89"/>
              </w:rPr>
              <w:t>Three Months Ended September 30, 2021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56,954</w:t>
            </w:r>
          </w:p>
        </w:tc>
        <w:tc>
          <w:tcPr>
            <w:tcW w:w="22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38,483</w:t>
            </w: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53,994</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149,431</w:t>
            </w:r>
          </w:p>
        </w:tc>
        <w:tc>
          <w:tcPr>
            <w:tcW w:w="0" w:type="dxa"/>
            <w:vAlign w:val="bottom"/>
          </w:tcPr>
          <w:p>
            <w:pPr>
              <w:spacing w:after="0"/>
              <w:rPr>
                <w:sz w:val="1"/>
                <w:szCs w:val="1"/>
                <w:color w:val="auto"/>
              </w:rPr>
            </w:pPr>
          </w:p>
        </w:tc>
      </w:tr>
      <w:tr>
        <w:trPr>
          <w:trHeight w:val="250"/>
        </w:trPr>
        <w:tc>
          <w:tcPr>
            <w:tcW w:w="350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93,845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83,758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44,665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222,268</w:t>
            </w:r>
          </w:p>
        </w:tc>
        <w:tc>
          <w:tcPr>
            <w:tcW w:w="0" w:type="dxa"/>
            <w:vAlign w:val="bottom"/>
          </w:tcPr>
          <w:p>
            <w:pPr>
              <w:spacing w:after="0"/>
              <w:rPr>
                <w:sz w:val="1"/>
                <w:szCs w:val="1"/>
                <w:color w:val="auto"/>
              </w:rPr>
            </w:pPr>
          </w:p>
        </w:tc>
      </w:tr>
      <w:tr>
        <w:trPr>
          <w:trHeight w:val="203"/>
        </w:trPr>
        <w:tc>
          <w:tcPr>
            <w:tcW w:w="60" w:type="dxa"/>
            <w:vAlign w:val="bottom"/>
            <w:tcBorders>
              <w:right w:val="single" w:sz="8" w:color="B7E5FF"/>
            </w:tcBorders>
          </w:tcPr>
          <w:p>
            <w:pPr>
              <w:spacing w:after="0"/>
              <w:rPr>
                <w:sz w:val="17"/>
                <w:szCs w:val="17"/>
                <w:color w:val="auto"/>
              </w:rPr>
            </w:pPr>
          </w:p>
        </w:tc>
        <w:tc>
          <w:tcPr>
            <w:tcW w:w="1580" w:type="dxa"/>
            <w:vAlign w:val="bottom"/>
            <w:tcBorders>
              <w:top w:val="single" w:sz="8" w:color="B7E5FF"/>
            </w:tcBorders>
            <w:shd w:val="clear" w:color="auto" w:fill="B7E5FF"/>
          </w:tcPr>
          <w:p>
            <w:pPr>
              <w:spacing w:after="0"/>
              <w:rPr>
                <w:sz w:val="17"/>
                <w:szCs w:val="17"/>
                <w:color w:val="auto"/>
              </w:rPr>
            </w:pPr>
          </w:p>
        </w:tc>
        <w:tc>
          <w:tcPr>
            <w:tcW w:w="18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380" w:type="dxa"/>
            <w:vAlign w:val="bottom"/>
            <w:shd w:val="clear" w:color="auto" w:fill="B7E5FF"/>
          </w:tcPr>
          <w:p>
            <w:pPr>
              <w:jc w:val="right"/>
              <w:ind w:right="70"/>
              <w:spacing w:after="0" w:line="203" w:lineRule="exact"/>
              <w:rPr>
                <w:sz w:val="20"/>
                <w:szCs w:val="20"/>
                <w:color w:val="auto"/>
              </w:rPr>
            </w:pPr>
            <w:r>
              <w:rPr>
                <w:rFonts w:ascii="Arial" w:cs="Arial" w:eastAsia="Arial" w:hAnsi="Arial"/>
                <w:sz w:val="18"/>
                <w:szCs w:val="18"/>
                <w:color w:val="auto"/>
              </w:rPr>
              <w:t>150,799</w:t>
            </w: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360" w:type="dxa"/>
            <w:vAlign w:val="bottom"/>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122,241</w:t>
            </w: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360" w:type="dxa"/>
            <w:vAlign w:val="bottom"/>
            <w:shd w:val="clear" w:color="auto" w:fill="B7E5FF"/>
          </w:tcPr>
          <w:p>
            <w:pPr>
              <w:jc w:val="right"/>
              <w:ind w:right="70"/>
              <w:spacing w:after="0" w:line="203" w:lineRule="exact"/>
              <w:rPr>
                <w:sz w:val="20"/>
                <w:szCs w:val="20"/>
                <w:color w:val="auto"/>
              </w:rPr>
            </w:pPr>
            <w:r>
              <w:rPr>
                <w:rFonts w:ascii="Arial" w:cs="Arial" w:eastAsia="Arial" w:hAnsi="Arial"/>
                <w:sz w:val="18"/>
                <w:szCs w:val="18"/>
                <w:color w:val="auto"/>
              </w:rPr>
              <w:t>98,659</w:t>
            </w:r>
          </w:p>
        </w:tc>
        <w:tc>
          <w:tcPr>
            <w:tcW w:w="10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360" w:type="dxa"/>
            <w:vAlign w:val="bottom"/>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371,699</w:t>
            </w: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46,008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19,253</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12,112</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77,373</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196,807</w:t>
            </w:r>
          </w:p>
        </w:tc>
        <w:tc>
          <w:tcPr>
            <w:tcW w:w="22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141,494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110,771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449,072</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188,340</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131,982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108,559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428,881</w:t>
            </w: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8,467</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9,512</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20,191</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196,807</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141,494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110,771</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449,072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40"/>
          </w:cols>
          <w:pgMar w:left="1060" w:top="878" w:right="109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12"/>
          </w:tcPr>
          <w:p>
            <w:pPr>
              <w:ind w:left="40"/>
              <w:spacing w:after="0"/>
              <w:rPr>
                <w:sz w:val="20"/>
                <w:szCs w:val="20"/>
                <w:color w:val="auto"/>
              </w:rPr>
            </w:pPr>
            <w:r>
              <w:rPr>
                <w:rFonts w:ascii="Arial" w:cs="Arial" w:eastAsia="Arial" w:hAnsi="Arial"/>
                <w:sz w:val="18"/>
                <w:szCs w:val="18"/>
                <w:b w:val="1"/>
                <w:bCs w:val="1"/>
                <w:color w:val="auto"/>
                <w:w w:val="91"/>
              </w:rPr>
              <w:t>Nine Months Ended September 30, 2022</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220"/>
              <w:spacing w:after="0" w:line="178" w:lineRule="exact"/>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Asia/Pacific</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80" w:type="dxa"/>
            <w:vAlign w:val="bottom"/>
            <w:gridSpan w:val="3"/>
            <w:shd w:val="clear" w:color="auto" w:fill="B7E5FF"/>
          </w:tcPr>
          <w:p>
            <w:pPr>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188,782</w:t>
            </w:r>
          </w:p>
        </w:tc>
        <w:tc>
          <w:tcPr>
            <w:tcW w:w="100" w:type="dxa"/>
            <w:vAlign w:val="bottom"/>
            <w:shd w:val="clear" w:color="auto" w:fill="B7E5FF"/>
          </w:tcPr>
          <w:p>
            <w:pPr>
              <w:spacing w:after="0"/>
              <w:rPr>
                <w:sz w:val="18"/>
                <w:szCs w:val="18"/>
                <w:color w:val="auto"/>
              </w:rPr>
            </w:pPr>
          </w:p>
        </w:tc>
        <w:tc>
          <w:tcPr>
            <w:tcW w:w="160" w:type="dxa"/>
            <w:vAlign w:val="bottom"/>
            <w:gridSpan w:val="2"/>
            <w:shd w:val="clear" w:color="auto" w:fill="B7E5FF"/>
          </w:tcPr>
          <w:p>
            <w:pPr>
              <w:ind w:left="100"/>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107,115</w:t>
            </w:r>
          </w:p>
        </w:tc>
        <w:tc>
          <w:tcPr>
            <w:tcW w:w="80" w:type="dxa"/>
            <w:vAlign w:val="bottom"/>
            <w:shd w:val="clear" w:color="auto" w:fill="B7E5FF"/>
          </w:tcPr>
          <w:p>
            <w:pPr>
              <w:spacing w:after="0"/>
              <w:rPr>
                <w:sz w:val="18"/>
                <w:szCs w:val="18"/>
                <w:color w:val="auto"/>
              </w:rPr>
            </w:pP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8"/>
                <w:szCs w:val="18"/>
                <w:color w:val="auto"/>
              </w:rPr>
            </w:pPr>
          </w:p>
        </w:tc>
        <w:tc>
          <w:tcPr>
            <w:tcW w:w="11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163,739</w:t>
            </w:r>
          </w:p>
        </w:tc>
        <w:tc>
          <w:tcPr>
            <w:tcW w:w="100" w:type="dxa"/>
            <w:vAlign w:val="bottom"/>
            <w:shd w:val="clear" w:color="auto" w:fill="B7E5FF"/>
          </w:tcPr>
          <w:p>
            <w:pPr>
              <w:spacing w:after="0"/>
              <w:rPr>
                <w:sz w:val="18"/>
                <w:szCs w:val="18"/>
                <w:color w:val="auto"/>
              </w:rPr>
            </w:pP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8"/>
                <w:szCs w:val="18"/>
                <w:color w:val="auto"/>
              </w:rPr>
            </w:pPr>
          </w:p>
        </w:tc>
        <w:tc>
          <w:tcPr>
            <w:tcW w:w="11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459,636</w:t>
            </w:r>
          </w:p>
        </w:tc>
        <w:tc>
          <w:tcPr>
            <w:tcW w:w="1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324,656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254,992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131,534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711,182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tcBorders>
              <w:top w:val="single" w:sz="8" w:color="B7E5FF"/>
            </w:tcBorders>
            <w:shd w:val="clear" w:color="auto" w:fill="B7E5FF"/>
          </w:tcPr>
          <w:p>
            <w:pPr>
              <w:spacing w:after="0"/>
              <w:rPr>
                <w:sz w:val="19"/>
                <w:szCs w:val="19"/>
                <w:color w:val="auto"/>
              </w:rPr>
            </w:pPr>
          </w:p>
        </w:tc>
        <w:tc>
          <w:tcPr>
            <w:tcW w:w="186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auto"/>
            </w:tcBorders>
            <w:shd w:val="clear" w:color="auto" w:fill="B7E5FF"/>
          </w:tcPr>
          <w:p>
            <w:pPr>
              <w:spacing w:after="0"/>
              <w:rPr>
                <w:sz w:val="19"/>
                <w:szCs w:val="19"/>
                <w:color w:val="auto"/>
              </w:rPr>
            </w:pPr>
          </w:p>
        </w:tc>
        <w:tc>
          <w:tcPr>
            <w:tcW w:w="40" w:type="dxa"/>
            <w:vAlign w:val="bottom"/>
            <w:tcBorders>
              <w:top w:val="single" w:sz="8" w:color="auto"/>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12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513,438</w:t>
            </w:r>
          </w:p>
        </w:tc>
        <w:tc>
          <w:tcPr>
            <w:tcW w:w="10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40" w:type="dxa"/>
            <w:vAlign w:val="bottom"/>
            <w:tcBorders>
              <w:top w:val="single" w:sz="8" w:color="auto"/>
            </w:tcBorders>
            <w:shd w:val="clear" w:color="auto" w:fill="B7E5FF"/>
          </w:tcPr>
          <w:p>
            <w:pPr>
              <w:spacing w:after="0"/>
              <w:rPr>
                <w:sz w:val="19"/>
                <w:szCs w:val="19"/>
                <w:color w:val="auto"/>
              </w:rPr>
            </w:pPr>
          </w:p>
        </w:tc>
        <w:tc>
          <w:tcPr>
            <w:tcW w:w="60" w:type="dxa"/>
            <w:vAlign w:val="bottom"/>
            <w:tcBorders>
              <w:top w:val="single" w:sz="8" w:color="auto"/>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12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362,107</w:t>
            </w:r>
          </w:p>
        </w:tc>
        <w:tc>
          <w:tcPr>
            <w:tcW w:w="8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11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295,273</w:t>
            </w:r>
          </w:p>
        </w:tc>
        <w:tc>
          <w:tcPr>
            <w:tcW w:w="100" w:type="dxa"/>
            <w:vAlign w:val="bottom"/>
            <w:tcBorders>
              <w:top w:val="single" w:sz="8" w:color="auto"/>
            </w:tcBorders>
            <w:shd w:val="clear" w:color="auto" w:fill="B7E5FF"/>
          </w:tcPr>
          <w:p>
            <w:pPr>
              <w:spacing w:after="0"/>
              <w:rPr>
                <w:sz w:val="19"/>
                <w:szCs w:val="19"/>
                <w:color w:val="auto"/>
              </w:rPr>
            </w:pPr>
          </w:p>
        </w:tc>
        <w:tc>
          <w:tcPr>
            <w:tcW w:w="10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118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1,170,818</w:t>
            </w:r>
          </w:p>
        </w:tc>
        <w:tc>
          <w:tcPr>
            <w:tcW w:w="100" w:type="dxa"/>
            <w:vAlign w:val="bottom"/>
            <w:tcBorders>
              <w:top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187,099</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61,530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39,330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B7E5FF"/>
            </w:tcBorders>
          </w:tcPr>
          <w:p>
            <w:pPr>
              <w:spacing w:after="0"/>
              <w:rPr>
                <w:sz w:val="20"/>
                <w:szCs w:val="20"/>
                <w:color w:val="auto"/>
              </w:rPr>
            </w:pPr>
          </w:p>
        </w:tc>
        <w:tc>
          <w:tcPr>
            <w:tcW w:w="1580" w:type="dxa"/>
            <w:vAlign w:val="bottom"/>
            <w:shd w:val="clear" w:color="auto" w:fill="B7E5FF"/>
          </w:tcPr>
          <w:p>
            <w:pPr>
              <w:spacing w:after="0"/>
              <w:rPr>
                <w:sz w:val="20"/>
                <w:szCs w:val="20"/>
                <w:color w:val="auto"/>
              </w:rPr>
            </w:pPr>
          </w:p>
        </w:tc>
        <w:tc>
          <w:tcPr>
            <w:tcW w:w="1860" w:type="dxa"/>
            <w:vAlign w:val="bottom"/>
            <w:shd w:val="clear" w:color="auto" w:fill="B7E5FF"/>
          </w:tcPr>
          <w:p>
            <w:pPr>
              <w:spacing w:after="0"/>
              <w:rPr>
                <w:sz w:val="20"/>
                <w:szCs w:val="20"/>
                <w:color w:val="auto"/>
              </w:rPr>
            </w:pPr>
          </w:p>
        </w:tc>
        <w:tc>
          <w:tcPr>
            <w:tcW w:w="80" w:type="dxa"/>
            <w:vAlign w:val="bottom"/>
            <w:gridSpan w:val="3"/>
            <w:shd w:val="clear" w:color="auto" w:fill="B7E5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B7E5FF"/>
          </w:tcPr>
          <w:p>
            <w:pPr>
              <w:spacing w:after="0"/>
              <w:rPr>
                <w:sz w:val="20"/>
                <w:szCs w:val="20"/>
                <w:color w:val="auto"/>
              </w:rPr>
            </w:pPr>
          </w:p>
        </w:tc>
        <w:tc>
          <w:tcPr>
            <w:tcW w:w="80" w:type="dxa"/>
            <w:vAlign w:val="bottom"/>
            <w:shd w:val="clear" w:color="auto" w:fill="B7E5FF"/>
          </w:tcPr>
          <w:p>
            <w:pPr>
              <w:spacing w:after="0"/>
              <w:rPr>
                <w:sz w:val="20"/>
                <w:szCs w:val="20"/>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700,537</w:t>
            </w:r>
          </w:p>
        </w:tc>
        <w:tc>
          <w:tcPr>
            <w:tcW w:w="100" w:type="dxa"/>
            <w:vAlign w:val="bottom"/>
            <w:shd w:val="clear" w:color="auto" w:fill="B7E5FF"/>
          </w:tcPr>
          <w:p>
            <w:pPr>
              <w:spacing w:after="0"/>
              <w:rPr>
                <w:sz w:val="20"/>
                <w:szCs w:val="20"/>
                <w:color w:val="auto"/>
              </w:rPr>
            </w:pPr>
          </w:p>
        </w:tc>
        <w:tc>
          <w:tcPr>
            <w:tcW w:w="160" w:type="dxa"/>
            <w:vAlign w:val="bottom"/>
            <w:gridSpan w:val="2"/>
            <w:shd w:val="clear" w:color="auto" w:fill="B7E5FF"/>
          </w:tcPr>
          <w:p>
            <w:pPr>
              <w:ind w:left="10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B7E5FF"/>
          </w:tcPr>
          <w:p>
            <w:pPr>
              <w:spacing w:after="0"/>
              <w:rPr>
                <w:sz w:val="20"/>
                <w:szCs w:val="20"/>
                <w:color w:val="auto"/>
              </w:rPr>
            </w:pPr>
          </w:p>
        </w:tc>
        <w:tc>
          <w:tcPr>
            <w:tcW w:w="80" w:type="dxa"/>
            <w:vAlign w:val="bottom"/>
            <w:shd w:val="clear" w:color="auto" w:fill="B7E5FF"/>
          </w:tcPr>
          <w:p>
            <w:pPr>
              <w:spacing w:after="0"/>
              <w:rPr>
                <w:sz w:val="20"/>
                <w:szCs w:val="20"/>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423,637</w:t>
            </w:r>
          </w:p>
        </w:tc>
        <w:tc>
          <w:tcPr>
            <w:tcW w:w="8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B7E5FF"/>
          </w:tcPr>
          <w:p>
            <w:pPr>
              <w:spacing w:after="0"/>
              <w:rPr>
                <w:sz w:val="20"/>
                <w:szCs w:val="20"/>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334,603</w:t>
            </w: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B7E5FF"/>
          </w:tcPr>
          <w:p>
            <w:pPr>
              <w:spacing w:after="0"/>
              <w:rPr>
                <w:sz w:val="20"/>
                <w:szCs w:val="20"/>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1,458,777</w:t>
            </w:r>
          </w:p>
        </w:tc>
        <w:tc>
          <w:tcPr>
            <w:tcW w:w="10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B7E5FF"/>
            </w:tcBorders>
          </w:tcPr>
          <w:p>
            <w:pPr>
              <w:spacing w:after="0"/>
              <w:rPr>
                <w:sz w:val="21"/>
                <w:szCs w:val="21"/>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20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20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8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8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4"/>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670,581</w:t>
            </w:r>
          </w:p>
        </w:tc>
        <w:tc>
          <w:tcPr>
            <w:tcW w:w="100" w:type="dxa"/>
            <w:vAlign w:val="bottom"/>
          </w:tcPr>
          <w:p>
            <w:pPr>
              <w:spacing w:after="0"/>
              <w:rPr>
                <w:sz w:val="19"/>
                <w:szCs w:val="19"/>
                <w:color w:val="auto"/>
              </w:rPr>
            </w:pP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400,870</w:t>
            </w:r>
          </w:p>
        </w:tc>
        <w:tc>
          <w:tcPr>
            <w:tcW w:w="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326,760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1,398,211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B7E5FF"/>
            </w:tcBorders>
          </w:tcPr>
          <w:p>
            <w:pPr>
              <w:spacing w:after="0"/>
              <w:rPr>
                <w:sz w:val="20"/>
                <w:szCs w:val="20"/>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40" w:type="dxa"/>
            <w:vAlign w:val="bottom"/>
            <w:tcBorders>
              <w:bottom w:val="single" w:sz="8" w:color="auto"/>
            </w:tcBorders>
            <w:shd w:val="clear" w:color="auto" w:fill="B7E5FF"/>
          </w:tcPr>
          <w:p>
            <w:pPr>
              <w:spacing w:after="0"/>
              <w:rPr>
                <w:sz w:val="20"/>
                <w:szCs w:val="20"/>
                <w:color w:val="auto"/>
              </w:rPr>
            </w:pPr>
          </w:p>
        </w:tc>
        <w:tc>
          <w:tcPr>
            <w:tcW w:w="40" w:type="dxa"/>
            <w:vAlign w:val="bottom"/>
            <w:tcBorders>
              <w:bottom w:val="single" w:sz="8" w:color="auto"/>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29,956</w:t>
            </w:r>
          </w:p>
        </w:tc>
        <w:tc>
          <w:tcPr>
            <w:tcW w:w="100" w:type="dxa"/>
            <w:vAlign w:val="bottom"/>
            <w:tcBorders>
              <w:bottom w:val="single" w:sz="8" w:color="auto"/>
            </w:tcBorders>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40" w:type="dxa"/>
            <w:vAlign w:val="bottom"/>
            <w:tcBorders>
              <w:bottom w:val="single" w:sz="8" w:color="auto"/>
            </w:tcBorders>
            <w:shd w:val="clear" w:color="auto" w:fill="B7E5FF"/>
          </w:tcPr>
          <w:p>
            <w:pPr>
              <w:spacing w:after="0"/>
              <w:rPr>
                <w:sz w:val="20"/>
                <w:szCs w:val="20"/>
                <w:color w:val="auto"/>
              </w:rPr>
            </w:pPr>
          </w:p>
        </w:tc>
        <w:tc>
          <w:tcPr>
            <w:tcW w:w="60" w:type="dxa"/>
            <w:vAlign w:val="bottom"/>
            <w:tcBorders>
              <w:bottom w:val="single" w:sz="8" w:color="auto"/>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22,767</w:t>
            </w:r>
          </w:p>
        </w:tc>
        <w:tc>
          <w:tcPr>
            <w:tcW w:w="80" w:type="dxa"/>
            <w:vAlign w:val="bottom"/>
            <w:tcBorders>
              <w:bottom w:val="single" w:sz="8" w:color="auto"/>
            </w:tcBorders>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auto"/>
            </w:tcBorders>
            <w:shd w:val="clear" w:color="auto" w:fill="B7E5FF"/>
          </w:tcPr>
          <w:p>
            <w:pPr>
              <w:spacing w:after="0"/>
              <w:rPr>
                <w:sz w:val="20"/>
                <w:szCs w:val="20"/>
                <w:color w:val="auto"/>
              </w:rPr>
            </w:pPr>
          </w:p>
        </w:tc>
        <w:tc>
          <w:tcPr>
            <w:tcW w:w="100" w:type="dxa"/>
            <w:vAlign w:val="bottom"/>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60,566</w:t>
            </w:r>
          </w:p>
        </w:tc>
        <w:tc>
          <w:tcPr>
            <w:tcW w:w="100" w:type="dxa"/>
            <w:vAlign w:val="bottom"/>
            <w:tcBorders>
              <w:bottom w:val="single" w:sz="8" w:color="auto"/>
            </w:tcBorders>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4"/>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700,537</w:t>
            </w:r>
          </w:p>
        </w:tc>
        <w:tc>
          <w:tcPr>
            <w:tcW w:w="100" w:type="dxa"/>
            <w:vAlign w:val="bottom"/>
          </w:tcPr>
          <w:p>
            <w:pPr>
              <w:spacing w:after="0"/>
              <w:rPr>
                <w:sz w:val="19"/>
                <w:szCs w:val="19"/>
                <w:color w:val="auto"/>
              </w:rPr>
            </w:pP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423,637</w:t>
            </w:r>
          </w:p>
        </w:tc>
        <w:tc>
          <w:tcPr>
            <w:tcW w:w="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334,603</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1,458,777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0"/>
              </w:rPr>
              <w:t>Nine Months Ended September 30, 2021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155,546</w:t>
            </w:r>
          </w:p>
        </w:tc>
        <w:tc>
          <w:tcPr>
            <w:tcW w:w="22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108,391</w:t>
            </w: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151,944</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415,881</w:t>
            </w:r>
          </w:p>
        </w:tc>
        <w:tc>
          <w:tcPr>
            <w:tcW w:w="0" w:type="dxa"/>
            <w:vAlign w:val="bottom"/>
          </w:tcPr>
          <w:p>
            <w:pPr>
              <w:spacing w:after="0"/>
              <w:rPr>
                <w:sz w:val="1"/>
                <w:szCs w:val="1"/>
                <w:color w:val="auto"/>
              </w:rPr>
            </w:pPr>
          </w:p>
        </w:tc>
      </w:tr>
      <w:tr>
        <w:trPr>
          <w:trHeight w:val="250"/>
        </w:trPr>
        <w:tc>
          <w:tcPr>
            <w:tcW w:w="350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269,797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257,100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134,980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661,877</w:t>
            </w:r>
          </w:p>
        </w:tc>
        <w:tc>
          <w:tcPr>
            <w:tcW w:w="0" w:type="dxa"/>
            <w:vAlign w:val="bottom"/>
          </w:tcPr>
          <w:p>
            <w:pPr>
              <w:spacing w:after="0"/>
              <w:rPr>
                <w:sz w:val="1"/>
                <w:szCs w:val="1"/>
                <w:color w:val="auto"/>
              </w:rPr>
            </w:pPr>
          </w:p>
        </w:tc>
      </w:tr>
      <w:tr>
        <w:trPr>
          <w:trHeight w:val="203"/>
        </w:trPr>
        <w:tc>
          <w:tcPr>
            <w:tcW w:w="60" w:type="dxa"/>
            <w:vAlign w:val="bottom"/>
            <w:tcBorders>
              <w:right w:val="single" w:sz="8" w:color="B7E5FF"/>
            </w:tcBorders>
          </w:tcPr>
          <w:p>
            <w:pPr>
              <w:spacing w:after="0"/>
              <w:rPr>
                <w:sz w:val="17"/>
                <w:szCs w:val="17"/>
                <w:color w:val="auto"/>
              </w:rPr>
            </w:pPr>
          </w:p>
        </w:tc>
        <w:tc>
          <w:tcPr>
            <w:tcW w:w="1580" w:type="dxa"/>
            <w:vAlign w:val="bottom"/>
            <w:tcBorders>
              <w:top w:val="single" w:sz="8" w:color="B7E5FF"/>
            </w:tcBorders>
            <w:shd w:val="clear" w:color="auto" w:fill="B7E5FF"/>
          </w:tcPr>
          <w:p>
            <w:pPr>
              <w:spacing w:after="0"/>
              <w:rPr>
                <w:sz w:val="17"/>
                <w:szCs w:val="17"/>
                <w:color w:val="auto"/>
              </w:rPr>
            </w:pPr>
          </w:p>
        </w:tc>
        <w:tc>
          <w:tcPr>
            <w:tcW w:w="18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380" w:type="dxa"/>
            <w:vAlign w:val="bottom"/>
            <w:shd w:val="clear" w:color="auto" w:fill="B7E5FF"/>
          </w:tcPr>
          <w:p>
            <w:pPr>
              <w:jc w:val="right"/>
              <w:ind w:right="70"/>
              <w:spacing w:after="0" w:line="203" w:lineRule="exact"/>
              <w:rPr>
                <w:sz w:val="20"/>
                <w:szCs w:val="20"/>
                <w:color w:val="auto"/>
              </w:rPr>
            </w:pPr>
            <w:r>
              <w:rPr>
                <w:rFonts w:ascii="Arial" w:cs="Arial" w:eastAsia="Arial" w:hAnsi="Arial"/>
                <w:sz w:val="18"/>
                <w:szCs w:val="18"/>
                <w:color w:val="auto"/>
              </w:rPr>
              <w:t>425,343</w:t>
            </w: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360" w:type="dxa"/>
            <w:vAlign w:val="bottom"/>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365,491</w:t>
            </w: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360" w:type="dxa"/>
            <w:vAlign w:val="bottom"/>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286,924</w:t>
            </w:r>
          </w:p>
        </w:tc>
        <w:tc>
          <w:tcPr>
            <w:tcW w:w="10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360" w:type="dxa"/>
            <w:vAlign w:val="bottom"/>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1,077,758</w:t>
            </w: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137,447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61,203</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37,709</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236,359</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562,790</w:t>
            </w:r>
          </w:p>
        </w:tc>
        <w:tc>
          <w:tcPr>
            <w:tcW w:w="22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426,694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324,633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1,314,117</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34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537,161</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400,982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316,222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1,254,365</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25,629</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25,712</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8,411</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59,752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562,790</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426,694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324,633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1,314,117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48" w:lineRule="exact"/>
        <w:rPr>
          <w:sz w:val="20"/>
          <w:szCs w:val="20"/>
          <w:color w:val="auto"/>
        </w:rPr>
      </w:pPr>
    </w:p>
    <w:p>
      <w:pPr>
        <w:jc w:val="both"/>
        <w:ind w:right="160" w:firstLine="324"/>
        <w:spacing w:after="0" w:line="247" w:lineRule="auto"/>
        <w:rPr>
          <w:sz w:val="20"/>
          <w:szCs w:val="20"/>
          <w:color w:val="auto"/>
        </w:rPr>
      </w:pPr>
      <w:r>
        <w:rPr>
          <w:rFonts w:ascii="Arial" w:cs="Arial" w:eastAsia="Arial" w:hAnsi="Arial"/>
          <w:sz w:val="18"/>
          <w:szCs w:val="18"/>
          <w:color w:val="auto"/>
        </w:rPr>
        <w:t>The Company has operating leases for certain facilities, vehicles and machinery and equipment with remaining lease terms up to 9 years. Operating lease expense is recognized on a straight-line basis over the lease term. In addition, the Company has certain land use leases with remaining lease terms up to 93 years.</w:t>
      </w:r>
    </w:p>
    <w:p>
      <w:pPr>
        <w:spacing w:after="0" w:line="9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has no material variable lease costs, sublease income or finance leases for three and nine months ended September 30, 2022 and 2021. The following table sets forth the components of the Company’s lease cost for three and nine months ended September 30, 2022 and 2021:</w:t>
      </w:r>
    </w:p>
    <w:p>
      <w:pPr>
        <w:spacing w:after="0" w:line="9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70" w:type="dxa"/>
            <w:vAlign w:val="bottom"/>
          </w:tcPr>
          <w:p>
            <w:pPr>
              <w:spacing w:after="0"/>
              <w:rPr>
                <w:sz w:val="20"/>
                <w:szCs w:val="20"/>
                <w:color w:val="auto"/>
              </w:rPr>
            </w:pPr>
          </w:p>
        </w:tc>
        <w:tc>
          <w:tcPr>
            <w:tcW w:w="55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0" w:type="dxa"/>
            <w:vAlign w:val="bottom"/>
          </w:tcPr>
          <w:p>
            <w:pPr>
              <w:spacing w:after="0"/>
              <w:rPr>
                <w:sz w:val="19"/>
                <w:szCs w:val="19"/>
                <w:color w:val="auto"/>
              </w:rPr>
            </w:pPr>
          </w:p>
        </w:tc>
        <w:tc>
          <w:tcPr>
            <w:tcW w:w="337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0" w:type="dxa"/>
            <w:vAlign w:val="bottom"/>
          </w:tcPr>
          <w:p>
            <w:pPr>
              <w:spacing w:after="0"/>
              <w:rPr>
                <w:sz w:val="18"/>
                <w:szCs w:val="18"/>
                <w:color w:val="auto"/>
              </w:rPr>
            </w:pPr>
          </w:p>
        </w:tc>
        <w:tc>
          <w:tcPr>
            <w:tcW w:w="337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0"/>
        </w:trPr>
        <w:tc>
          <w:tcPr>
            <w:tcW w:w="40" w:type="dxa"/>
            <w:vAlign w:val="bottom"/>
          </w:tcPr>
          <w:p>
            <w:pPr>
              <w:spacing w:after="0" w:line="20" w:lineRule="exact"/>
              <w:rPr>
                <w:sz w:val="1"/>
                <w:szCs w:val="1"/>
                <w:color w:val="auto"/>
              </w:rPr>
            </w:pPr>
          </w:p>
        </w:tc>
        <w:tc>
          <w:tcPr>
            <w:tcW w:w="3370" w:type="dxa"/>
            <w:vAlign w:val="bottom"/>
          </w:tcPr>
          <w:p>
            <w:pPr>
              <w:spacing w:after="0" w:line="20" w:lineRule="exact"/>
              <w:rPr>
                <w:sz w:val="1"/>
                <w:szCs w:val="1"/>
                <w:color w:val="auto"/>
              </w:rPr>
            </w:pPr>
          </w:p>
        </w:tc>
        <w:tc>
          <w:tcPr>
            <w:tcW w:w="55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370" w:type="dxa"/>
            <w:vAlign w:val="bottom"/>
            <w:shd w:val="clear" w:color="auto" w:fill="B7E5FF"/>
          </w:tcPr>
          <w:p>
            <w:pPr>
              <w:jc w:val="center"/>
              <w:ind w:right="1580"/>
              <w:spacing w:after="0" w:line="203" w:lineRule="exact"/>
              <w:rPr>
                <w:sz w:val="20"/>
                <w:szCs w:val="20"/>
                <w:color w:val="auto"/>
              </w:rPr>
            </w:pPr>
            <w:r>
              <w:rPr>
                <w:rFonts w:ascii="Arial" w:cs="Arial" w:eastAsia="Arial" w:hAnsi="Arial"/>
                <w:sz w:val="18"/>
                <w:szCs w:val="18"/>
                <w:color w:val="auto"/>
                <w:w w:val="84"/>
              </w:rPr>
              <w:t>Operating lease expense</w:t>
            </w:r>
          </w:p>
        </w:tc>
        <w:tc>
          <w:tcPr>
            <w:tcW w:w="710" w:type="dxa"/>
            <w:vAlign w:val="bottom"/>
            <w:gridSpan w:val="2"/>
            <w:shd w:val="clear" w:color="auto" w:fill="B7E5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3,664</w:t>
            </w:r>
          </w:p>
        </w:tc>
        <w:tc>
          <w:tcPr>
            <w:tcW w:w="300" w:type="dxa"/>
            <w:vAlign w:val="bottom"/>
            <w:gridSpan w:val="2"/>
            <w:shd w:val="clear" w:color="auto" w:fill="B7E5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3,408</w:t>
            </w:r>
          </w:p>
        </w:tc>
        <w:tc>
          <w:tcPr>
            <w:tcW w:w="300" w:type="dxa"/>
            <w:vAlign w:val="bottom"/>
            <w:gridSpan w:val="2"/>
            <w:shd w:val="clear" w:color="auto" w:fill="B7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10"/>
              <w:spacing w:after="0" w:line="203" w:lineRule="exact"/>
              <w:rPr>
                <w:sz w:val="20"/>
                <w:szCs w:val="20"/>
                <w:color w:val="auto"/>
              </w:rPr>
            </w:pPr>
            <w:r>
              <w:rPr>
                <w:rFonts w:ascii="Arial" w:cs="Arial" w:eastAsia="Arial" w:hAnsi="Arial"/>
                <w:sz w:val="18"/>
                <w:szCs w:val="18"/>
                <w:color w:val="auto"/>
              </w:rPr>
              <w:t>10,592</w:t>
            </w:r>
          </w:p>
        </w:tc>
        <w:tc>
          <w:tcPr>
            <w:tcW w:w="300" w:type="dxa"/>
            <w:vAlign w:val="bottom"/>
            <w:gridSpan w:val="2"/>
            <w:shd w:val="clear" w:color="auto" w:fill="B7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10,568</w:t>
            </w:r>
          </w:p>
        </w:tc>
      </w:tr>
      <w:tr>
        <w:trPr>
          <w:trHeight w:val="243"/>
        </w:trPr>
        <w:tc>
          <w:tcPr>
            <w:tcW w:w="3410" w:type="dxa"/>
            <w:vAlign w:val="bottom"/>
            <w:gridSpan w:val="2"/>
          </w:tcPr>
          <w:p>
            <w:pPr>
              <w:jc w:val="center"/>
              <w:ind w:right="1520"/>
              <w:spacing w:after="0"/>
              <w:rPr>
                <w:sz w:val="20"/>
                <w:szCs w:val="20"/>
                <w:color w:val="auto"/>
              </w:rPr>
            </w:pPr>
            <w:r>
              <w:rPr>
                <w:rFonts w:ascii="Arial" w:cs="Arial" w:eastAsia="Arial" w:hAnsi="Arial"/>
                <w:sz w:val="18"/>
                <w:szCs w:val="18"/>
                <w:color w:val="auto"/>
                <w:w w:val="87"/>
              </w:rPr>
              <w:t>Short-term lease expense</w:t>
            </w:r>
          </w:p>
        </w:tc>
        <w:tc>
          <w:tcPr>
            <w:tcW w:w="55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755</w:t>
            </w: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740"/>
          </w:cols>
          <w:pgMar w:left="1060" w:top="878" w:right="1099" w:bottom="1440" w:gutter="0" w:footer="0" w:header="0"/>
          <w:type w:val="continuous"/>
        </w:sectPr>
      </w:pPr>
    </w:p>
    <w:bookmarkStart w:id="13" w:name="page14"/>
    <w:bookmarkEnd w:id="1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360" w:right="18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cash flow information related to the Company’s leases is as follows:</w:t>
      </w:r>
    </w:p>
    <w:p>
      <w:pPr>
        <w:spacing w:after="0" w:line="140"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29"/>
        </w:trPr>
        <w:tc>
          <w:tcPr>
            <w:tcW w:w="40" w:type="dxa"/>
            <w:vAlign w:val="bottom"/>
          </w:tcPr>
          <w:p>
            <w:pPr>
              <w:spacing w:after="0"/>
              <w:rPr>
                <w:sz w:val="19"/>
                <w:szCs w:val="19"/>
                <w:color w:val="auto"/>
              </w:rPr>
            </w:pPr>
          </w:p>
        </w:tc>
        <w:tc>
          <w:tcPr>
            <w:tcW w:w="3580" w:type="dxa"/>
            <w:vAlign w:val="bottom"/>
            <w:tcBorders>
              <w:bottom w:val="single" w:sz="8" w:color="B7E5FF"/>
            </w:tcBorders>
          </w:tcPr>
          <w:p>
            <w:pPr>
              <w:spacing w:after="0"/>
              <w:rPr>
                <w:sz w:val="19"/>
                <w:szCs w:val="19"/>
                <w:color w:val="auto"/>
              </w:rPr>
            </w:pPr>
          </w:p>
        </w:tc>
        <w:tc>
          <w:tcPr>
            <w:tcW w:w="36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03"/>
        </w:trPr>
        <w:tc>
          <w:tcPr>
            <w:tcW w:w="40" w:type="dxa"/>
            <w:vAlign w:val="bottom"/>
          </w:tcPr>
          <w:p>
            <w:pPr>
              <w:spacing w:after="0"/>
              <w:rPr>
                <w:sz w:val="17"/>
                <w:szCs w:val="17"/>
                <w:color w:val="auto"/>
              </w:rPr>
            </w:pPr>
          </w:p>
        </w:tc>
        <w:tc>
          <w:tcPr>
            <w:tcW w:w="3580" w:type="dxa"/>
            <w:vAlign w:val="bottom"/>
            <w:shd w:val="clear" w:color="auto" w:fill="B7E5FF"/>
          </w:tcPr>
          <w:p>
            <w:pPr>
              <w:spacing w:after="0" w:line="203" w:lineRule="exact"/>
              <w:rPr>
                <w:sz w:val="20"/>
                <w:szCs w:val="20"/>
                <w:color w:val="auto"/>
              </w:rPr>
            </w:pPr>
            <w:r>
              <w:rPr>
                <w:rFonts w:ascii="Arial" w:cs="Arial" w:eastAsia="Arial" w:hAnsi="Arial"/>
                <w:sz w:val="18"/>
                <w:szCs w:val="18"/>
                <w:color w:val="auto"/>
              </w:rPr>
              <w:t>Cash paid for amounts included in the</w:t>
            </w:r>
          </w:p>
        </w:tc>
        <w:tc>
          <w:tcPr>
            <w:tcW w:w="36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9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9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9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900" w:type="dxa"/>
            <w:vAlign w:val="bottom"/>
            <w:shd w:val="clear" w:color="auto" w:fill="B7E5FF"/>
          </w:tcPr>
          <w:p>
            <w:pPr>
              <w:spacing w:after="0"/>
              <w:rPr>
                <w:sz w:val="17"/>
                <w:szCs w:val="17"/>
                <w:color w:val="auto"/>
              </w:rPr>
            </w:pP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measurement of lease liabilities: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80" w:type="dxa"/>
            <w:vAlign w:val="bottom"/>
            <w:shd w:val="clear" w:color="auto" w:fill="B7E5FF"/>
          </w:tcPr>
          <w:p>
            <w:pPr>
              <w:ind w:left="120"/>
              <w:spacing w:after="0"/>
              <w:rPr>
                <w:sz w:val="20"/>
                <w:szCs w:val="20"/>
                <w:color w:val="auto"/>
              </w:rPr>
            </w:pPr>
            <w:r>
              <w:rPr>
                <w:rFonts w:ascii="Arial" w:cs="Arial" w:eastAsia="Arial" w:hAnsi="Arial"/>
                <w:sz w:val="18"/>
                <w:szCs w:val="18"/>
                <w:color w:val="auto"/>
                <w:w w:val="99"/>
              </w:rPr>
              <w:t>Operating cash flows from operating leases</w:t>
            </w:r>
          </w:p>
        </w:tc>
        <w:tc>
          <w:tcPr>
            <w:tcW w:w="5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ind w:left="420"/>
              <w:spacing w:after="0"/>
              <w:rPr>
                <w:sz w:val="20"/>
                <w:szCs w:val="20"/>
                <w:color w:val="auto"/>
              </w:rPr>
            </w:pPr>
            <w:r>
              <w:rPr>
                <w:rFonts w:ascii="Arial" w:cs="Arial" w:eastAsia="Arial" w:hAnsi="Arial"/>
                <w:sz w:val="18"/>
                <w:szCs w:val="18"/>
                <w:color w:val="auto"/>
              </w:rPr>
              <w:t>3,768</w:t>
            </w:r>
          </w:p>
        </w:tc>
        <w:tc>
          <w:tcPr>
            <w:tcW w:w="3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3,365</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10,575</w:t>
            </w:r>
          </w:p>
        </w:tc>
        <w:tc>
          <w:tcPr>
            <w:tcW w:w="3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10,433</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Non-cash lease liabilities activity: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580" w:type="dxa"/>
            <w:vAlign w:val="bottom"/>
            <w:shd w:val="clear" w:color="auto" w:fill="B7E5FF"/>
          </w:tcPr>
          <w:p>
            <w:pPr>
              <w:ind w:left="120"/>
              <w:spacing w:after="0"/>
              <w:rPr>
                <w:sz w:val="20"/>
                <w:szCs w:val="20"/>
                <w:color w:val="auto"/>
              </w:rPr>
            </w:pPr>
            <w:r>
              <w:rPr>
                <w:rFonts w:ascii="Arial" w:cs="Arial" w:eastAsia="Arial" w:hAnsi="Arial"/>
                <w:sz w:val="18"/>
                <w:szCs w:val="18"/>
                <w:color w:val="auto"/>
                <w:w w:val="96"/>
              </w:rPr>
              <w:t>Leased assets obtained in exchange for new</w:t>
            </w:r>
          </w:p>
        </w:tc>
        <w:tc>
          <w:tcPr>
            <w:tcW w:w="36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9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900" w:type="dxa"/>
            <w:vAlign w:val="bottom"/>
            <w:shd w:val="clear" w:color="auto" w:fill="B7E5FF"/>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1,711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10,672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5,587</w:t>
            </w:r>
          </w:p>
        </w:tc>
      </w:tr>
    </w:tbl>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balance sheet information related to the Company’s leases is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September 30,</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15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0"/>
        </w:trPr>
        <w:tc>
          <w:tcPr>
            <w:tcW w:w="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3840" w:type="dxa"/>
            <w:vAlign w:val="bottom"/>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260" w:type="dxa"/>
            <w:vAlign w:val="bottom"/>
            <w:gridSpan w:val="2"/>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B7E5FF"/>
          </w:tcPr>
          <w:p>
            <w:pPr>
              <w:spacing w:after="0"/>
              <w:rPr>
                <w:sz w:val="19"/>
                <w:szCs w:val="19"/>
                <w:color w:val="auto"/>
              </w:rPr>
            </w:pPr>
          </w:p>
        </w:tc>
        <w:tc>
          <w:tcPr>
            <w:tcW w:w="6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0"/>
              </w:rPr>
              <w:t>37,005</w:t>
            </w:r>
          </w:p>
        </w:tc>
        <w:tc>
          <w:tcPr>
            <w:tcW w:w="33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36,635</w:t>
            </w:r>
          </w:p>
        </w:tc>
      </w:tr>
      <w:tr>
        <w:trPr>
          <w:trHeight w:val="230"/>
        </w:trPr>
        <w:tc>
          <w:tcPr>
            <w:tcW w:w="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3840" w:type="dxa"/>
            <w:vAlign w:val="bottom"/>
            <w:shd w:val="clear" w:color="auto" w:fill="B7E5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520" w:type="dxa"/>
            <w:vAlign w:val="bottom"/>
            <w:shd w:val="clear" w:color="auto" w:fill="B7E5FF"/>
          </w:tcPr>
          <w:p>
            <w:pPr>
              <w:spacing w:after="0"/>
              <w:rPr>
                <w:sz w:val="19"/>
                <w:szCs w:val="19"/>
                <w:color w:val="auto"/>
              </w:rPr>
            </w:pPr>
          </w:p>
        </w:tc>
        <w:tc>
          <w:tcPr>
            <w:tcW w:w="6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87"/>
              </w:rPr>
              <w:t>11,143</w:t>
            </w: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9,976</w:t>
            </w:r>
          </w:p>
        </w:tc>
      </w:tr>
      <w:tr>
        <w:trPr>
          <w:trHeight w:val="229"/>
        </w:trPr>
        <w:tc>
          <w:tcPr>
            <w:tcW w:w="4280" w:type="dxa"/>
            <w:vAlign w:val="bottom"/>
            <w:gridSpan w:val="2"/>
          </w:tcPr>
          <w:p>
            <w:pPr>
              <w:ind w:left="400"/>
              <w:spacing w:after="0"/>
              <w:rPr>
                <w:sz w:val="20"/>
                <w:szCs w:val="20"/>
                <w:color w:val="auto"/>
              </w:rPr>
            </w:pPr>
            <w:r>
              <w:rPr>
                <w:rFonts w:ascii="Arial" w:cs="Arial" w:eastAsia="Arial" w:hAnsi="Arial"/>
                <w:sz w:val="18"/>
                <w:szCs w:val="18"/>
                <w:color w:val="auto"/>
              </w:rPr>
              <w:t>Long-term lease liabilities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25,697</w:t>
            </w:r>
          </w:p>
        </w:tc>
        <w:tc>
          <w:tcPr>
            <w:tcW w:w="16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67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26,335</w:t>
            </w:r>
          </w:p>
        </w:tc>
      </w:tr>
      <w:tr>
        <w:trPr>
          <w:trHeight w:val="210"/>
        </w:trPr>
        <w:tc>
          <w:tcPr>
            <w:tcW w:w="440" w:type="dxa"/>
            <w:vAlign w:val="bottom"/>
          </w:tcPr>
          <w:p>
            <w:pPr>
              <w:spacing w:after="0"/>
              <w:rPr>
                <w:sz w:val="18"/>
                <w:szCs w:val="18"/>
                <w:color w:val="auto"/>
              </w:rPr>
            </w:pPr>
          </w:p>
        </w:tc>
        <w:tc>
          <w:tcPr>
            <w:tcW w:w="384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gridSpan w:val="2"/>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B7E5FF"/>
          </w:tcPr>
          <w:p>
            <w:pPr>
              <w:spacing w:after="0"/>
              <w:rPr>
                <w:sz w:val="18"/>
                <w:szCs w:val="18"/>
                <w:color w:val="auto"/>
              </w:rPr>
            </w:pPr>
          </w:p>
        </w:tc>
        <w:tc>
          <w:tcPr>
            <w:tcW w:w="6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0"/>
              </w:rPr>
              <w:t>36,840</w:t>
            </w:r>
          </w:p>
        </w:tc>
        <w:tc>
          <w:tcPr>
            <w:tcW w:w="33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7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3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36,311</w:t>
            </w:r>
          </w:p>
        </w:tc>
      </w:tr>
      <w:tr>
        <w:trPr>
          <w:trHeight w:val="20"/>
        </w:trPr>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0"/>
        </w:trPr>
        <w:tc>
          <w:tcPr>
            <w:tcW w:w="440" w:type="dxa"/>
            <w:vAlign w:val="bottom"/>
          </w:tcPr>
          <w:p>
            <w:pPr>
              <w:spacing w:after="0"/>
              <w:rPr>
                <w:sz w:val="19"/>
                <w:szCs w:val="19"/>
                <w:color w:val="auto"/>
              </w:rPr>
            </w:pPr>
          </w:p>
        </w:tc>
        <w:tc>
          <w:tcPr>
            <w:tcW w:w="384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520" w:type="dxa"/>
            <w:vAlign w:val="bottom"/>
            <w:shd w:val="clear" w:color="auto" w:fill="B7E5FF"/>
          </w:tcPr>
          <w:p>
            <w:pPr>
              <w:spacing w:after="0"/>
              <w:rPr>
                <w:sz w:val="19"/>
                <w:szCs w:val="19"/>
                <w:color w:val="auto"/>
              </w:rPr>
            </w:pPr>
          </w:p>
        </w:tc>
        <w:tc>
          <w:tcPr>
            <w:tcW w:w="6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5.6</w:t>
            </w:r>
          </w:p>
        </w:tc>
      </w:tr>
      <w:tr>
        <w:trPr>
          <w:trHeight w:val="243"/>
        </w:trPr>
        <w:tc>
          <w:tcPr>
            <w:tcW w:w="4280" w:type="dxa"/>
            <w:vAlign w:val="bottom"/>
            <w:gridSpan w:val="2"/>
          </w:tcPr>
          <w:p>
            <w:pPr>
              <w:ind w:left="400"/>
              <w:spacing w:after="0"/>
              <w:rPr>
                <w:sz w:val="20"/>
                <w:szCs w:val="20"/>
                <w:color w:val="auto"/>
              </w:rPr>
            </w:pPr>
            <w:r>
              <w:rPr>
                <w:rFonts w:ascii="Arial" w:cs="Arial" w:eastAsia="Arial" w:hAnsi="Arial"/>
                <w:sz w:val="18"/>
                <w:szCs w:val="18"/>
                <w:color w:val="auto"/>
              </w:rPr>
              <w:t>Weighted average discount rate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r>
      <w:tr>
        <w:trPr>
          <w:trHeight w:val="311"/>
        </w:trPr>
        <w:tc>
          <w:tcPr>
            <w:tcW w:w="4280" w:type="dxa"/>
            <w:vAlign w:val="bottom"/>
            <w:gridSpan w:val="2"/>
          </w:tcPr>
          <w:p>
            <w:pPr>
              <w:jc w:val="right"/>
              <w:ind w:right="210"/>
              <w:spacing w:after="0"/>
              <w:rPr>
                <w:sz w:val="20"/>
                <w:szCs w:val="20"/>
                <w:color w:val="auto"/>
              </w:rPr>
            </w:pPr>
            <w:r>
              <w:rPr>
                <w:rFonts w:ascii="Arial" w:cs="Arial" w:eastAsia="Arial" w:hAnsi="Arial"/>
                <w:sz w:val="18"/>
                <w:szCs w:val="18"/>
                <w:color w:val="auto"/>
                <w:w w:val="91"/>
              </w:rPr>
              <w:t>Maturities of operating lease liabilities were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3"/>
        </w:trPr>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215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September 30,</w:t>
            </w:r>
          </w:p>
        </w:tc>
      </w:tr>
      <w:tr>
        <w:trPr>
          <w:trHeight w:val="220"/>
        </w:trPr>
        <w:tc>
          <w:tcPr>
            <w:tcW w:w="440" w:type="dxa"/>
            <w:vAlign w:val="bottom"/>
          </w:tcPr>
          <w:p>
            <w:pPr>
              <w:spacing w:after="0"/>
              <w:rPr>
                <w:sz w:val="19"/>
                <w:szCs w:val="19"/>
                <w:color w:val="auto"/>
              </w:rPr>
            </w:pPr>
          </w:p>
        </w:tc>
        <w:tc>
          <w:tcPr>
            <w:tcW w:w="384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520" w:type="dxa"/>
            <w:vAlign w:val="bottom"/>
            <w:tcBorders>
              <w:bottom w:val="single" w:sz="8" w:color="B7E5FF"/>
            </w:tcBorders>
          </w:tcPr>
          <w:p>
            <w:pPr>
              <w:spacing w:after="0"/>
              <w:rPr>
                <w:sz w:val="19"/>
                <w:szCs w:val="19"/>
                <w:color w:val="auto"/>
              </w:rPr>
            </w:pPr>
          </w:p>
        </w:tc>
        <w:tc>
          <w:tcPr>
            <w:tcW w:w="62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70" w:type="dxa"/>
            <w:vAlign w:val="bottom"/>
            <w:tcBorders>
              <w:bottom w:val="single" w:sz="8" w:color="B7E5FF"/>
            </w:tcBorders>
          </w:tcPr>
          <w:p>
            <w:pPr>
              <w:spacing w:after="0"/>
              <w:rPr>
                <w:sz w:val="19"/>
                <w:szCs w:val="19"/>
                <w:color w:val="auto"/>
              </w:rPr>
            </w:pPr>
          </w:p>
        </w:tc>
        <w:tc>
          <w:tcPr>
            <w:tcW w:w="67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38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For the remainder of 2022</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52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1000" w:type="dxa"/>
            <w:vAlign w:val="bottom"/>
            <w:gridSpan w:val="3"/>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3,262</w:t>
            </w:r>
          </w:p>
        </w:tc>
        <w:tc>
          <w:tcPr>
            <w:tcW w:w="28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3840" w:type="dxa"/>
            <w:vAlign w:val="bottom"/>
          </w:tcPr>
          <w:p>
            <w:pPr>
              <w:jc w:val="right"/>
              <w:ind w:right="850"/>
              <w:spacing w:after="0"/>
              <w:rPr>
                <w:sz w:val="20"/>
                <w:szCs w:val="20"/>
                <w:color w:val="auto"/>
              </w:rPr>
            </w:pPr>
            <w:r>
              <w:rPr>
                <w:rFonts w:ascii="Arial" w:cs="Arial" w:eastAsia="Arial" w:hAnsi="Arial"/>
                <w:sz w:val="18"/>
                <w:szCs w:val="18"/>
                <w:color w:val="auto"/>
                <w:w w:val="91"/>
              </w:rPr>
              <w:t>For the year ended December 31, 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10,668</w:t>
            </w:r>
          </w:p>
        </w:tc>
        <w:tc>
          <w:tcPr>
            <w:tcW w:w="2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3840" w:type="dxa"/>
            <w:vAlign w:val="bottom"/>
            <w:shd w:val="clear" w:color="auto" w:fill="B7E5FF"/>
          </w:tcPr>
          <w:p>
            <w:pPr>
              <w:jc w:val="right"/>
              <w:ind w:right="850"/>
              <w:spacing w:after="0"/>
              <w:rPr>
                <w:sz w:val="20"/>
                <w:szCs w:val="20"/>
                <w:color w:val="auto"/>
              </w:rPr>
            </w:pPr>
            <w:r>
              <w:rPr>
                <w:rFonts w:ascii="Arial" w:cs="Arial" w:eastAsia="Arial" w:hAnsi="Arial"/>
                <w:sz w:val="18"/>
                <w:szCs w:val="18"/>
                <w:color w:val="auto"/>
                <w:w w:val="91"/>
              </w:rPr>
              <w:t>For the year ended December 31, 2024</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52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8,429</w:t>
            </w:r>
          </w:p>
        </w:tc>
        <w:tc>
          <w:tcPr>
            <w:tcW w:w="2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3840" w:type="dxa"/>
            <w:vAlign w:val="bottom"/>
          </w:tcPr>
          <w:p>
            <w:pPr>
              <w:jc w:val="right"/>
              <w:ind w:right="850"/>
              <w:spacing w:after="0"/>
              <w:rPr>
                <w:sz w:val="20"/>
                <w:szCs w:val="20"/>
                <w:color w:val="auto"/>
              </w:rPr>
            </w:pPr>
            <w:r>
              <w:rPr>
                <w:rFonts w:ascii="Arial" w:cs="Arial" w:eastAsia="Arial" w:hAnsi="Arial"/>
                <w:sz w:val="18"/>
                <w:szCs w:val="18"/>
                <w:color w:val="auto"/>
                <w:w w:val="91"/>
              </w:rPr>
              <w:t>For the year ended December 31, 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6,087</w:t>
            </w:r>
          </w:p>
        </w:tc>
        <w:tc>
          <w:tcPr>
            <w:tcW w:w="2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3840" w:type="dxa"/>
            <w:vAlign w:val="bottom"/>
            <w:shd w:val="clear" w:color="auto" w:fill="B7E5FF"/>
          </w:tcPr>
          <w:p>
            <w:pPr>
              <w:jc w:val="right"/>
              <w:ind w:right="850"/>
              <w:spacing w:after="0"/>
              <w:rPr>
                <w:sz w:val="20"/>
                <w:szCs w:val="20"/>
                <w:color w:val="auto"/>
              </w:rPr>
            </w:pPr>
            <w:r>
              <w:rPr>
                <w:rFonts w:ascii="Arial" w:cs="Arial" w:eastAsia="Arial" w:hAnsi="Arial"/>
                <w:sz w:val="18"/>
                <w:szCs w:val="18"/>
                <w:color w:val="auto"/>
                <w:w w:val="91"/>
              </w:rPr>
              <w:t>For the year ended December 31, 2026</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520" w:type="dxa"/>
            <w:vAlign w:val="bottom"/>
            <w:shd w:val="clear" w:color="auto" w:fill="B7E5FF"/>
          </w:tcPr>
          <w:p>
            <w:pPr>
              <w:spacing w:after="0"/>
              <w:rPr>
                <w:sz w:val="19"/>
                <w:szCs w:val="19"/>
                <w:color w:val="auto"/>
              </w:rPr>
            </w:pPr>
          </w:p>
        </w:tc>
        <w:tc>
          <w:tcPr>
            <w:tcW w:w="6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4,512</w:t>
            </w:r>
          </w:p>
        </w:tc>
        <w:tc>
          <w:tcPr>
            <w:tcW w:w="28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384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w w:val="89"/>
              </w:rPr>
              <w:t>For the year ended December 31, 2027 and beyond</w:t>
            </w: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520" w:type="dxa"/>
            <w:vAlign w:val="bottom"/>
            <w:tcBorders>
              <w:bottom w:val="single" w:sz="8" w:color="B7E5FF"/>
            </w:tcBorders>
          </w:tcPr>
          <w:p>
            <w:pPr>
              <w:spacing w:after="0"/>
              <w:rPr>
                <w:sz w:val="19"/>
                <w:szCs w:val="19"/>
                <w:color w:val="auto"/>
              </w:rPr>
            </w:pPr>
          </w:p>
        </w:tc>
        <w:tc>
          <w:tcPr>
            <w:tcW w:w="62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70" w:type="dxa"/>
            <w:vAlign w:val="bottom"/>
            <w:tcBorders>
              <w:bottom w:val="single" w:sz="8" w:color="B7E5FF"/>
            </w:tcBorders>
          </w:tcPr>
          <w:p>
            <w:pPr>
              <w:spacing w:after="0"/>
              <w:rPr>
                <w:sz w:val="19"/>
                <w:szCs w:val="19"/>
                <w:color w:val="auto"/>
              </w:rPr>
            </w:pPr>
          </w:p>
        </w:tc>
        <w:tc>
          <w:tcPr>
            <w:tcW w:w="67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6,785</w:t>
            </w:r>
          </w:p>
        </w:tc>
        <w:tc>
          <w:tcPr>
            <w:tcW w:w="280" w:type="dxa"/>
            <w:vAlign w:val="bottom"/>
          </w:tcPr>
          <w:p>
            <w:pPr>
              <w:spacing w:after="0"/>
              <w:rPr>
                <w:sz w:val="19"/>
                <w:szCs w:val="19"/>
                <w:color w:val="auto"/>
              </w:rPr>
            </w:pPr>
          </w:p>
        </w:tc>
      </w:tr>
      <w:tr>
        <w:trPr>
          <w:trHeight w:val="210"/>
        </w:trPr>
        <w:tc>
          <w:tcPr>
            <w:tcW w:w="440" w:type="dxa"/>
            <w:vAlign w:val="bottom"/>
          </w:tcPr>
          <w:p>
            <w:pPr>
              <w:spacing w:after="0"/>
              <w:rPr>
                <w:sz w:val="18"/>
                <w:szCs w:val="18"/>
                <w:color w:val="auto"/>
              </w:rPr>
            </w:pPr>
          </w:p>
        </w:tc>
        <w:tc>
          <w:tcPr>
            <w:tcW w:w="3840" w:type="dxa"/>
            <w:vAlign w:val="bottom"/>
            <w:shd w:val="clear" w:color="auto" w:fill="B7E5FF"/>
          </w:tcPr>
          <w:p>
            <w:pPr>
              <w:jc w:val="center"/>
              <w:ind w:right="1430"/>
              <w:spacing w:after="0"/>
              <w:rPr>
                <w:sz w:val="20"/>
                <w:szCs w:val="20"/>
                <w:color w:val="auto"/>
              </w:rPr>
            </w:pPr>
            <w:r>
              <w:rPr>
                <w:rFonts w:ascii="Arial" w:cs="Arial" w:eastAsia="Arial" w:hAnsi="Arial"/>
                <w:sz w:val="18"/>
                <w:szCs w:val="18"/>
                <w:color w:val="auto"/>
                <w:w w:val="84"/>
              </w:rPr>
              <w:t>Total lease payments</w:t>
            </w:r>
          </w:p>
        </w:tc>
        <w:tc>
          <w:tcPr>
            <w:tcW w:w="10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520" w:type="dxa"/>
            <w:vAlign w:val="bottom"/>
            <w:shd w:val="clear" w:color="auto" w:fill="B7E5FF"/>
          </w:tcPr>
          <w:p>
            <w:pPr>
              <w:spacing w:after="0"/>
              <w:rPr>
                <w:sz w:val="18"/>
                <w:szCs w:val="18"/>
                <w:color w:val="auto"/>
              </w:rPr>
            </w:pPr>
          </w:p>
        </w:tc>
        <w:tc>
          <w:tcPr>
            <w:tcW w:w="6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70" w:type="dxa"/>
            <w:vAlign w:val="bottom"/>
            <w:shd w:val="clear" w:color="auto" w:fill="B7E5FF"/>
          </w:tcPr>
          <w:p>
            <w:pPr>
              <w:spacing w:after="0"/>
              <w:rPr>
                <w:sz w:val="18"/>
                <w:szCs w:val="18"/>
                <w:color w:val="auto"/>
              </w:rPr>
            </w:pPr>
          </w:p>
        </w:tc>
        <w:tc>
          <w:tcPr>
            <w:tcW w:w="67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39,743</w:t>
            </w:r>
          </w:p>
        </w:tc>
        <w:tc>
          <w:tcPr>
            <w:tcW w:w="280" w:type="dxa"/>
            <w:vAlign w:val="bottom"/>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3840" w:type="dxa"/>
            <w:vAlign w:val="bottom"/>
            <w:tcBorders>
              <w:bottom w:val="single" w:sz="8" w:color="B7E5FF"/>
            </w:tcBorders>
          </w:tcPr>
          <w:p>
            <w:pPr>
              <w:jc w:val="center"/>
              <w:ind w:right="1410"/>
              <w:spacing w:after="0"/>
              <w:rPr>
                <w:sz w:val="20"/>
                <w:szCs w:val="20"/>
                <w:color w:val="auto"/>
              </w:rPr>
            </w:pPr>
            <w:r>
              <w:rPr>
                <w:rFonts w:ascii="Arial" w:cs="Arial" w:eastAsia="Arial" w:hAnsi="Arial"/>
                <w:sz w:val="18"/>
                <w:szCs w:val="18"/>
                <w:color w:val="auto"/>
                <w:w w:val="89"/>
              </w:rPr>
              <w:t>Less: imputed interest</w:t>
            </w: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520" w:type="dxa"/>
            <w:vAlign w:val="bottom"/>
            <w:tcBorders>
              <w:bottom w:val="single" w:sz="8" w:color="B7E5FF"/>
            </w:tcBorders>
          </w:tcPr>
          <w:p>
            <w:pPr>
              <w:spacing w:after="0"/>
              <w:rPr>
                <w:sz w:val="19"/>
                <w:szCs w:val="19"/>
                <w:color w:val="auto"/>
              </w:rPr>
            </w:pPr>
          </w:p>
        </w:tc>
        <w:tc>
          <w:tcPr>
            <w:tcW w:w="62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70" w:type="dxa"/>
            <w:vAlign w:val="bottom"/>
            <w:tcBorders>
              <w:bottom w:val="single" w:sz="8" w:color="B7E5FF"/>
            </w:tcBorders>
          </w:tcPr>
          <w:p>
            <w:pPr>
              <w:spacing w:after="0"/>
              <w:rPr>
                <w:sz w:val="19"/>
                <w:szCs w:val="19"/>
                <w:color w:val="auto"/>
              </w:rPr>
            </w:pPr>
          </w:p>
        </w:tc>
        <w:tc>
          <w:tcPr>
            <w:tcW w:w="67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280" w:type="dxa"/>
            <w:vAlign w:val="bottom"/>
          </w:tcPr>
          <w:p>
            <w:pPr>
              <w:spacing w:after="0"/>
              <w:rPr>
                <w:sz w:val="19"/>
                <w:szCs w:val="19"/>
                <w:color w:val="auto"/>
              </w:rPr>
            </w:pPr>
          </w:p>
        </w:tc>
      </w:tr>
      <w:tr>
        <w:trPr>
          <w:trHeight w:val="210"/>
        </w:trPr>
        <w:tc>
          <w:tcPr>
            <w:tcW w:w="440" w:type="dxa"/>
            <w:vAlign w:val="bottom"/>
          </w:tcPr>
          <w:p>
            <w:pPr>
              <w:spacing w:after="0"/>
              <w:rPr>
                <w:sz w:val="18"/>
                <w:szCs w:val="18"/>
                <w:color w:val="auto"/>
              </w:rPr>
            </w:pPr>
          </w:p>
        </w:tc>
        <w:tc>
          <w:tcPr>
            <w:tcW w:w="3840" w:type="dxa"/>
            <w:vAlign w:val="bottom"/>
            <w:shd w:val="clear" w:color="auto" w:fill="B7E5FF"/>
          </w:tcPr>
          <w:p>
            <w:pPr>
              <w:ind w:left="180"/>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520" w:type="dxa"/>
            <w:vAlign w:val="bottom"/>
            <w:shd w:val="clear" w:color="auto" w:fill="B7E5FF"/>
          </w:tcPr>
          <w:p>
            <w:pPr>
              <w:spacing w:after="0"/>
              <w:rPr>
                <w:sz w:val="18"/>
                <w:szCs w:val="18"/>
                <w:color w:val="auto"/>
              </w:rPr>
            </w:pPr>
          </w:p>
        </w:tc>
        <w:tc>
          <w:tcPr>
            <w:tcW w:w="620" w:type="dxa"/>
            <w:vAlign w:val="bottom"/>
            <w:shd w:val="clear" w:color="auto" w:fill="B7E5FF"/>
          </w:tcPr>
          <w:p>
            <w:pPr>
              <w:spacing w:after="0"/>
              <w:rPr>
                <w:sz w:val="18"/>
                <w:szCs w:val="18"/>
                <w:color w:val="auto"/>
              </w:rPr>
            </w:pPr>
          </w:p>
        </w:tc>
        <w:tc>
          <w:tcPr>
            <w:tcW w:w="1000" w:type="dxa"/>
            <w:vAlign w:val="bottom"/>
            <w:gridSpan w:val="3"/>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36,840</w:t>
            </w:r>
          </w:p>
        </w:tc>
        <w:tc>
          <w:tcPr>
            <w:tcW w:w="28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67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08"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Company’s management approved a global restructuring plan (the “QH Program”) as part of its plan to realize certain cost synergies associated with the Combination in the third quarter of 2019. The QH Program included restructuring and associated severance costs to reduce total headcount by approximately 400 people globally, as well as the closure of certain manufacturing and non-manufacturing facilities. The exact timing to complete all actions and final costs associated with the QH Program depend on a number of factors and are subject to change; however, the Company had reduction in headcount and site closures under the QH Program in 2022 and expects final headcount reductions to continue into 2023. Employee separation benefits varied depending on local regulations within certain foreign countries and included severance and other benefits.</w:t>
      </w:r>
    </w:p>
    <w:p>
      <w:pPr>
        <w:sectPr>
          <w:pgSz w:w="11900" w:h="16838" w:orient="portrait"/>
          <w:cols w:equalWidth="0" w:num="1">
            <w:col w:w="9440"/>
          </w:cols>
          <w:pgMar w:left="1060" w:top="878"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440"/>
          </w:cols>
          <w:pgMar w:left="1060" w:top="878" w:right="139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60" w:firstLine="324"/>
        <w:spacing w:after="0" w:line="279" w:lineRule="auto"/>
        <w:rPr>
          <w:sz w:val="20"/>
          <w:szCs w:val="20"/>
          <w:color w:val="auto"/>
        </w:rPr>
      </w:pPr>
      <w:r>
        <w:rPr>
          <w:rFonts w:ascii="Arial" w:cs="Arial" w:eastAsia="Arial" w:hAnsi="Arial"/>
          <w:sz w:val="16"/>
          <w:szCs w:val="16"/>
          <w:color w:val="auto"/>
        </w:rPr>
        <w:t>All costs incurred related to severance costs to reduce headcount, including customary and routine adjustments to initial estimates for employee separation costs, as well as costs to close certain facilities are recorded in Restructuring and related (credits) charges in the Company’s Condensed Consolidated Statements of Income. The credits recognized in the nine months ended September 30, 2022 reflect customary and routine adjustments to initial estimates for employee separation costs. At this time, the Company does not expect to incur material additional costs under the QH Program. As described in Note 4 of the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pacing w:after="0" w:line="55" w:lineRule="exact"/>
        <w:rPr>
          <w:sz w:val="20"/>
          <w:szCs w:val="20"/>
          <w:color w:val="auto"/>
        </w:rPr>
      </w:pPr>
    </w:p>
    <w:p>
      <w:pPr>
        <w:ind w:left="20" w:right="260" w:firstLine="324"/>
        <w:spacing w:after="0" w:line="261" w:lineRule="auto"/>
        <w:rPr>
          <w:sz w:val="20"/>
          <w:szCs w:val="20"/>
          <w:color w:val="auto"/>
        </w:rPr>
      </w:pPr>
      <w:r>
        <w:rPr>
          <w:rFonts w:ascii="Arial" w:cs="Arial" w:eastAsia="Arial" w:hAnsi="Arial"/>
          <w:sz w:val="18"/>
          <w:szCs w:val="18"/>
          <w:color w:val="auto"/>
        </w:rPr>
        <w:t>Activity in the Company’s accrual for restructuring under the QH Program for the nine months ended September 30, 2022 is as follows:</w:t>
      </w:r>
    </w:p>
    <w:p>
      <w:pPr>
        <w:spacing w:after="0" w:line="7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64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QH Program</w:t>
            </w:r>
          </w:p>
        </w:tc>
      </w:tr>
      <w:tr>
        <w:trPr>
          <w:trHeight w:val="20"/>
        </w:trPr>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7640" w:type="dxa"/>
            <w:vAlign w:val="bottom"/>
            <w:shd w:val="clear" w:color="auto" w:fill="B7E5FF"/>
          </w:tcPr>
          <w:p>
            <w:pPr>
              <w:ind w:left="40"/>
              <w:spacing w:after="0" w:line="202" w:lineRule="exact"/>
              <w:rPr>
                <w:sz w:val="20"/>
                <w:szCs w:val="20"/>
                <w:color w:val="auto"/>
              </w:rPr>
            </w:pPr>
            <w:r>
              <w:rPr>
                <w:rFonts w:ascii="Arial" w:cs="Arial" w:eastAsia="Arial" w:hAnsi="Arial"/>
                <w:sz w:val="18"/>
                <w:szCs w:val="18"/>
                <w:color w:val="auto"/>
              </w:rPr>
              <w:t>Accrued restructuring as of December 31, 2021</w:t>
            </w:r>
          </w:p>
        </w:tc>
        <w:tc>
          <w:tcPr>
            <w:tcW w:w="160" w:type="dxa"/>
            <w:vAlign w:val="bottom"/>
            <w:gridSpan w:val="3"/>
            <w:shd w:val="clear" w:color="auto" w:fill="B7E5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4,087</w:t>
            </w:r>
          </w:p>
        </w:tc>
      </w:tr>
      <w:tr>
        <w:trPr>
          <w:trHeight w:val="229"/>
        </w:trPr>
        <w:tc>
          <w:tcPr>
            <w:tcW w:w="4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Restructuring and related (credits)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43"/>
        </w:trPr>
        <w:tc>
          <w:tcPr>
            <w:tcW w:w="40" w:type="dxa"/>
            <w:vAlign w:val="bottom"/>
          </w:tcPr>
          <w:p>
            <w:pPr>
              <w:spacing w:after="0"/>
              <w:rPr>
                <w:sz w:val="21"/>
                <w:szCs w:val="21"/>
                <w:color w:val="auto"/>
              </w:rPr>
            </w:pPr>
          </w:p>
        </w:tc>
        <w:tc>
          <w:tcPr>
            <w:tcW w:w="7640" w:type="dxa"/>
            <w:vAlign w:val="bottom"/>
            <w:shd w:val="clear" w:color="auto" w:fill="B7E5FF"/>
          </w:tcPr>
          <w:p>
            <w:pPr>
              <w:ind w:left="200"/>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(1,234)</w:t>
            </w:r>
          </w:p>
        </w:tc>
      </w:tr>
      <w:tr>
        <w:trPr>
          <w:trHeight w:val="229"/>
        </w:trPr>
        <w:tc>
          <w:tcPr>
            <w:tcW w:w="40" w:type="dxa"/>
            <w:vAlign w:val="bottom"/>
          </w:tcPr>
          <w:p>
            <w:pPr>
              <w:spacing w:after="0"/>
              <w:rPr>
                <w:sz w:val="19"/>
                <w:szCs w:val="19"/>
                <w:color w:val="auto"/>
              </w:rPr>
            </w:pPr>
          </w:p>
        </w:tc>
        <w:tc>
          <w:tcPr>
            <w:tcW w:w="7640" w:type="dxa"/>
            <w:vAlign w:val="bottom"/>
            <w:tcBorders>
              <w:bottom w:val="single" w:sz="8" w:color="B7E5FF"/>
            </w:tcBorders>
          </w:tcPr>
          <w:p>
            <w:pPr>
              <w:ind w:left="1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r>
      <w:tr>
        <w:trPr>
          <w:trHeight w:val="20"/>
        </w:trPr>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7640" w:type="dxa"/>
            <w:vAlign w:val="bottom"/>
            <w:shd w:val="clear" w:color="auto" w:fill="B7E5FF"/>
          </w:tcPr>
          <w:p>
            <w:pPr>
              <w:ind w:left="40"/>
              <w:spacing w:after="0"/>
              <w:rPr>
                <w:sz w:val="20"/>
                <w:szCs w:val="20"/>
                <w:color w:val="auto"/>
              </w:rPr>
            </w:pPr>
            <w:r>
              <w:rPr>
                <w:rFonts w:ascii="Arial" w:cs="Arial" w:eastAsia="Arial" w:hAnsi="Arial"/>
                <w:sz w:val="18"/>
                <w:szCs w:val="18"/>
                <w:color w:val="auto"/>
              </w:rPr>
              <w:t>Accrued restructuring as of September 30, 2022</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1,798</w:t>
            </w:r>
          </w:p>
        </w:tc>
      </w:tr>
      <w:tr>
        <w:trPr>
          <w:trHeight w:val="20"/>
        </w:trPr>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left="20" w:right="160" w:firstLine="324"/>
        <w:spacing w:after="0" w:line="276" w:lineRule="auto"/>
        <w:rPr>
          <w:sz w:val="20"/>
          <w:szCs w:val="20"/>
          <w:color w:val="auto"/>
        </w:rPr>
      </w:pPr>
      <w:r>
        <w:rPr>
          <w:rFonts w:ascii="Arial" w:cs="Arial" w:eastAsia="Arial" w:hAnsi="Arial"/>
          <w:sz w:val="18"/>
          <w:szCs w:val="18"/>
          <w:color w:val="auto"/>
        </w:rPr>
        <w:t>The Company recognized the following share-based compensation expense in its Condensed Consolidated Statements of Income for the three and nine months ended September 30, 2022 and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0" w:type="dxa"/>
            <w:vAlign w:val="bottom"/>
          </w:tcPr>
          <w:p>
            <w:pPr>
              <w:spacing w:after="0"/>
              <w:rPr>
                <w:sz w:val="18"/>
                <w:szCs w:val="18"/>
                <w:color w:val="auto"/>
              </w:rPr>
            </w:pPr>
          </w:p>
        </w:tc>
        <w:tc>
          <w:tcPr>
            <w:tcW w:w="4640" w:type="dxa"/>
            <w:vAlign w:val="bottom"/>
            <w:tcBorders>
              <w:bottom w:val="single" w:sz="8" w:color="B7E5FF"/>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shd w:val="clear" w:color="auto" w:fill="B7E5FF"/>
          </w:tcPr>
          <w:p>
            <w:pPr>
              <w:ind w:left="20"/>
              <w:spacing w:after="0" w:line="203" w:lineRule="exact"/>
              <w:rPr>
                <w:sz w:val="20"/>
                <w:szCs w:val="20"/>
                <w:color w:val="auto"/>
              </w:rPr>
            </w:pPr>
            <w:r>
              <w:rPr>
                <w:rFonts w:ascii="Arial" w:cs="Arial" w:eastAsia="Arial" w:hAnsi="Arial"/>
                <w:sz w:val="18"/>
                <w:szCs w:val="18"/>
                <w:color w:val="auto"/>
              </w:rPr>
              <w:t>Stock options</w:t>
            </w:r>
          </w:p>
        </w:tc>
        <w:tc>
          <w:tcPr>
            <w:tcW w:w="26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533</w:t>
            </w:r>
          </w:p>
        </w:tc>
        <w:tc>
          <w:tcPr>
            <w:tcW w:w="80" w:type="dxa"/>
            <w:vAlign w:val="bottom"/>
            <w:shd w:val="clear" w:color="auto" w:fill="B7E5FF"/>
          </w:tcPr>
          <w:p>
            <w:pPr>
              <w:spacing w:after="0"/>
              <w:rPr>
                <w:sz w:val="17"/>
                <w:szCs w:val="17"/>
                <w:color w:val="auto"/>
              </w:rPr>
            </w:pPr>
          </w:p>
        </w:tc>
        <w:tc>
          <w:tcPr>
            <w:tcW w:w="240" w:type="dxa"/>
            <w:vAlign w:val="bottom"/>
            <w:gridSpan w:val="2"/>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298</w:t>
            </w:r>
          </w:p>
        </w:tc>
        <w:tc>
          <w:tcPr>
            <w:tcW w:w="22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1,269</w:t>
            </w:r>
          </w:p>
        </w:tc>
        <w:tc>
          <w:tcPr>
            <w:tcW w:w="60" w:type="dxa"/>
            <w:vAlign w:val="bottom"/>
            <w:shd w:val="clear" w:color="auto" w:fill="B7E5FF"/>
          </w:tcPr>
          <w:p>
            <w:pPr>
              <w:spacing w:after="0"/>
              <w:rPr>
                <w:sz w:val="17"/>
                <w:szCs w:val="17"/>
                <w:color w:val="auto"/>
              </w:rPr>
            </w:pPr>
          </w:p>
        </w:tc>
        <w:tc>
          <w:tcPr>
            <w:tcW w:w="24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line="203" w:lineRule="exact"/>
              <w:rPr>
                <w:sz w:val="20"/>
                <w:szCs w:val="20"/>
                <w:color w:val="auto"/>
              </w:rPr>
            </w:pPr>
            <w:r>
              <w:rPr>
                <w:rFonts w:ascii="Arial" w:cs="Arial" w:eastAsia="Arial" w:hAnsi="Arial"/>
                <w:sz w:val="18"/>
                <w:szCs w:val="18"/>
                <w:color w:val="auto"/>
              </w:rPr>
              <w:t>938</w:t>
            </w:r>
          </w:p>
        </w:tc>
      </w:tr>
      <w:tr>
        <w:trPr>
          <w:trHeight w:val="243"/>
        </w:trPr>
        <w:tc>
          <w:tcPr>
            <w:tcW w:w="4680" w:type="dxa"/>
            <w:vAlign w:val="bottom"/>
            <w:gridSpan w:val="2"/>
          </w:tcPr>
          <w:p>
            <w:pPr>
              <w:spacing w:after="0"/>
              <w:rPr>
                <w:sz w:val="20"/>
                <w:szCs w:val="20"/>
                <w:color w:val="auto"/>
              </w:rPr>
            </w:pPr>
            <w:r>
              <w:rPr>
                <w:rFonts w:ascii="Arial" w:cs="Arial" w:eastAsia="Arial" w:hAnsi="Arial"/>
                <w:sz w:val="18"/>
                <w:szCs w:val="18"/>
                <w:color w:val="auto"/>
              </w:rPr>
              <w:t>Non-vested stock awards and restricted stock units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3,963</w:t>
            </w:r>
          </w:p>
        </w:tc>
      </w:tr>
      <w:tr>
        <w:trPr>
          <w:trHeight w:val="243"/>
        </w:trPr>
        <w:tc>
          <w:tcPr>
            <w:tcW w:w="40" w:type="dxa"/>
            <w:vAlign w:val="bottom"/>
          </w:tcPr>
          <w:p>
            <w:pPr>
              <w:spacing w:after="0"/>
              <w:rPr>
                <w:sz w:val="21"/>
                <w:szCs w:val="21"/>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2"/>
              </w:rPr>
              <w:t>Non-elective and elective 401(k) matching contribution in stock</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1,553</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Director stock ownership plan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30"/>
        </w:trPr>
        <w:tc>
          <w:tcPr>
            <w:tcW w:w="40" w:type="dxa"/>
            <w:vAlign w:val="bottom"/>
          </w:tcPr>
          <w:p>
            <w:pPr>
              <w:spacing w:after="0"/>
              <w:rPr>
                <w:sz w:val="19"/>
                <w:szCs w:val="19"/>
                <w:color w:val="auto"/>
              </w:rPr>
            </w:pPr>
          </w:p>
        </w:tc>
        <w:tc>
          <w:tcPr>
            <w:tcW w:w="4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Performance stock units</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491</w:t>
            </w: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2,314</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1,327</w:t>
            </w:r>
          </w:p>
        </w:tc>
      </w:tr>
      <w:tr>
        <w:trPr>
          <w:trHeight w:val="236"/>
        </w:trPr>
        <w:tc>
          <w:tcPr>
            <w:tcW w:w="468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3,200</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2,307</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8,634</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8,441</w:t>
            </w: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0" w:right="80" w:firstLine="324"/>
        <w:spacing w:after="0" w:line="277" w:lineRule="auto"/>
        <w:rPr>
          <w:sz w:val="20"/>
          <w:szCs w:val="20"/>
          <w:color w:val="auto"/>
        </w:rPr>
      </w:pPr>
      <w:r>
        <w:rPr>
          <w:rFonts w:ascii="Arial" w:cs="Arial" w:eastAsia="Arial" w:hAnsi="Arial"/>
          <w:sz w:val="17"/>
          <w:szCs w:val="17"/>
          <w:color w:val="auto"/>
        </w:rPr>
        <w:t>Share-based compensation expense is recorded in SG&amp;A, except for less than $ 0.1 million and $0.2 million for the three and nine months ended September 30, 2022, respectively, and $0.2 million and $0.7 million for the three and nine months ended September 30, 2021, respectively, recorded within Combination, integration and other acquisition-related expenses.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20" w:right="380" w:firstLine="324"/>
        <w:spacing w:after="0" w:line="277" w:lineRule="auto"/>
        <w:rPr>
          <w:sz w:val="20"/>
          <w:szCs w:val="20"/>
          <w:color w:val="auto"/>
        </w:rPr>
      </w:pPr>
      <w:r>
        <w:rPr>
          <w:rFonts w:ascii="Arial" w:cs="Arial" w:eastAsia="Arial" w:hAnsi="Arial"/>
          <w:sz w:val="17"/>
          <w:szCs w:val="17"/>
          <w:color w:val="auto"/>
        </w:rPr>
        <w:t>During the first nine months of 2022, the Company granted stock options under its long-term incentive plan (“LTIP”) that are subject only to time vesting over a three year period. For the purposes of determining the fair value of stock option awards, the Company used a Black-Scholes option pricing model and the assumptions set forth in the table below:</w:t>
      </w:r>
    </w:p>
    <w:p>
      <w:pPr>
        <w:spacing w:after="0" w:line="7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2022</w:t>
            </w:r>
          </w:p>
        </w:tc>
        <w:tc>
          <w:tcPr>
            <w:tcW w:w="4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July 2022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040" w:type="dxa"/>
            <w:vAlign w:val="bottom"/>
            <w:tcBorders>
              <w:bottom w:val="single" w:sz="8" w:color="B7E5FF"/>
            </w:tcBorders>
          </w:tcPr>
          <w:p>
            <w:pPr>
              <w:spacing w:after="0"/>
              <w:rPr>
                <w:sz w:val="19"/>
                <w:szCs w:val="19"/>
                <w:color w:val="auto"/>
              </w:rPr>
            </w:pPr>
          </w:p>
        </w:tc>
        <w:tc>
          <w:tcPr>
            <w:tcW w:w="180" w:type="dxa"/>
            <w:vAlign w:val="bottom"/>
            <w:tcBorders>
              <w:bottom w:val="single" w:sz="8" w:color="B7E5FF"/>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Grant</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Grant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B7E5FF"/>
            </w:tcBorders>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604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Number of options granted</w:t>
            </w:r>
          </w:p>
        </w:tc>
        <w:tc>
          <w:tcPr>
            <w:tcW w:w="18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27,077</w:t>
            </w:r>
          </w:p>
        </w:tc>
        <w:tc>
          <w:tcPr>
            <w:tcW w:w="400" w:type="dxa"/>
            <w:vAlign w:val="bottom"/>
            <w:shd w:val="clear" w:color="auto" w:fill="B7E5FF"/>
          </w:tcPr>
          <w:p>
            <w:pPr>
              <w:spacing w:after="0"/>
              <w:rPr>
                <w:sz w:val="18"/>
                <w:szCs w:val="18"/>
                <w:color w:val="auto"/>
              </w:rPr>
            </w:pPr>
          </w:p>
        </w:tc>
        <w:tc>
          <w:tcPr>
            <w:tcW w:w="10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4,837</w:t>
            </w:r>
          </w:p>
        </w:tc>
        <w:tc>
          <w:tcPr>
            <w:tcW w:w="60" w:type="dxa"/>
            <w:vAlign w:val="bottom"/>
            <w:shd w:val="clear" w:color="auto" w:fill="B7E5FF"/>
          </w:tcPr>
          <w:p>
            <w:pPr>
              <w:spacing w:after="0"/>
              <w:rPr>
                <w:sz w:val="18"/>
                <w:szCs w:val="18"/>
                <w:color w:val="auto"/>
              </w:rPr>
            </w:pPr>
          </w:p>
        </w:tc>
        <w:tc>
          <w:tcPr>
            <w:tcW w:w="240" w:type="dxa"/>
            <w:vAlign w:val="bottom"/>
            <w:shd w:val="clear" w:color="auto" w:fill="B7E5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Dividend yield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0.79 %</w:t>
            </w:r>
          </w:p>
        </w:tc>
      </w:tr>
      <w:tr>
        <w:trPr>
          <w:trHeight w:val="230"/>
        </w:trPr>
        <w:tc>
          <w:tcPr>
            <w:tcW w:w="40" w:type="dxa"/>
            <w:vAlign w:val="bottom"/>
          </w:tcPr>
          <w:p>
            <w:pPr>
              <w:spacing w:after="0"/>
              <w:rPr>
                <w:sz w:val="19"/>
                <w:szCs w:val="19"/>
                <w:color w:val="auto"/>
              </w:rPr>
            </w:pPr>
          </w:p>
        </w:tc>
        <w:tc>
          <w:tcPr>
            <w:tcW w:w="6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38.60</w:t>
            </w:r>
          </w:p>
        </w:tc>
        <w:tc>
          <w:tcPr>
            <w:tcW w:w="40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40.47</w:t>
            </w:r>
          </w:p>
        </w:tc>
        <w:tc>
          <w:tcPr>
            <w:tcW w:w="30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w w:val="99"/>
              </w:rPr>
              <w:t>%</w:t>
            </w:r>
          </w:p>
        </w:tc>
      </w:tr>
      <w:tr>
        <w:trPr>
          <w:trHeight w:val="229"/>
        </w:trPr>
        <w:tc>
          <w:tcPr>
            <w:tcW w:w="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6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r>
    </w:tbl>
    <w:p>
      <w:pPr>
        <w:spacing w:after="0" w:line="94" w:lineRule="exact"/>
        <w:rPr>
          <w:sz w:val="20"/>
          <w:szCs w:val="20"/>
          <w:color w:val="auto"/>
        </w:rPr>
      </w:pPr>
    </w:p>
    <w:p>
      <w:pPr>
        <w:ind w:left="20" w:right="260" w:firstLine="324"/>
        <w:spacing w:after="0" w:line="255" w:lineRule="auto"/>
        <w:rPr>
          <w:sz w:val="20"/>
          <w:szCs w:val="20"/>
          <w:color w:val="auto"/>
        </w:rPr>
      </w:pPr>
      <w:r>
        <w:rPr>
          <w:rFonts w:ascii="Arial" w:cs="Arial" w:eastAsia="Arial" w:hAnsi="Arial"/>
          <w:sz w:val="18"/>
          <w:szCs w:val="18"/>
          <w:color w:val="auto"/>
        </w:rPr>
        <w:t>The fair value of these options is amortized on a straight-line basis over the vesting period. As of September 30, 2022, unrecognized compensation expense related to all stock options granted was $ 2.0 million, to be recognized over a weighted average remaining period of 1.5 years.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60"/>
          </w:cols>
          <w:pgMar w:left="1040" w:top="878" w:right="1099" w:bottom="1440" w:gutter="0" w:footer="0" w:header="0"/>
          <w:type w:val="continuous"/>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04"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During the nine months ended September 30, 2022, the Company granted 35,846 non-vested restricted shares and 4,490 non-vested restricted stock units under its LTIP, which are subject to time-based vesting, generally over a three year period. The fair value of these grants is based on the trading price of the Company’s common stock on the date of grant. The Company adjusts the grant date fair value of these awards for expected forfeitures based on historical experience. As of September 30, 2022, unrecognized compensation expense related to the non-vested restricted shares was $5.9 million, to be recognized over a weighted average remaining period of 1.6 years, and unrecognized compensation expense related to non-vested restricted stock units was $1.0 million, to be recognized over a weighted average remaining period of 1.9 years.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right="180" w:firstLine="324"/>
        <w:spacing w:after="0" w:line="283" w:lineRule="auto"/>
        <w:rPr>
          <w:sz w:val="20"/>
          <w:szCs w:val="20"/>
          <w:color w:val="auto"/>
        </w:rPr>
      </w:pPr>
      <w:r>
        <w:rPr>
          <w:rFonts w:ascii="Arial" w:cs="Arial" w:eastAsia="Arial" w:hAnsi="Arial"/>
          <w:sz w:val="16"/>
          <w:szCs w:val="16"/>
          <w:color w:val="auto"/>
        </w:rPr>
        <w:t>The Company grants performance-dependent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generally from January 1 of the year of grant through December 31 of the year prior to issuance of the shares upon settlement.</w:t>
      </w:r>
    </w:p>
    <w:p>
      <w:pPr>
        <w:spacing w:after="0" w:line="48" w:lineRule="exact"/>
        <w:rPr>
          <w:sz w:val="20"/>
          <w:szCs w:val="20"/>
          <w:color w:val="auto"/>
        </w:rPr>
      </w:pPr>
    </w:p>
    <w:p>
      <w:pPr>
        <w:jc w:val="both"/>
        <w:ind w:right="200" w:firstLine="324"/>
        <w:spacing w:after="0" w:line="255" w:lineRule="auto"/>
        <w:rPr>
          <w:sz w:val="20"/>
          <w:szCs w:val="20"/>
          <w:color w:val="auto"/>
        </w:rPr>
      </w:pPr>
      <w:r>
        <w:rPr>
          <w:rFonts w:ascii="Arial" w:cs="Arial" w:eastAsia="Arial" w:hAnsi="Arial"/>
          <w:sz w:val="18"/>
          <w:szCs w:val="18"/>
          <w:color w:val="auto"/>
        </w:rPr>
        <w:t>Compensation expense for PSUs is measured based on their grant date fair value and is recognized on a straight-line basis over the three year vesting period. The grant-date fair value of the PSUs was estimated using a Monte Carlo simulation on the grant date and using the following assumptions set forth in the table below:</w:t>
      </w:r>
    </w:p>
    <w:p>
      <w:pPr>
        <w:spacing w:after="0" w:line="7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400" w:type="dxa"/>
            <w:vAlign w:val="bottom"/>
            <w:tcBorders>
              <w:bottom w:val="single" w:sz="8" w:color="B7E5FF"/>
            </w:tcBorders>
          </w:tcPr>
          <w:p>
            <w:pPr>
              <w:spacing w:after="0"/>
              <w:rPr>
                <w:sz w:val="21"/>
                <w:szCs w:val="21"/>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Grants</w:t>
            </w: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B7E5FF"/>
            </w:tcBorders>
          </w:tcPr>
          <w:p>
            <w:pPr>
              <w:spacing w:after="0"/>
              <w:rPr>
                <w:sz w:val="21"/>
                <w:szCs w:val="21"/>
                <w:color w:val="auto"/>
              </w:rPr>
            </w:pPr>
          </w:p>
        </w:tc>
      </w:tr>
      <w:tr>
        <w:trPr>
          <w:trHeight w:val="210"/>
        </w:trPr>
        <w:tc>
          <w:tcPr>
            <w:tcW w:w="40" w:type="dxa"/>
            <w:vAlign w:val="bottom"/>
          </w:tcPr>
          <w:p>
            <w:pPr>
              <w:spacing w:after="0"/>
              <w:rPr>
                <w:sz w:val="18"/>
                <w:szCs w:val="18"/>
                <w:color w:val="auto"/>
              </w:rPr>
            </w:pPr>
          </w:p>
        </w:tc>
        <w:tc>
          <w:tcPr>
            <w:tcW w:w="7400" w:type="dxa"/>
            <w:vAlign w:val="bottom"/>
            <w:shd w:val="clear" w:color="auto" w:fill="B7E5FF"/>
          </w:tcPr>
          <w:p>
            <w:pPr>
              <w:spacing w:after="0"/>
              <w:rPr>
                <w:sz w:val="20"/>
                <w:szCs w:val="20"/>
                <w:color w:val="auto"/>
              </w:rPr>
            </w:pPr>
            <w:r>
              <w:rPr>
                <w:rFonts w:ascii="Arial" w:cs="Arial" w:eastAsia="Arial" w:hAnsi="Arial"/>
                <w:sz w:val="18"/>
                <w:szCs w:val="18"/>
                <w:color w:val="auto"/>
              </w:rPr>
              <w:t>Number of PSUs granted</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18,462</w:t>
            </w:r>
          </w:p>
        </w:tc>
        <w:tc>
          <w:tcPr>
            <w:tcW w:w="80" w:type="dxa"/>
            <w:vAlign w:val="bottom"/>
            <w:shd w:val="clear" w:color="auto" w:fill="B7E5FF"/>
          </w:tcPr>
          <w:p>
            <w:pPr>
              <w:spacing w:after="0"/>
              <w:rPr>
                <w:sz w:val="18"/>
                <w:szCs w:val="18"/>
                <w:color w:val="auto"/>
              </w:rPr>
            </w:pPr>
          </w:p>
        </w:tc>
        <w:tc>
          <w:tcPr>
            <w:tcW w:w="240" w:type="dxa"/>
            <w:vAlign w:val="bottom"/>
            <w:shd w:val="clear" w:color="auto" w:fill="B7E5FF"/>
          </w:tcPr>
          <w:p>
            <w:pPr>
              <w:spacing w:after="0"/>
              <w:rPr>
                <w:sz w:val="18"/>
                <w:szCs w:val="18"/>
                <w:color w:val="auto"/>
              </w:rPr>
            </w:pPr>
          </w:p>
        </w:tc>
      </w:tr>
      <w:tr>
        <w:trPr>
          <w:trHeight w:val="243"/>
        </w:trPr>
        <w:tc>
          <w:tcPr>
            <w:tcW w:w="74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shd w:val="clear" w:color="auto" w:fill="B7E5FF"/>
          </w:tcPr>
          <w:p>
            <w:pPr>
              <w:ind w:left="20"/>
              <w:spacing w:after="0"/>
              <w:rPr>
                <w:sz w:val="20"/>
                <w:szCs w:val="20"/>
                <w:color w:val="auto"/>
              </w:rPr>
            </w:pPr>
            <w:r>
              <w:rPr>
                <w:rFonts w:ascii="Arial" w:cs="Arial" w:eastAsia="Arial" w:hAnsi="Arial"/>
                <w:sz w:val="18"/>
                <w:szCs w:val="18"/>
                <w:color w:val="auto"/>
              </w:rPr>
              <w:t>Dividend yield</w:t>
            </w:r>
          </w:p>
        </w:tc>
        <w:tc>
          <w:tcPr>
            <w:tcW w:w="11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B7E5FF"/>
          </w:tcPr>
          <w:p>
            <w:pPr>
              <w:spacing w:after="0"/>
              <w:rPr>
                <w:sz w:val="21"/>
                <w:szCs w:val="21"/>
                <w:color w:val="auto"/>
              </w:rPr>
            </w:pPr>
          </w:p>
        </w:tc>
        <w:tc>
          <w:tcPr>
            <w:tcW w:w="2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4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Expected term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108" w:lineRule="exact"/>
        <w:rPr>
          <w:sz w:val="20"/>
          <w:szCs w:val="20"/>
          <w:color w:val="auto"/>
        </w:rPr>
      </w:pPr>
    </w:p>
    <w:p>
      <w:pPr>
        <w:jc w:val="both"/>
        <w:ind w:right="100" w:firstLine="324"/>
        <w:spacing w:after="0" w:line="248" w:lineRule="auto"/>
        <w:rPr>
          <w:sz w:val="20"/>
          <w:szCs w:val="20"/>
          <w:color w:val="auto"/>
        </w:rPr>
      </w:pPr>
      <w:r>
        <w:rPr>
          <w:rFonts w:ascii="Arial" w:cs="Arial" w:eastAsia="Arial" w:hAnsi="Arial"/>
          <w:sz w:val="18"/>
          <w:szCs w:val="18"/>
          <w:color w:val="auto"/>
        </w:rPr>
        <w:t>As of September 30, 2022, based on the conditions of the PSUs and performance to date for each award, the Company estimates that it will not issue any fully vested shares as of the applicable settlement date of all outstanding PSUs awards. As of September 30, 2022, there was approximately $ 4.8 million of total unrecognized compensation cost related to PSUs which the Company expects to recognize over a weighted-average period of 2.0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04"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Beginning in April 2020 and continuing through March 2021, the Company matched both non-elective and elective 401(k) contributions in fully vested shares of the Company’s common stock rather than cash. There were no matching contributions in stock for the three and nine months ended September 30, 2022. For the nine months ended September 30, 2021, total contributions were $ 1.5 million.</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80"/>
          </w:cols>
          <w:pgMar w:left="1060" w:top="878" w:right="115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108" w:lineRule="exact"/>
        <w:rPr>
          <w:sz w:val="20"/>
          <w:szCs w:val="20"/>
          <w:color w:val="auto"/>
        </w:rPr>
      </w:pPr>
    </w:p>
    <w:p>
      <w:pPr>
        <w:ind w:left="20" w:right="320" w:firstLine="324"/>
        <w:spacing w:after="0" w:line="276" w:lineRule="auto"/>
        <w:rPr>
          <w:sz w:val="20"/>
          <w:szCs w:val="20"/>
          <w:color w:val="auto"/>
        </w:rPr>
      </w:pPr>
      <w:r>
        <w:rPr>
          <w:rFonts w:ascii="Arial" w:cs="Arial" w:eastAsia="Arial" w:hAnsi="Arial"/>
          <w:sz w:val="18"/>
          <w:szCs w:val="18"/>
          <w:color w:val="auto"/>
        </w:rPr>
        <w:t>The components of net periodic benefit (income) cost for the three and nine months ended September 30, 2022 and 2021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1"/>
          </w:tcPr>
          <w:p>
            <w:pPr>
              <w:jc w:val="right"/>
              <w:ind w:right="410"/>
              <w:spacing w:after="0"/>
              <w:rPr>
                <w:sz w:val="20"/>
                <w:szCs w:val="20"/>
                <w:color w:val="auto"/>
              </w:rPr>
            </w:pPr>
            <w:r>
              <w:rPr>
                <w:rFonts w:ascii="Arial" w:cs="Arial" w:eastAsia="Arial" w:hAnsi="Arial"/>
                <w:sz w:val="18"/>
                <w:szCs w:val="18"/>
                <w:b w:val="1"/>
                <w:bCs w:val="1"/>
                <w:color w:val="auto"/>
                <w:w w:val="98"/>
              </w:rPr>
              <w:t>Three Months Ended September 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1"/>
          </w:tcPr>
          <w:p>
            <w:pPr>
              <w:jc w:val="right"/>
              <w:ind w:right="45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32"/>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5"/>
              </w:rPr>
              <w:t>Other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5"/>
              </w:rPr>
              <w:t>Other</w:t>
            </w:r>
          </w:p>
        </w:tc>
        <w:tc>
          <w:tcPr>
            <w:tcW w:w="58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r>
      <w:tr>
        <w:trPr>
          <w:trHeight w:val="22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88"/>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7"/>
              </w:rPr>
              <w:t>Benefits</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7"/>
              </w:rPr>
              <w:t>Benefits</w:t>
            </w:r>
          </w:p>
        </w:tc>
        <w:tc>
          <w:tcPr>
            <w:tcW w:w="580" w:type="dxa"/>
            <w:vAlign w:val="bottom"/>
            <w:tcBorders>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2200" w:type="dxa"/>
            <w:vAlign w:val="bottom"/>
            <w:tcBorders>
              <w:bottom w:val="single" w:sz="8" w:color="B9E5FF"/>
            </w:tcBorders>
          </w:tcPr>
          <w:p>
            <w:pPr>
              <w:spacing w:after="0"/>
              <w:rPr>
                <w:sz w:val="18"/>
                <w:szCs w:val="18"/>
                <w:color w:val="auto"/>
              </w:rPr>
            </w:pPr>
          </w:p>
        </w:tc>
        <w:tc>
          <w:tcPr>
            <w:tcW w:w="8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2021</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0" w:type="dxa"/>
            <w:vAlign w:val="bottom"/>
            <w:shd w:val="clear" w:color="auto" w:fill="B9E5FF"/>
          </w:tcPr>
          <w:p>
            <w:pPr>
              <w:ind w:left="20"/>
              <w:spacing w:after="0" w:line="203" w:lineRule="exact"/>
              <w:rPr>
                <w:sz w:val="20"/>
                <w:szCs w:val="20"/>
                <w:color w:val="auto"/>
              </w:rPr>
            </w:pPr>
            <w:r>
              <w:rPr>
                <w:rFonts w:ascii="Arial" w:cs="Arial" w:eastAsia="Arial" w:hAnsi="Arial"/>
                <w:sz w:val="18"/>
                <w:szCs w:val="18"/>
                <w:color w:val="auto"/>
              </w:rPr>
              <w:t>Service cost (income)</w:t>
            </w:r>
          </w:p>
        </w:tc>
        <w:tc>
          <w:tcPr>
            <w:tcW w:w="220" w:type="dxa"/>
            <w:vAlign w:val="bottom"/>
            <w:gridSpan w:val="3"/>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line="203" w:lineRule="exact"/>
              <w:rPr>
                <w:sz w:val="20"/>
                <w:szCs w:val="20"/>
                <w:color w:val="auto"/>
              </w:rPr>
            </w:pPr>
            <w:r>
              <w:rPr>
                <w:rFonts w:ascii="Arial" w:cs="Arial" w:eastAsia="Arial" w:hAnsi="Arial"/>
                <w:sz w:val="18"/>
                <w:szCs w:val="18"/>
                <w:color w:val="auto"/>
              </w:rPr>
              <w:t>166</w:t>
            </w:r>
          </w:p>
        </w:tc>
        <w:tc>
          <w:tcPr>
            <w:tcW w:w="260" w:type="dxa"/>
            <w:vAlign w:val="bottom"/>
            <w:gridSpan w:val="2"/>
            <w:shd w:val="clear" w:color="auto" w:fill="B9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289</w:t>
            </w:r>
          </w:p>
        </w:tc>
        <w:tc>
          <w:tcPr>
            <w:tcW w:w="260" w:type="dxa"/>
            <w:vAlign w:val="bottom"/>
            <w:gridSpan w:val="2"/>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360" w:type="dxa"/>
            <w:vAlign w:val="bottom"/>
            <w:gridSpan w:val="3"/>
            <w:shd w:val="clear" w:color="auto" w:fill="B9E5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spacing w:after="0" w:line="203" w:lineRule="exact"/>
              <w:rPr>
                <w:sz w:val="20"/>
                <w:szCs w:val="20"/>
                <w:color w:val="auto"/>
              </w:rPr>
            </w:pPr>
            <w:r>
              <w:rPr>
                <w:rFonts w:ascii="Arial" w:cs="Arial" w:eastAsia="Arial" w:hAnsi="Arial"/>
                <w:sz w:val="18"/>
                <w:szCs w:val="18"/>
                <w:color w:val="auto"/>
              </w:rPr>
              <w:t>(2)</w:t>
            </w:r>
          </w:p>
        </w:tc>
        <w:tc>
          <w:tcPr>
            <w:tcW w:w="260" w:type="dxa"/>
            <w:vAlign w:val="bottom"/>
            <w:gridSpan w:val="3"/>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line="203" w:lineRule="exact"/>
              <w:rPr>
                <w:sz w:val="20"/>
                <w:szCs w:val="20"/>
                <w:color w:val="auto"/>
              </w:rPr>
            </w:pPr>
            <w:r>
              <w:rPr>
                <w:rFonts w:ascii="Arial" w:cs="Arial" w:eastAsia="Arial" w:hAnsi="Arial"/>
                <w:sz w:val="18"/>
                <w:szCs w:val="18"/>
                <w:color w:val="auto"/>
              </w:rPr>
              <w:t>520</w:t>
            </w:r>
          </w:p>
        </w:tc>
        <w:tc>
          <w:tcPr>
            <w:tcW w:w="260" w:type="dxa"/>
            <w:vAlign w:val="bottom"/>
            <w:gridSpan w:val="2"/>
            <w:shd w:val="clear" w:color="auto" w:fill="B9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921</w:t>
            </w:r>
          </w:p>
        </w:tc>
        <w:tc>
          <w:tcPr>
            <w:tcW w:w="260" w:type="dxa"/>
            <w:vAlign w:val="bottom"/>
            <w:gridSpan w:val="2"/>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1</w:t>
            </w:r>
          </w:p>
        </w:tc>
        <w:tc>
          <w:tcPr>
            <w:tcW w:w="360" w:type="dxa"/>
            <w:vAlign w:val="bottom"/>
            <w:gridSpan w:val="3"/>
            <w:shd w:val="clear" w:color="auto" w:fill="B9E5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10"/>
              <w:spacing w:after="0" w:line="203" w:lineRule="exact"/>
              <w:rPr>
                <w:sz w:val="20"/>
                <w:szCs w:val="20"/>
                <w:color w:val="auto"/>
              </w:rPr>
            </w:pPr>
            <w:r>
              <w:rPr>
                <w:rFonts w:ascii="Arial" w:cs="Arial" w:eastAsia="Arial" w:hAnsi="Arial"/>
                <w:sz w:val="18"/>
                <w:szCs w:val="18"/>
                <w:color w:val="auto"/>
              </w:rPr>
              <w:t>1</w:t>
            </w: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Interest cost (income)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3,949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w w:val="87"/>
              </w:rPr>
              <w:t>Expected return on plan assets</w:t>
            </w:r>
          </w:p>
        </w:tc>
        <w:tc>
          <w:tcPr>
            <w:tcW w:w="8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(1,942)</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(6,038)</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r>
      <w:tr>
        <w:trPr>
          <w:trHeight w:val="189"/>
        </w:trPr>
        <w:tc>
          <w:tcPr>
            <w:tcW w:w="40" w:type="dxa"/>
            <w:vAlign w:val="bottom"/>
          </w:tcPr>
          <w:p>
            <w:pPr>
              <w:spacing w:after="0"/>
              <w:rPr>
                <w:sz w:val="16"/>
                <w:szCs w:val="16"/>
                <w:color w:val="auto"/>
              </w:rPr>
            </w:pPr>
          </w:p>
        </w:tc>
        <w:tc>
          <w:tcPr>
            <w:tcW w:w="2200" w:type="dxa"/>
            <w:vAlign w:val="bottom"/>
          </w:tcPr>
          <w:p>
            <w:pPr>
              <w:ind w:left="20"/>
              <w:spacing w:after="0" w:line="189" w:lineRule="exact"/>
              <w:rPr>
                <w:sz w:val="20"/>
                <w:szCs w:val="20"/>
                <w:color w:val="auto"/>
              </w:rPr>
            </w:pPr>
            <w:r>
              <w:rPr>
                <w:rFonts w:ascii="Arial" w:cs="Arial" w:eastAsia="Arial" w:hAnsi="Arial"/>
                <w:sz w:val="18"/>
                <w:szCs w:val="18"/>
                <w:color w:val="auto"/>
              </w:rPr>
              <w:t>Actuarial loss (gain)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3"/>
        </w:trPr>
        <w:tc>
          <w:tcPr>
            <w:tcW w:w="40" w:type="dxa"/>
            <w:vAlign w:val="bottom"/>
          </w:tcPr>
          <w:p>
            <w:pPr>
              <w:spacing w:after="0"/>
              <w:rPr>
                <w:sz w:val="17"/>
                <w:szCs w:val="17"/>
                <w:color w:val="auto"/>
              </w:rPr>
            </w:pPr>
          </w:p>
        </w:tc>
        <w:tc>
          <w:tcPr>
            <w:tcW w:w="2200" w:type="dxa"/>
            <w:vAlign w:val="bottom"/>
            <w:shd w:val="clear" w:color="auto" w:fill="B9E5FF"/>
          </w:tcPr>
          <w:p>
            <w:pPr>
              <w:spacing w:after="0" w:line="202" w:lineRule="exact"/>
              <w:rPr>
                <w:sz w:val="20"/>
                <w:szCs w:val="20"/>
                <w:color w:val="auto"/>
              </w:rPr>
            </w:pPr>
            <w:r>
              <w:rPr>
                <w:rFonts w:ascii="Arial" w:cs="Arial" w:eastAsia="Arial" w:hAnsi="Arial"/>
                <w:sz w:val="18"/>
                <w:szCs w:val="18"/>
                <w:color w:val="auto"/>
              </w:rPr>
              <w:t>Prior service cost (income)</w:t>
            </w:r>
          </w:p>
        </w:tc>
        <w:tc>
          <w:tcPr>
            <w:tcW w:w="8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680" w:type="dxa"/>
            <w:vAlign w:val="bottom"/>
            <w:shd w:val="clear" w:color="auto" w:fill="B9E5FF"/>
          </w:tcPr>
          <w:p>
            <w:pPr>
              <w:spacing w:after="0"/>
              <w:rPr>
                <w:sz w:val="17"/>
                <w:szCs w:val="17"/>
                <w:color w:val="auto"/>
              </w:rPr>
            </w:pPr>
          </w:p>
        </w:tc>
        <w:tc>
          <w:tcPr>
            <w:tcW w:w="14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70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140" w:type="dxa"/>
            <w:vAlign w:val="bottom"/>
            <w:shd w:val="clear" w:color="auto" w:fill="B9E5FF"/>
          </w:tcPr>
          <w:p>
            <w:pPr>
              <w:spacing w:after="0"/>
              <w:rPr>
                <w:sz w:val="17"/>
                <w:szCs w:val="17"/>
                <w:color w:val="auto"/>
              </w:rPr>
            </w:pPr>
          </w:p>
        </w:tc>
        <w:tc>
          <w:tcPr>
            <w:tcW w:w="68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220" w:type="dxa"/>
            <w:vAlign w:val="bottom"/>
            <w:shd w:val="clear" w:color="auto" w:fill="B9E5FF"/>
          </w:tcPr>
          <w:p>
            <w:pPr>
              <w:spacing w:after="0"/>
              <w:rPr>
                <w:sz w:val="17"/>
                <w:szCs w:val="17"/>
                <w:color w:val="auto"/>
              </w:rPr>
            </w:pPr>
          </w:p>
        </w:tc>
        <w:tc>
          <w:tcPr>
            <w:tcW w:w="58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680" w:type="dxa"/>
            <w:vAlign w:val="bottom"/>
            <w:shd w:val="clear" w:color="auto" w:fill="B9E5FF"/>
          </w:tcPr>
          <w:p>
            <w:pPr>
              <w:spacing w:after="0"/>
              <w:rPr>
                <w:sz w:val="17"/>
                <w:szCs w:val="17"/>
                <w:color w:val="auto"/>
              </w:rPr>
            </w:pPr>
          </w:p>
        </w:tc>
        <w:tc>
          <w:tcPr>
            <w:tcW w:w="14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70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140" w:type="dxa"/>
            <w:vAlign w:val="bottom"/>
            <w:shd w:val="clear" w:color="auto" w:fill="B9E5FF"/>
          </w:tcPr>
          <w:p>
            <w:pPr>
              <w:spacing w:after="0"/>
              <w:rPr>
                <w:sz w:val="17"/>
                <w:szCs w:val="17"/>
                <w:color w:val="auto"/>
              </w:rPr>
            </w:pPr>
          </w:p>
        </w:tc>
        <w:tc>
          <w:tcPr>
            <w:tcW w:w="680" w:type="dxa"/>
            <w:vAlign w:val="bottom"/>
            <w:shd w:val="clear" w:color="auto" w:fill="B9E5FF"/>
          </w:tcPr>
          <w:p>
            <w:pPr>
              <w:spacing w:after="0"/>
              <w:rPr>
                <w:sz w:val="17"/>
                <w:szCs w:val="17"/>
                <w:color w:val="auto"/>
              </w:rPr>
            </w:pPr>
          </w:p>
        </w:tc>
        <w:tc>
          <w:tcPr>
            <w:tcW w:w="12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220" w:type="dxa"/>
            <w:vAlign w:val="bottom"/>
            <w:shd w:val="clear" w:color="auto" w:fill="B9E5FF"/>
          </w:tcPr>
          <w:p>
            <w:pPr>
              <w:spacing w:after="0"/>
              <w:rPr>
                <w:sz w:val="17"/>
                <w:szCs w:val="17"/>
                <w:color w:val="auto"/>
              </w:rPr>
            </w:pPr>
          </w:p>
        </w:tc>
        <w:tc>
          <w:tcPr>
            <w:tcW w:w="580" w:type="dxa"/>
            <w:vAlign w:val="bottom"/>
            <w:shd w:val="clear" w:color="auto" w:fill="B9E5FF"/>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200" w:type="dxa"/>
            <w:vAlign w:val="bottom"/>
            <w:shd w:val="clear" w:color="auto" w:fill="B9E5FF"/>
          </w:tcPr>
          <w:p>
            <w:pPr>
              <w:spacing w:after="0" w:line="202" w:lineRule="exact"/>
              <w:rPr>
                <w:sz w:val="20"/>
                <w:szCs w:val="20"/>
                <w:color w:val="auto"/>
              </w:rPr>
            </w:pPr>
            <w:r>
              <w:rPr>
                <w:rFonts w:ascii="Arial" w:cs="Arial" w:eastAsia="Arial" w:hAnsi="Arial"/>
                <w:sz w:val="18"/>
                <w:szCs w:val="18"/>
                <w:color w:val="auto"/>
              </w:rPr>
              <w:t>amortization</w:t>
            </w:r>
          </w:p>
        </w:tc>
        <w:tc>
          <w:tcPr>
            <w:tcW w:w="8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120" w:type="dxa"/>
            <w:vAlign w:val="bottom"/>
            <w:tcBorders>
              <w:bottom w:val="single" w:sz="8" w:color="auto"/>
            </w:tcBorders>
            <w:shd w:val="clear" w:color="auto" w:fill="B9E5FF"/>
          </w:tcPr>
          <w:p>
            <w:pPr>
              <w:spacing w:after="0"/>
              <w:rPr>
                <w:sz w:val="17"/>
                <w:szCs w:val="17"/>
                <w:color w:val="auto"/>
              </w:rPr>
            </w:pPr>
          </w:p>
        </w:tc>
        <w:tc>
          <w:tcPr>
            <w:tcW w:w="680" w:type="dxa"/>
            <w:vAlign w:val="bottom"/>
            <w:tcBorders>
              <w:bottom w:val="single" w:sz="8" w:color="auto"/>
            </w:tcBorders>
            <w:shd w:val="clear" w:color="auto" w:fill="B9E5FF"/>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B9E5FF"/>
          </w:tcPr>
          <w:p>
            <w:pPr>
              <w:spacing w:after="0"/>
              <w:rPr>
                <w:sz w:val="17"/>
                <w:szCs w:val="17"/>
                <w:color w:val="auto"/>
              </w:rPr>
            </w:pPr>
          </w:p>
        </w:tc>
        <w:tc>
          <w:tcPr>
            <w:tcW w:w="120" w:type="dxa"/>
            <w:vAlign w:val="bottom"/>
            <w:tcBorders>
              <w:bottom w:val="single" w:sz="8" w:color="auto"/>
            </w:tcBorders>
            <w:shd w:val="clear" w:color="auto" w:fill="B9E5FF"/>
          </w:tcPr>
          <w:p>
            <w:pPr>
              <w:spacing w:after="0"/>
              <w:rPr>
                <w:sz w:val="17"/>
                <w:szCs w:val="17"/>
                <w:color w:val="auto"/>
              </w:rPr>
            </w:pPr>
          </w:p>
        </w:tc>
        <w:tc>
          <w:tcPr>
            <w:tcW w:w="700" w:type="dxa"/>
            <w:vAlign w:val="bottom"/>
            <w:tcBorders>
              <w:bottom w:val="single" w:sz="8" w:color="auto"/>
            </w:tcBorders>
            <w:shd w:val="clear" w:color="auto" w:fill="B9E5FF"/>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B9E5FF"/>
          </w:tcPr>
          <w:p>
            <w:pPr>
              <w:spacing w:after="0"/>
              <w:rPr>
                <w:sz w:val="17"/>
                <w:szCs w:val="17"/>
                <w:color w:val="auto"/>
              </w:rPr>
            </w:pPr>
          </w:p>
        </w:tc>
        <w:tc>
          <w:tcPr>
            <w:tcW w:w="140" w:type="dxa"/>
            <w:vAlign w:val="bottom"/>
            <w:tcBorders>
              <w:bottom w:val="single" w:sz="8" w:color="auto"/>
            </w:tcBorders>
            <w:shd w:val="clear" w:color="auto" w:fill="B9E5FF"/>
          </w:tcPr>
          <w:p>
            <w:pPr>
              <w:spacing w:after="0"/>
              <w:rPr>
                <w:sz w:val="17"/>
                <w:szCs w:val="17"/>
                <w:color w:val="auto"/>
              </w:rPr>
            </w:pPr>
          </w:p>
        </w:tc>
        <w:tc>
          <w:tcPr>
            <w:tcW w:w="680" w:type="dxa"/>
            <w:vAlign w:val="bottom"/>
            <w:tcBorders>
              <w:bottom w:val="single" w:sz="8" w:color="auto"/>
            </w:tcBorders>
            <w:shd w:val="clear" w:color="auto" w:fill="B9E5FF"/>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220" w:type="dxa"/>
            <w:vAlign w:val="bottom"/>
            <w:tcBorders>
              <w:bottom w:val="single" w:sz="8" w:color="auto"/>
            </w:tcBorders>
            <w:shd w:val="clear" w:color="auto" w:fill="B9E5FF"/>
          </w:tcPr>
          <w:p>
            <w:pPr>
              <w:spacing w:after="0"/>
              <w:rPr>
                <w:sz w:val="17"/>
                <w:szCs w:val="17"/>
                <w:color w:val="auto"/>
              </w:rPr>
            </w:pPr>
          </w:p>
        </w:tc>
        <w:tc>
          <w:tcPr>
            <w:tcW w:w="580" w:type="dxa"/>
            <w:vAlign w:val="bottom"/>
            <w:tcBorders>
              <w:bottom w:val="single" w:sz="8" w:color="auto"/>
            </w:tcBorders>
            <w:shd w:val="clear" w:color="auto" w:fill="B9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120" w:type="dxa"/>
            <w:vAlign w:val="bottom"/>
            <w:tcBorders>
              <w:bottom w:val="single" w:sz="8" w:color="auto"/>
            </w:tcBorders>
            <w:shd w:val="clear" w:color="auto" w:fill="B9E5FF"/>
          </w:tcPr>
          <w:p>
            <w:pPr>
              <w:spacing w:after="0"/>
              <w:rPr>
                <w:sz w:val="17"/>
                <w:szCs w:val="17"/>
                <w:color w:val="auto"/>
              </w:rPr>
            </w:pPr>
          </w:p>
        </w:tc>
        <w:tc>
          <w:tcPr>
            <w:tcW w:w="680" w:type="dxa"/>
            <w:vAlign w:val="bottom"/>
            <w:tcBorders>
              <w:bottom w:val="single" w:sz="8" w:color="auto"/>
            </w:tcBorders>
            <w:shd w:val="clear" w:color="auto" w:fill="B9E5F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B9E5FF"/>
          </w:tcPr>
          <w:p>
            <w:pPr>
              <w:spacing w:after="0"/>
              <w:rPr>
                <w:sz w:val="17"/>
                <w:szCs w:val="17"/>
                <w:color w:val="auto"/>
              </w:rPr>
            </w:pPr>
          </w:p>
        </w:tc>
        <w:tc>
          <w:tcPr>
            <w:tcW w:w="120" w:type="dxa"/>
            <w:vAlign w:val="bottom"/>
            <w:tcBorders>
              <w:bottom w:val="single" w:sz="8" w:color="auto"/>
            </w:tcBorders>
            <w:shd w:val="clear" w:color="auto" w:fill="B9E5FF"/>
          </w:tcPr>
          <w:p>
            <w:pPr>
              <w:spacing w:after="0"/>
              <w:rPr>
                <w:sz w:val="17"/>
                <w:szCs w:val="17"/>
                <w:color w:val="auto"/>
              </w:rPr>
            </w:pPr>
          </w:p>
        </w:tc>
        <w:tc>
          <w:tcPr>
            <w:tcW w:w="700" w:type="dxa"/>
            <w:vAlign w:val="bottom"/>
            <w:tcBorders>
              <w:bottom w:val="single" w:sz="8" w:color="auto"/>
            </w:tcBorders>
            <w:shd w:val="clear" w:color="auto" w:fill="B9E5FF"/>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B9E5FF"/>
          </w:tcPr>
          <w:p>
            <w:pPr>
              <w:spacing w:after="0"/>
              <w:rPr>
                <w:sz w:val="17"/>
                <w:szCs w:val="17"/>
                <w:color w:val="auto"/>
              </w:rPr>
            </w:pPr>
          </w:p>
        </w:tc>
        <w:tc>
          <w:tcPr>
            <w:tcW w:w="140" w:type="dxa"/>
            <w:vAlign w:val="bottom"/>
            <w:tcBorders>
              <w:bottom w:val="single" w:sz="8" w:color="auto"/>
            </w:tcBorders>
            <w:shd w:val="clear" w:color="auto" w:fill="B9E5FF"/>
          </w:tcPr>
          <w:p>
            <w:pPr>
              <w:spacing w:after="0"/>
              <w:rPr>
                <w:sz w:val="17"/>
                <w:szCs w:val="17"/>
                <w:color w:val="auto"/>
              </w:rPr>
            </w:pPr>
          </w:p>
        </w:tc>
        <w:tc>
          <w:tcPr>
            <w:tcW w:w="680" w:type="dxa"/>
            <w:vAlign w:val="bottom"/>
            <w:tcBorders>
              <w:bottom w:val="single" w:sz="8" w:color="auto"/>
            </w:tcBorders>
            <w:shd w:val="clear" w:color="auto" w:fill="B9E5FF"/>
          </w:tcPr>
          <w:p>
            <w:pPr>
              <w:jc w:val="right"/>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B9E5FF"/>
          </w:tcPr>
          <w:p>
            <w:pPr>
              <w:spacing w:after="0"/>
              <w:rPr>
                <w:sz w:val="17"/>
                <w:szCs w:val="17"/>
                <w:color w:val="auto"/>
              </w:rPr>
            </w:pPr>
          </w:p>
        </w:tc>
        <w:tc>
          <w:tcPr>
            <w:tcW w:w="20" w:type="dxa"/>
            <w:vAlign w:val="bottom"/>
            <w:shd w:val="clear" w:color="auto" w:fill="B9E5FF"/>
          </w:tcPr>
          <w:p>
            <w:pPr>
              <w:spacing w:after="0"/>
              <w:rPr>
                <w:sz w:val="17"/>
                <w:szCs w:val="17"/>
                <w:color w:val="auto"/>
              </w:rPr>
            </w:pPr>
          </w:p>
        </w:tc>
        <w:tc>
          <w:tcPr>
            <w:tcW w:w="220" w:type="dxa"/>
            <w:vAlign w:val="bottom"/>
            <w:tcBorders>
              <w:bottom w:val="single" w:sz="8" w:color="auto"/>
            </w:tcBorders>
            <w:shd w:val="clear" w:color="auto" w:fill="B9E5FF"/>
          </w:tcPr>
          <w:p>
            <w:pPr>
              <w:spacing w:after="0"/>
              <w:rPr>
                <w:sz w:val="17"/>
                <w:szCs w:val="17"/>
                <w:color w:val="auto"/>
              </w:rPr>
            </w:pPr>
          </w:p>
        </w:tc>
        <w:tc>
          <w:tcPr>
            <w:tcW w:w="580" w:type="dxa"/>
            <w:vAlign w:val="bottom"/>
            <w:tcBorders>
              <w:bottom w:val="single" w:sz="8" w:color="auto"/>
            </w:tcBorders>
            <w:shd w:val="clear" w:color="auto" w:fill="B9E5FF"/>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w w:val="96"/>
              </w:rPr>
              <w:t>Net periodic benefit (income)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2200" w:type="dxa"/>
            <w:vAlign w:val="bottom"/>
            <w:shd w:val="clear" w:color="auto" w:fill="B9E5FF"/>
          </w:tcPr>
          <w:p>
            <w:pPr>
              <w:ind w:left="100"/>
              <w:spacing w:after="0"/>
              <w:rPr>
                <w:sz w:val="20"/>
                <w:szCs w:val="20"/>
                <w:color w:val="auto"/>
              </w:rPr>
            </w:pPr>
            <w:r>
              <w:rPr>
                <w:rFonts w:ascii="Arial" w:cs="Arial" w:eastAsia="Arial" w:hAnsi="Arial"/>
                <w:sz w:val="18"/>
                <w:szCs w:val="18"/>
                <w:color w:val="auto"/>
              </w:rPr>
              <w:t>cost</w:t>
            </w:r>
          </w:p>
        </w:tc>
        <w:tc>
          <w:tcPr>
            <w:tcW w:w="22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(263)</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32</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(22)</w:t>
            </w:r>
          </w:p>
        </w:tc>
        <w:tc>
          <w:tcPr>
            <w:tcW w:w="360" w:type="dxa"/>
            <w:vAlign w:val="bottom"/>
            <w:gridSpan w:val="3"/>
            <w:shd w:val="clear" w:color="auto" w:fill="B9E5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(88)</w:t>
            </w:r>
          </w:p>
        </w:tc>
        <w:tc>
          <w:tcPr>
            <w:tcW w:w="26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(818)</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390</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(67)</w:t>
            </w:r>
          </w:p>
        </w:tc>
        <w:tc>
          <w:tcPr>
            <w:tcW w:w="360" w:type="dxa"/>
            <w:vAlign w:val="bottom"/>
            <w:gridSpan w:val="3"/>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Employer Contributions</w:t>
      </w:r>
    </w:p>
    <w:p>
      <w:pPr>
        <w:spacing w:after="0" w:line="104" w:lineRule="exact"/>
        <w:rPr>
          <w:sz w:val="20"/>
          <w:szCs w:val="20"/>
          <w:color w:val="auto"/>
        </w:rPr>
      </w:pPr>
    </w:p>
    <w:p>
      <w:pPr>
        <w:ind w:left="20" w:right="300" w:firstLine="324"/>
        <w:spacing w:after="0" w:line="268" w:lineRule="auto"/>
        <w:rPr>
          <w:sz w:val="20"/>
          <w:szCs w:val="20"/>
          <w:color w:val="auto"/>
        </w:rPr>
      </w:pPr>
      <w:r>
        <w:rPr>
          <w:rFonts w:ascii="Arial" w:cs="Arial" w:eastAsia="Arial" w:hAnsi="Arial"/>
          <w:sz w:val="17"/>
          <w:szCs w:val="17"/>
          <w:color w:val="auto"/>
        </w:rPr>
        <w:t>As of September 30, 2022, $ 5.5 million and $0.1 million of contributions have been made to the Company’s U.S. and foreign pension plans and its other postretirement benefit plans, respectively . Taking into consideration current minimum cash contribution requirements, the Company currently expects to make full year cash contributions of approximately $ 6.6 million to its U.S. and foreign pension plans and approximately $ 0.2 million to its other postretirement benefit plans in 2022 .</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 – Other Income (Expense), Net</w:t>
      </w:r>
    </w:p>
    <w:p>
      <w:pPr>
        <w:spacing w:after="0" w:line="108" w:lineRule="exact"/>
        <w:rPr>
          <w:sz w:val="20"/>
          <w:szCs w:val="20"/>
          <w:color w:val="auto"/>
        </w:rPr>
      </w:pPr>
    </w:p>
    <w:p>
      <w:pPr>
        <w:ind w:left="20" w:right="700" w:firstLine="324"/>
        <w:spacing w:after="0" w:line="276" w:lineRule="auto"/>
        <w:rPr>
          <w:sz w:val="20"/>
          <w:szCs w:val="20"/>
          <w:color w:val="auto"/>
        </w:rPr>
      </w:pPr>
      <w:r>
        <w:rPr>
          <w:rFonts w:ascii="Arial" w:cs="Arial" w:eastAsia="Arial" w:hAnsi="Arial"/>
          <w:sz w:val="18"/>
          <w:szCs w:val="18"/>
          <w:color w:val="auto"/>
        </w:rPr>
        <w:t>The components of other income (expense), net, for the three and nine months ended September 30, 2022 and 2021 are as follows: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2370" w:type="dxa"/>
            <w:vAlign w:val="bottom"/>
            <w:gridSpan w:val="4"/>
          </w:tcPr>
          <w:p>
            <w:pPr>
              <w:ind w:left="2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233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237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233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70" w:type="dxa"/>
            <w:vAlign w:val="bottom"/>
            <w:tcBorders>
              <w:bottom w:val="single" w:sz="8" w:color="auto"/>
            </w:tcBorders>
          </w:tcPr>
          <w:p>
            <w:pPr>
              <w:spacing w:after="0"/>
              <w:rPr>
                <w:sz w:val="18"/>
                <w:szCs w:val="18"/>
                <w:color w:val="auto"/>
              </w:rPr>
            </w:pPr>
          </w:p>
        </w:tc>
        <w:tc>
          <w:tcPr>
            <w:tcW w:w="1090" w:type="dxa"/>
            <w:vAlign w:val="bottom"/>
            <w:tcBorders>
              <w:bottom w:val="single" w:sz="8" w:color="auto"/>
            </w:tcBorders>
          </w:tcPr>
          <w:p>
            <w:pPr>
              <w:ind w:lef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Borders>
              <w:bottom w:val="single" w:sz="8" w:color="auto"/>
            </w:tcBorders>
          </w:tcPr>
          <w:p>
            <w:pPr>
              <w:spacing w:after="0"/>
              <w:rPr>
                <w:sz w:val="18"/>
                <w:szCs w:val="18"/>
                <w:color w:val="auto"/>
              </w:rPr>
            </w:pPr>
          </w:p>
        </w:tc>
        <w:tc>
          <w:tcPr>
            <w:tcW w:w="107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Borders>
              <w:bottom w:val="single" w:sz="8" w:color="auto"/>
            </w:tcBorders>
          </w:tcPr>
          <w:p>
            <w:pPr>
              <w:spacing w:after="0"/>
              <w:rPr>
                <w:sz w:val="18"/>
                <w:szCs w:val="18"/>
                <w:color w:val="auto"/>
              </w:rPr>
            </w:pPr>
          </w:p>
        </w:tc>
        <w:tc>
          <w:tcPr>
            <w:tcW w:w="107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Income from third party license fees</w:t>
            </w:r>
          </w:p>
        </w:tc>
        <w:tc>
          <w:tcPr>
            <w:tcW w:w="110" w:type="dxa"/>
            <w:vAlign w:val="bottom"/>
            <w:gridSpan w:val="3"/>
            <w:shd w:val="clear" w:color="auto" w:fill="B7E5FF"/>
          </w:tcPr>
          <w:p>
            <w:pPr>
              <w:jc w:val="right"/>
              <w:ind w:right="30"/>
              <w:spacing w:after="0"/>
              <w:rPr>
                <w:sz w:val="20"/>
                <w:szCs w:val="20"/>
                <w:color w:val="auto"/>
              </w:rPr>
            </w:pPr>
            <w:r>
              <w:rPr>
                <w:rFonts w:ascii="Arial" w:cs="Arial" w:eastAsia="Arial" w:hAnsi="Arial"/>
                <w:sz w:val="15"/>
                <w:szCs w:val="15"/>
                <w:color w:val="auto"/>
                <w:w w:val="71"/>
              </w:rPr>
              <w:t>$</w:t>
            </w:r>
          </w:p>
        </w:tc>
        <w:tc>
          <w:tcPr>
            <w:tcW w:w="109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314</w:t>
            </w:r>
          </w:p>
        </w:tc>
        <w:tc>
          <w:tcPr>
            <w:tcW w:w="17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906</w:t>
            </w:r>
          </w:p>
        </w:tc>
        <w:tc>
          <w:tcPr>
            <w:tcW w:w="19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1,026</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Foreign exchange (losses) gain,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90" w:type="dxa"/>
            <w:vAlign w:val="bottom"/>
          </w:tcPr>
          <w:p>
            <w:pPr>
              <w:jc w:val="right"/>
              <w:ind w:right="10"/>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jc w:val="right"/>
              <w:ind w:right="10"/>
              <w:spacing w:after="0"/>
              <w:rPr>
                <w:sz w:val="20"/>
                <w:szCs w:val="20"/>
                <w:color w:val="auto"/>
              </w:rPr>
            </w:pPr>
            <w:r>
              <w:rPr>
                <w:rFonts w:ascii="Arial" w:cs="Arial" w:eastAsia="Arial" w:hAnsi="Arial"/>
                <w:sz w:val="18"/>
                <w:szCs w:val="18"/>
                <w:color w:val="auto"/>
              </w:rPr>
              <w:t>(1,948)</w:t>
            </w:r>
          </w:p>
        </w:tc>
      </w:tr>
      <w:tr>
        <w:trPr>
          <w:trHeight w:val="256"/>
        </w:trPr>
        <w:tc>
          <w:tcPr>
            <w:tcW w:w="20" w:type="dxa"/>
            <w:vAlign w:val="bottom"/>
          </w:tcPr>
          <w:p>
            <w:pPr>
              <w:spacing w:after="0"/>
              <w:rPr>
                <w:sz w:val="22"/>
                <w:szCs w:val="22"/>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w w:val="93"/>
              </w:rPr>
              <w:t>Gain (loss) on disposals of property, plant, equipment and other</w:t>
            </w:r>
          </w:p>
        </w:tc>
        <w:tc>
          <w:tcPr>
            <w:tcW w:w="2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70" w:type="dxa"/>
            <w:vAlign w:val="bottom"/>
            <w:shd w:val="clear" w:color="auto" w:fill="B7E5FF"/>
          </w:tcPr>
          <w:p>
            <w:pPr>
              <w:spacing w:after="0"/>
              <w:rPr>
                <w:sz w:val="22"/>
                <w:szCs w:val="22"/>
                <w:color w:val="auto"/>
              </w:rPr>
            </w:pPr>
          </w:p>
        </w:tc>
        <w:tc>
          <w:tcPr>
            <w:tcW w:w="1090" w:type="dxa"/>
            <w:vAlign w:val="bottom"/>
            <w:shd w:val="clear" w:color="auto" w:fill="B7E5FF"/>
          </w:tcPr>
          <w:p>
            <w:pPr>
              <w:spacing w:after="0"/>
              <w:rPr>
                <w:sz w:val="22"/>
                <w:szCs w:val="22"/>
                <w:color w:val="auto"/>
              </w:rPr>
            </w:pPr>
          </w:p>
        </w:tc>
        <w:tc>
          <w:tcPr>
            <w:tcW w:w="1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06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70" w:type="dxa"/>
            <w:vAlign w:val="bottom"/>
            <w:shd w:val="clear" w:color="auto" w:fill="B7E5FF"/>
          </w:tcPr>
          <w:p>
            <w:pPr>
              <w:spacing w:after="0"/>
              <w:rPr>
                <w:sz w:val="22"/>
                <w:szCs w:val="22"/>
                <w:color w:val="auto"/>
              </w:rPr>
            </w:pPr>
          </w:p>
        </w:tc>
        <w:tc>
          <w:tcPr>
            <w:tcW w:w="107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70" w:type="dxa"/>
            <w:vAlign w:val="bottom"/>
            <w:shd w:val="clear" w:color="auto" w:fill="B7E5FF"/>
          </w:tcPr>
          <w:p>
            <w:pPr>
              <w:spacing w:after="0"/>
              <w:rPr>
                <w:sz w:val="22"/>
                <w:szCs w:val="22"/>
                <w:color w:val="auto"/>
              </w:rPr>
            </w:pPr>
          </w:p>
        </w:tc>
        <w:tc>
          <w:tcPr>
            <w:tcW w:w="1070" w:type="dxa"/>
            <w:vAlign w:val="bottom"/>
            <w:shd w:val="clear" w:color="auto" w:fill="B7E5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assets,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9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jc w:val="right"/>
              <w:ind w:right="50"/>
              <w:spacing w:after="0"/>
              <w:rPr>
                <w:sz w:val="20"/>
                <w:szCs w:val="20"/>
                <w:color w:val="auto"/>
              </w:rPr>
            </w:pPr>
            <w:r>
              <w:rPr>
                <w:rFonts w:ascii="Arial" w:cs="Arial" w:eastAsia="Arial" w:hAnsi="Arial"/>
                <w:sz w:val="18"/>
                <w:szCs w:val="18"/>
                <w:color w:val="auto"/>
              </w:rPr>
              <w:t>4,819</w:t>
            </w:r>
          </w:p>
        </w:tc>
      </w:tr>
      <w:tr>
        <w:trPr>
          <w:trHeight w:val="230"/>
        </w:trPr>
        <w:tc>
          <w:tcPr>
            <w:tcW w:w="20" w:type="dxa"/>
            <w:vAlign w:val="bottom"/>
          </w:tcPr>
          <w:p>
            <w:pPr>
              <w:spacing w:after="0"/>
              <w:rPr>
                <w:sz w:val="19"/>
                <w:szCs w:val="19"/>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w w:val="99"/>
              </w:rPr>
              <w:t>Non-income tax refunds and other related credits (expense)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9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7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14,395</w:t>
            </w: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Pension and postretirement benefit income,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9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non-service components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9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596</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9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07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Gain on insurance recoveries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9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0" w:type="dxa"/>
            <w:vAlign w:val="bottom"/>
            <w:shd w:val="clear" w:color="auto" w:fill="B7E5FF"/>
          </w:tcPr>
          <w:p>
            <w:pPr>
              <w:spacing w:after="0"/>
              <w:rPr>
                <w:sz w:val="19"/>
                <w:szCs w:val="19"/>
                <w:color w:val="auto"/>
              </w:rPr>
            </w:pP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Other non-operating income,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456</w:t>
            </w:r>
          </w:p>
        </w:tc>
      </w:tr>
      <w:tr>
        <w:trPr>
          <w:trHeight w:val="210"/>
        </w:trPr>
        <w:tc>
          <w:tcPr>
            <w:tcW w:w="20" w:type="dxa"/>
            <w:vAlign w:val="bottom"/>
          </w:tcPr>
          <w:p>
            <w:pPr>
              <w:spacing w:after="0"/>
              <w:rPr>
                <w:sz w:val="18"/>
                <w:szCs w:val="18"/>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Total other income (expense), net</w:t>
            </w:r>
          </w:p>
        </w:tc>
        <w:tc>
          <w:tcPr>
            <w:tcW w:w="110" w:type="dxa"/>
            <w:vAlign w:val="bottom"/>
            <w:gridSpan w:val="3"/>
            <w:shd w:val="clear" w:color="auto" w:fill="B7E5FF"/>
          </w:tcPr>
          <w:p>
            <w:pPr>
              <w:jc w:val="right"/>
              <w:ind w:right="30"/>
              <w:spacing w:after="0"/>
              <w:rPr>
                <w:sz w:val="20"/>
                <w:szCs w:val="20"/>
                <w:color w:val="auto"/>
              </w:rPr>
            </w:pPr>
            <w:r>
              <w:rPr>
                <w:rFonts w:ascii="Arial" w:cs="Arial" w:eastAsia="Arial" w:hAnsi="Arial"/>
                <w:sz w:val="15"/>
                <w:szCs w:val="15"/>
                <w:color w:val="auto"/>
                <w:w w:val="71"/>
              </w:rPr>
              <w:t>$</w:t>
            </w:r>
          </w:p>
        </w:tc>
        <w:tc>
          <w:tcPr>
            <w:tcW w:w="109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647</w:t>
            </w:r>
          </w:p>
        </w:tc>
        <w:tc>
          <w:tcPr>
            <w:tcW w:w="17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(10,520)</w:t>
            </w:r>
          </w:p>
        </w:tc>
        <w:tc>
          <w:tcPr>
            <w:tcW w:w="19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19,344</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 w:right="160" w:firstLine="324"/>
        <w:spacing w:after="0" w:line="248" w:lineRule="auto"/>
        <w:rPr>
          <w:sz w:val="20"/>
          <w:szCs w:val="20"/>
          <w:color w:val="auto"/>
        </w:rPr>
      </w:pPr>
      <w:r>
        <w:rPr>
          <w:rFonts w:ascii="Arial" w:cs="Arial" w:eastAsia="Arial" w:hAnsi="Arial"/>
          <w:sz w:val="18"/>
          <w:szCs w:val="18"/>
          <w:color w:val="auto"/>
        </w:rPr>
        <w:t>Gain (loss) on disposals of property, plant, equipment and other assets, net, during the three months ended September 30, 2021, includes losses related to certain fixed asset disposals resulting from property damage. See Note 18 of Notes to Condensed Consolidated Financial Statements. During the nine months ended September 30, 2021, this caption also includes the gain on the sale of certain held-for-sale real property assets related to the Combination.</w:t>
      </w:r>
    </w:p>
    <w:p>
      <w:pPr>
        <w:sectPr>
          <w:pgSz w:w="11900" w:h="16838" w:orient="portrait"/>
          <w:cols w:equalWidth="0" w:num="1">
            <w:col w:w="9800"/>
          </w:cols>
          <w:pgMar w:left="1040" w:top="878"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800"/>
          </w:cols>
          <w:pgMar w:left="1040" w:top="878" w:right="1059" w:bottom="1440" w:gutter="0" w:footer="0" w:header="0"/>
          <w:type w:val="continuous"/>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Non-income tax refunds and other related credits (expense) during the nine months ended September 30, 2022, includes adjustments to Combination-related indemnification assets associated with the settlement of certain income tax audits at certain of the Company’s Italian and German affiliates for tax periods prior to August 1, 2019. See Note 11 of Notes to Condensed Consolidated Financial Statements. During the nine months ended September 30, 2021 this caption includes certain non-income tax credits for the Company’s Brazilian subsidiaries. See Note 18 of Notes to Condensed Consolidated Financial Statements.</w:t>
      </w:r>
    </w:p>
    <w:p>
      <w:pPr>
        <w:spacing w:after="0" w:line="63" w:lineRule="exact"/>
        <w:rPr>
          <w:sz w:val="20"/>
          <w:szCs w:val="20"/>
          <w:color w:val="auto"/>
        </w:rPr>
      </w:pPr>
    </w:p>
    <w:p>
      <w:pPr>
        <w:jc w:val="both"/>
        <w:ind w:right="320" w:firstLine="324"/>
        <w:spacing w:after="0" w:line="293" w:lineRule="auto"/>
        <w:rPr>
          <w:sz w:val="20"/>
          <w:szCs w:val="20"/>
          <w:color w:val="auto"/>
        </w:rPr>
      </w:pPr>
      <w:r>
        <w:rPr>
          <w:rFonts w:ascii="Arial" w:cs="Arial" w:eastAsia="Arial" w:hAnsi="Arial"/>
          <w:sz w:val="16"/>
          <w:szCs w:val="16"/>
          <w:color w:val="auto"/>
        </w:rPr>
        <w:t>Loss on extinguishment of debt during the nine months ended September 30, 2022 includes the write-off of certain previously unamortized deferred financing costs as well as a portion of the third party and creditor debt issuance costs incurred to execute an amendment to the Company’s primary credit facility. See Note 14 of Notes to the Condensed Consolidated Financial Statements.</w:t>
      </w:r>
    </w:p>
    <w:p>
      <w:pPr>
        <w:spacing w:after="0" w:line="55" w:lineRule="exact"/>
        <w:rPr>
          <w:sz w:val="20"/>
          <w:szCs w:val="20"/>
          <w:color w:val="auto"/>
        </w:rPr>
      </w:pPr>
    </w:p>
    <w:p>
      <w:pPr>
        <w:ind w:right="140" w:firstLine="324"/>
        <w:spacing w:after="0" w:line="247" w:lineRule="auto"/>
        <w:rPr>
          <w:sz w:val="20"/>
          <w:szCs w:val="20"/>
          <w:color w:val="auto"/>
        </w:rPr>
      </w:pPr>
      <w:r>
        <w:rPr>
          <w:rFonts w:ascii="Arial" w:cs="Arial" w:eastAsia="Arial" w:hAnsi="Arial"/>
          <w:sz w:val="18"/>
          <w:szCs w:val="18"/>
          <w:color w:val="auto"/>
        </w:rPr>
        <w:t>Gain on insurance recoveries during the three and nine months ended September 30, 2022, reflects payments received from insurers related to the property damage incurred during the three months ended September 2021, noted above. See Note 18 of Notes to the Condensed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and Uncertain Income Tax Positions</w:t>
      </w:r>
    </w:p>
    <w:p>
      <w:pPr>
        <w:spacing w:after="0" w:line="108"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The Company’s effective tax rates for the three and nine months ended September 30, 2022 were 28.1% and 19.2%, respectively, compared to 2.6% and 21.8% for the three and nine months ended September 30, 2021, respectively. The Company’s effective tax rate for the nine months ended September 30, 2022 was impacted by various items including a decline in forecasted profits and earnings mix, foreign tax inclusions, changes in the valuation allowance for foreign tax credits, the impact of audit settlements reached with Italian tax authorities, a reduction in reserves for uncertain tax positions and withholding taxes. In addition, the Company incurred higher tax expense during the three and nine months ended September 30, 2022 at one of its subsidiaries as it accrued taxes at a statutory tax rate of 25% while it awaits recertification of a concessionary 15% tax rate, which was available to the Company during all of 2021. Comparatively, the prior year effective tax rates were largely impacted by changes in permanent reinvestment assertions, changes in foreign tax credit valuation allowances, tax law changes in a foreign jurisdiction, deferred tax benefits related to an intercompany intangible asset transfer and the income tax impacts of certain non-income tax credits recorded by the Company’s Brazilian subsidiaries.</w:t>
      </w:r>
    </w:p>
    <w:p>
      <w:pPr>
        <w:spacing w:after="0" w:line="69"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As of December 31, 2021, the Company had a deferred tax liability of $ 8.4 million on certain undistributed foreign earnings, which primarily represents the Company’s estimate of non-U.S. income taxes the Company will incur to ultimately remit certain earnings to the U.S. As of September 30, 2022 this deferred tax liability balance was $ 6.9 million. As of September 30, 2022, the Company’s cumulative liability for gross unrecognized tax benefits was $ 16.2 million, a decrease of approximately $6.3 million from the cumulative liability accrued as of December 31, 2021.</w:t>
      </w:r>
    </w:p>
    <w:p>
      <w:pPr>
        <w:spacing w:after="0" w:line="91"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taxes on income before equity in net income of associated companies in its Condensed Consolidated Statements of Income. The Company recognized an expense for interest of $ 0.1 million and a benefit for interest of $ 0.2 million and a benefit of less than $0.1 million and $1.6 million for penalties in its Condensed Consolidated Statement of Income for the three and nine months ended September 30, 2022, respectively, and recognized an expense for interest of approximately $ 0.2 million and $ 0.4 million and a benefit of less than $0.1 million and $0.2 million for penalties in its Condensed Consolidated Statement of Income for the three and nine months ended September 30, 2021, respectively. As of September 30, 2022, the Company had accrued $ 2.6 million for cumulative interest and $1.4 million for cumulative penalties in its Condensed Consolidated Balance Sheets, compared to $ 3.1 million for cumulative interest and $3.1 million for cumulative penalties accrued at December 31, 2021.</w:t>
      </w:r>
    </w:p>
    <w:p>
      <w:pPr>
        <w:spacing w:after="0" w:line="80"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During the nine months ended September 30, 2022 and 2021, the Company recognized decreases of $ 3.8 million and $1.2 million, respectively, in its cumulative liability for gross unrecognized tax benefits due to the settlement of income tax audits with both the Italian and German tax authorities, as well as the expiration of the applicable statutes of limitations for certain tax years.</w:t>
      </w:r>
    </w:p>
    <w:p>
      <w:pPr>
        <w:spacing w:after="0" w:line="55"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Company estimates that during the year ending December 31, 2022 it will reduce its cumulative liability for gross unrecognized tax benefits by approximately $ 4.1 million due to the settlement of income tax audits and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2022.</w:t>
      </w:r>
    </w:p>
    <w:p>
      <w:pPr>
        <w:spacing w:after="0" w:line="49"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Company and its subsidiaries are subject to U.S. Federal income tax, as well as the income tax of various state and foreign tax jurisdictions. Tax years that remain subject to examination by major tax jurisdictions include Italy from 2007, Brazil from 2011, the Netherlands from 2016, Canada, China, Mexico and the U.S. from 2017, Germany, Spain and the United Kingdom from 2018, India from fiscal year beginning April 1, 2017 and ending March 31, 2018, and various U.S. state tax jurisdictions from 2011.</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680"/>
          </w:cols>
          <w:pgMar w:left="1060" w:top="878" w:right="115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60" w:firstLine="324"/>
        <w:spacing w:after="0" w:line="243" w:lineRule="auto"/>
        <w:rPr>
          <w:sz w:val="20"/>
          <w:szCs w:val="20"/>
          <w:color w:val="auto"/>
        </w:rPr>
      </w:pPr>
      <w:r>
        <w:rPr>
          <w:rFonts w:ascii="Arial" w:cs="Arial" w:eastAsia="Arial" w:hAnsi="Arial"/>
          <w:sz w:val="18"/>
          <w:szCs w:val="18"/>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the Netherlands reached agreement with respect to the MAP proceedings which the Company had accepted. As of September 30, 2022, the Company received $ 1.6 million in refunds from the Netherlands and Spain. In February 2022, the Company received a settlement notice from the Italian taxing authorities confirming the amount due of $ 2.6 million, having granted the Company’s request to utilize its remaining net operating losses to partially offset the liability. As of September 30, 2022, the Company has paid the full settlement amount, of which approximately $0.2 million was confirmed to be refundable.</w:t>
      </w:r>
    </w:p>
    <w:p>
      <w:pPr>
        <w:spacing w:after="0" w:line="85" w:lineRule="exact"/>
        <w:rPr>
          <w:sz w:val="20"/>
          <w:szCs w:val="20"/>
          <w:color w:val="auto"/>
        </w:rPr>
      </w:pPr>
    </w:p>
    <w:p>
      <w:pPr>
        <w:ind w:left="20" w:right="40" w:firstLine="324"/>
        <w:spacing w:after="0" w:line="277" w:lineRule="auto"/>
        <w:rPr>
          <w:sz w:val="20"/>
          <w:szCs w:val="20"/>
          <w:color w:val="auto"/>
        </w:rPr>
      </w:pPr>
      <w:r>
        <w:rPr>
          <w:rFonts w:ascii="Arial" w:cs="Arial" w:eastAsia="Arial" w:hAnsi="Arial"/>
          <w:sz w:val="16"/>
          <w:szCs w:val="16"/>
          <w:color w:val="auto"/>
        </w:rPr>
        <w:t>Houghton Italia, S.r.l was involved in a corporate income tax audit with the Italian tax authorities covering tax years 2014 through 2018. During the fourth quarter of 2021, the Company settled a portion of the Houghton Italia, S.r.l. corporate income tax audit with the Italian tax authorities for the tax years 2014 and 2015. During the nine months ended September 30, 2022, the Company settled tax years 2016 through 2018 for a total of $ 2.1 million. In total, the Company has now settled all years 2014 through 2018 for $ 3.7 million. Accordingly, the Company has released all reserves relating to this audit for the settled tax years. As a result of the settlement and reserve release the Company recognized a net benefit to the tax provision of $ 1.9 million during the first nine months of 2022. The Company has an indemnification receivable of approximately $ 3.6 million in connection with its claim against the former owners of Houghton for any pre-Combination tax liabilities arising from this matter, as well as other audit settlements.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ind w:left="20" w:right="420" w:firstLine="324"/>
        <w:spacing w:after="0" w:line="276" w:lineRule="auto"/>
        <w:rPr>
          <w:sz w:val="20"/>
          <w:szCs w:val="20"/>
          <w:color w:val="auto"/>
        </w:rPr>
      </w:pPr>
      <w:r>
        <w:rPr>
          <w:rFonts w:ascii="Arial" w:cs="Arial" w:eastAsia="Arial" w:hAnsi="Arial"/>
          <w:sz w:val="18"/>
          <w:szCs w:val="18"/>
          <w:color w:val="auto"/>
        </w:rPr>
        <w:t>The following table summarizes earnings per share calculations for the three and nine months ended September 30, 2022 and 2021: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 w:type="dxa"/>
            <w:vAlign w:val="bottom"/>
          </w:tcPr>
          <w:p>
            <w:pPr>
              <w:spacing w:after="0"/>
              <w:rPr>
                <w:sz w:val="19"/>
                <w:szCs w:val="19"/>
                <w:color w:val="auto"/>
              </w:rPr>
            </w:pPr>
          </w:p>
        </w:tc>
        <w:tc>
          <w:tcPr>
            <w:tcW w:w="4460" w:type="dxa"/>
            <w:vAlign w:val="bottom"/>
            <w:tcBorders>
              <w:bottom w:val="single" w:sz="8" w:color="B7E5FF"/>
            </w:tcBorders>
          </w:tcPr>
          <w:p>
            <w:pPr>
              <w:spacing w:after="0"/>
              <w:rPr>
                <w:sz w:val="19"/>
                <w:szCs w:val="19"/>
                <w:color w:val="auto"/>
              </w:rPr>
            </w:pPr>
          </w:p>
        </w:tc>
        <w:tc>
          <w:tcPr>
            <w:tcW w:w="3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40" w:type="dxa"/>
            <w:vAlign w:val="bottom"/>
          </w:tcPr>
          <w:p>
            <w:pPr>
              <w:spacing w:after="0"/>
              <w:rPr>
                <w:sz w:val="19"/>
                <w:szCs w:val="19"/>
                <w:color w:val="auto"/>
              </w:rPr>
            </w:pPr>
          </w:p>
        </w:tc>
        <w:tc>
          <w:tcPr>
            <w:tcW w:w="446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w w:val="96"/>
              </w:rPr>
              <w:t>Net income attributable to Quaker Chemical Corporation</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25,867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31,058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60,026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103,243</w:t>
            </w:r>
          </w:p>
        </w:tc>
      </w:tr>
      <w:tr>
        <w:trPr>
          <w:trHeight w:val="223"/>
        </w:trPr>
        <w:tc>
          <w:tcPr>
            <w:tcW w:w="40" w:type="dxa"/>
            <w:vAlign w:val="bottom"/>
          </w:tcPr>
          <w:p>
            <w:pPr>
              <w:spacing w:after="0"/>
              <w:rPr>
                <w:sz w:val="19"/>
                <w:szCs w:val="19"/>
                <w:color w:val="auto"/>
              </w:rPr>
            </w:pPr>
          </w:p>
        </w:tc>
        <w:tc>
          <w:tcPr>
            <w:tcW w:w="44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4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25,752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30,939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59,776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102,830</w:t>
            </w:r>
          </w:p>
        </w:tc>
      </w:tr>
      <w:tr>
        <w:trPr>
          <w:trHeight w:val="223"/>
        </w:trPr>
        <w:tc>
          <w:tcPr>
            <w:tcW w:w="40" w:type="dxa"/>
            <w:vAlign w:val="bottom"/>
          </w:tcPr>
          <w:p>
            <w:pPr>
              <w:spacing w:after="0"/>
              <w:rPr>
                <w:sz w:val="19"/>
                <w:szCs w:val="19"/>
                <w:color w:val="auto"/>
              </w:rPr>
            </w:pPr>
          </w:p>
        </w:tc>
        <w:tc>
          <w:tcPr>
            <w:tcW w:w="446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2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w w:val="99"/>
                <w:shd w:val="clear" w:color="auto" w:fill="B7E5FF"/>
              </w:rPr>
              <w:t>17,847,305</w:t>
            </w:r>
          </w:p>
        </w:tc>
        <w:tc>
          <w:tcPr>
            <w:tcW w:w="1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20" w:type="dxa"/>
            <w:vAlign w:val="bottom"/>
            <w:tcBorders>
              <w:bottom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w w:val="99"/>
              </w:rPr>
              <w:t>17,812,216</w:t>
            </w:r>
          </w:p>
        </w:tc>
        <w:tc>
          <w:tcPr>
            <w:tcW w:w="10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99"/>
              </w:rPr>
              <w:t>17,835,976</w:t>
            </w:r>
          </w:p>
        </w:tc>
        <w:tc>
          <w:tcPr>
            <w:tcW w:w="1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99"/>
              </w:rPr>
              <w:t>17,800,082</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5.78</w:t>
            </w:r>
          </w:p>
        </w:tc>
      </w:tr>
      <w:tr>
        <w:trPr>
          <w:trHeight w:val="243"/>
        </w:trPr>
        <w:tc>
          <w:tcPr>
            <w:tcW w:w="40" w:type="dxa"/>
            <w:vAlign w:val="bottom"/>
          </w:tcPr>
          <w:p>
            <w:pPr>
              <w:spacing w:after="0"/>
              <w:rPr>
                <w:sz w:val="21"/>
                <w:szCs w:val="21"/>
                <w:color w:val="auto"/>
              </w:rPr>
            </w:pPr>
          </w:p>
        </w:tc>
        <w:tc>
          <w:tcPr>
            <w:tcW w:w="4460" w:type="dxa"/>
            <w:vAlign w:val="bottom"/>
            <w:shd w:val="clear" w:color="auto" w:fill="B7E5FF"/>
          </w:tcPr>
          <w:p>
            <w:pPr>
              <w:spacing w:after="0"/>
              <w:rPr>
                <w:sz w:val="21"/>
                <w:szCs w:val="21"/>
                <w:color w:val="auto"/>
              </w:rPr>
            </w:pPr>
          </w:p>
        </w:tc>
        <w:tc>
          <w:tcPr>
            <w:tcW w:w="3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0" w:type="dxa"/>
            <w:vAlign w:val="bottom"/>
            <w:shd w:val="clear" w:color="auto" w:fill="B7E5FF"/>
          </w:tcPr>
          <w:p>
            <w:pPr>
              <w:spacing w:after="0"/>
              <w:rPr>
                <w:sz w:val="21"/>
                <w:szCs w:val="2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446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6"/>
              </w:rPr>
              <w:t>Net income attributable to Quaker Chemical Corporation</w:t>
            </w:r>
          </w:p>
        </w:tc>
        <w:tc>
          <w:tcPr>
            <w:tcW w:w="46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25,867</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31,058</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60,026</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103,243</w:t>
            </w:r>
          </w:p>
        </w:tc>
      </w:tr>
      <w:tr>
        <w:trPr>
          <w:trHeight w:val="230"/>
        </w:trPr>
        <w:tc>
          <w:tcPr>
            <w:tcW w:w="4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460" w:type="dxa"/>
            <w:vAlign w:val="bottom"/>
            <w:shd w:val="clear" w:color="auto" w:fill="B7E5FF"/>
          </w:tcPr>
          <w:p>
            <w:pPr>
              <w:ind w:left="100"/>
              <w:spacing w:after="0" w:line="202" w:lineRule="exact"/>
              <w:rPr>
                <w:sz w:val="20"/>
                <w:szCs w:val="20"/>
                <w:color w:val="auto"/>
              </w:rPr>
            </w:pPr>
            <w:r>
              <w:rPr>
                <w:rFonts w:ascii="Arial" w:cs="Arial" w:eastAsia="Arial" w:hAnsi="Arial"/>
                <w:sz w:val="18"/>
                <w:szCs w:val="18"/>
                <w:color w:val="auto"/>
              </w:rPr>
              <w:t>Net income available to common shareholders</w:t>
            </w:r>
          </w:p>
        </w:tc>
        <w:tc>
          <w:tcPr>
            <w:tcW w:w="460" w:type="dxa"/>
            <w:vAlign w:val="bottom"/>
            <w:gridSpan w:val="2"/>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25,752</w:t>
            </w:r>
          </w:p>
        </w:tc>
        <w:tc>
          <w:tcPr>
            <w:tcW w:w="26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30,939</w:t>
            </w:r>
          </w:p>
        </w:tc>
        <w:tc>
          <w:tcPr>
            <w:tcW w:w="240" w:type="dxa"/>
            <w:vAlign w:val="bottom"/>
            <w:gridSpan w:val="2"/>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59,776</w:t>
            </w:r>
          </w:p>
        </w:tc>
        <w:tc>
          <w:tcPr>
            <w:tcW w:w="26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102,831</w:t>
            </w:r>
          </w:p>
        </w:tc>
      </w:tr>
      <w:tr>
        <w:trPr>
          <w:trHeight w:val="243"/>
        </w:trPr>
        <w:tc>
          <w:tcPr>
            <w:tcW w:w="40" w:type="dxa"/>
            <w:vAlign w:val="bottom"/>
          </w:tcPr>
          <w:p>
            <w:pPr>
              <w:spacing w:after="0"/>
              <w:rPr>
                <w:sz w:val="21"/>
                <w:szCs w:val="21"/>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17,847,305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17,812,216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17,835,976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17,800,082</w:t>
            </w:r>
          </w:p>
        </w:tc>
      </w:tr>
      <w:tr>
        <w:trPr>
          <w:trHeight w:val="230"/>
        </w:trPr>
        <w:tc>
          <w:tcPr>
            <w:tcW w:w="40" w:type="dxa"/>
            <w:vAlign w:val="bottom"/>
          </w:tcPr>
          <w:p>
            <w:pPr>
              <w:spacing w:after="0"/>
              <w:rPr>
                <w:sz w:val="19"/>
                <w:szCs w:val="19"/>
                <w:color w:val="auto"/>
              </w:rPr>
            </w:pPr>
          </w:p>
        </w:tc>
        <w:tc>
          <w:tcPr>
            <w:tcW w:w="44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12,566</w:t>
            </w: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58,176</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15,465</w:t>
            </w: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59,986</w:t>
            </w:r>
          </w:p>
        </w:tc>
      </w:tr>
      <w:tr>
        <w:trPr>
          <w:trHeight w:val="223"/>
        </w:trPr>
        <w:tc>
          <w:tcPr>
            <w:tcW w:w="4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w w:val="99"/>
              </w:rPr>
              <w:t>Diluted weighted average common shares outstanding</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17,859,871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17,870,392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17,851,441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17,860,068</w:t>
            </w:r>
          </w:p>
        </w:tc>
      </w:tr>
      <w:tr>
        <w:trPr>
          <w:trHeight w:val="216"/>
        </w:trPr>
        <w:tc>
          <w:tcPr>
            <w:tcW w:w="40" w:type="dxa"/>
            <w:vAlign w:val="bottom"/>
          </w:tcPr>
          <w:p>
            <w:pPr>
              <w:spacing w:after="0"/>
              <w:rPr>
                <w:sz w:val="18"/>
                <w:szCs w:val="18"/>
                <w:color w:val="auto"/>
              </w:rPr>
            </w:pPr>
          </w:p>
        </w:tc>
        <w:tc>
          <w:tcPr>
            <w:tcW w:w="446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46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1.44</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3.35</w:t>
            </w: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40" w:type="dxa"/>
            <w:vAlign w:val="bottom"/>
          </w:tcPr>
          <w:p>
            <w:pPr>
              <w:spacing w:after="0"/>
              <w:rPr>
                <w:sz w:val="2"/>
                <w:szCs w:val="2"/>
                <w:color w:val="auto"/>
              </w:rPr>
            </w:pPr>
          </w:p>
        </w:tc>
        <w:tc>
          <w:tcPr>
            <w:tcW w:w="4460" w:type="dxa"/>
            <w:vAlign w:val="bottom"/>
            <w:shd w:val="clear" w:color="auto" w:fill="B7E5FF"/>
          </w:tcPr>
          <w:p>
            <w:pPr>
              <w:spacing w:after="0"/>
              <w:rPr>
                <w:sz w:val="2"/>
                <w:szCs w:val="2"/>
                <w:color w:val="auto"/>
              </w:rPr>
            </w:pPr>
          </w:p>
        </w:tc>
        <w:tc>
          <w:tcPr>
            <w:tcW w:w="320" w:type="dxa"/>
            <w:vAlign w:val="bottom"/>
            <w:shd w:val="clear" w:color="auto" w:fill="B7E5FF"/>
          </w:tcPr>
          <w:p>
            <w:pPr>
              <w:spacing w:after="0"/>
              <w:rPr>
                <w:sz w:val="2"/>
                <w:szCs w:val="2"/>
                <w:color w:val="auto"/>
              </w:rPr>
            </w:pPr>
          </w:p>
        </w:tc>
        <w:tc>
          <w:tcPr>
            <w:tcW w:w="140" w:type="dxa"/>
            <w:vAlign w:val="bottom"/>
            <w:shd w:val="clear" w:color="auto" w:fill="B7E5FF"/>
          </w:tcPr>
          <w:p>
            <w:pPr>
              <w:spacing w:after="0"/>
              <w:rPr>
                <w:sz w:val="2"/>
                <w:szCs w:val="2"/>
                <w:color w:val="auto"/>
              </w:rPr>
            </w:pPr>
          </w:p>
        </w:tc>
        <w:tc>
          <w:tcPr>
            <w:tcW w:w="1020" w:type="dxa"/>
            <w:vAlign w:val="bottom"/>
            <w:shd w:val="clear" w:color="auto" w:fill="B7E5FF"/>
          </w:tcPr>
          <w:p>
            <w:pPr>
              <w:spacing w:after="0"/>
              <w:rPr>
                <w:sz w:val="2"/>
                <w:szCs w:val="2"/>
                <w:color w:val="auto"/>
              </w:rPr>
            </w:pPr>
          </w:p>
        </w:tc>
        <w:tc>
          <w:tcPr>
            <w:tcW w:w="120" w:type="dxa"/>
            <w:vAlign w:val="bottom"/>
            <w:shd w:val="clear" w:color="auto" w:fill="B7E5FF"/>
          </w:tcPr>
          <w:p>
            <w:pPr>
              <w:spacing w:after="0"/>
              <w:rPr>
                <w:sz w:val="2"/>
                <w:szCs w:val="2"/>
                <w:color w:val="auto"/>
              </w:rPr>
            </w:pPr>
          </w:p>
        </w:tc>
        <w:tc>
          <w:tcPr>
            <w:tcW w:w="140" w:type="dxa"/>
            <w:vAlign w:val="bottom"/>
            <w:shd w:val="clear" w:color="auto" w:fill="B7E5FF"/>
          </w:tcPr>
          <w:p>
            <w:pPr>
              <w:spacing w:after="0"/>
              <w:rPr>
                <w:sz w:val="2"/>
                <w:szCs w:val="2"/>
                <w:color w:val="auto"/>
              </w:rPr>
            </w:pPr>
          </w:p>
        </w:tc>
        <w:tc>
          <w:tcPr>
            <w:tcW w:w="1020" w:type="dxa"/>
            <w:vAlign w:val="bottom"/>
            <w:shd w:val="clear" w:color="auto" w:fill="B7E5FF"/>
          </w:tcPr>
          <w:p>
            <w:pPr>
              <w:spacing w:after="0"/>
              <w:rPr>
                <w:sz w:val="2"/>
                <w:szCs w:val="2"/>
                <w:color w:val="auto"/>
              </w:rPr>
            </w:pPr>
          </w:p>
        </w:tc>
        <w:tc>
          <w:tcPr>
            <w:tcW w:w="100" w:type="dxa"/>
            <w:vAlign w:val="bottom"/>
            <w:shd w:val="clear" w:color="auto" w:fill="B7E5FF"/>
          </w:tcPr>
          <w:p>
            <w:pPr>
              <w:spacing w:after="0"/>
              <w:rPr>
                <w:sz w:val="2"/>
                <w:szCs w:val="2"/>
                <w:color w:val="auto"/>
              </w:rPr>
            </w:pPr>
          </w:p>
        </w:tc>
        <w:tc>
          <w:tcPr>
            <w:tcW w:w="140" w:type="dxa"/>
            <w:vAlign w:val="bottom"/>
            <w:shd w:val="clear" w:color="auto" w:fill="B7E5FF"/>
          </w:tcPr>
          <w:p>
            <w:pPr>
              <w:spacing w:after="0"/>
              <w:rPr>
                <w:sz w:val="2"/>
                <w:szCs w:val="2"/>
                <w:color w:val="auto"/>
              </w:rPr>
            </w:pPr>
          </w:p>
        </w:tc>
        <w:tc>
          <w:tcPr>
            <w:tcW w:w="1000" w:type="dxa"/>
            <w:vAlign w:val="bottom"/>
            <w:shd w:val="clear" w:color="auto" w:fill="B7E5FF"/>
          </w:tcPr>
          <w:p>
            <w:pPr>
              <w:spacing w:after="0"/>
              <w:rPr>
                <w:sz w:val="2"/>
                <w:szCs w:val="2"/>
                <w:color w:val="auto"/>
              </w:rPr>
            </w:pPr>
          </w:p>
        </w:tc>
        <w:tc>
          <w:tcPr>
            <w:tcW w:w="120" w:type="dxa"/>
            <w:vAlign w:val="bottom"/>
            <w:shd w:val="clear" w:color="auto" w:fill="B7E5FF"/>
          </w:tcPr>
          <w:p>
            <w:pPr>
              <w:spacing w:after="0"/>
              <w:rPr>
                <w:sz w:val="2"/>
                <w:szCs w:val="2"/>
                <w:color w:val="auto"/>
              </w:rPr>
            </w:pPr>
          </w:p>
        </w:tc>
        <w:tc>
          <w:tcPr>
            <w:tcW w:w="140" w:type="dxa"/>
            <w:vAlign w:val="bottom"/>
            <w:shd w:val="clear" w:color="auto" w:fill="B7E5FF"/>
          </w:tcPr>
          <w:p>
            <w:pPr>
              <w:spacing w:after="0"/>
              <w:rPr>
                <w:sz w:val="2"/>
                <w:szCs w:val="2"/>
                <w:color w:val="auto"/>
              </w:rPr>
            </w:pPr>
          </w:p>
        </w:tc>
        <w:tc>
          <w:tcPr>
            <w:tcW w:w="1000" w:type="dxa"/>
            <w:vAlign w:val="bottom"/>
            <w:shd w:val="clear" w:color="auto" w:fill="B7E5FF"/>
          </w:tcPr>
          <w:p>
            <w:pPr>
              <w:spacing w:after="0"/>
              <w:rPr>
                <w:sz w:val="2"/>
                <w:szCs w:val="2"/>
                <w:color w:val="auto"/>
              </w:rPr>
            </w:pPr>
          </w:p>
        </w:tc>
      </w:tr>
    </w:tbl>
    <w:p>
      <w:pPr>
        <w:spacing w:after="0" w:line="9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Certain stock options, restricted stock units and PSUs are not included in the diluted earnings per share calculation when the</w:t>
      </w:r>
    </w:p>
    <w:p>
      <w:pPr>
        <w:spacing w:after="0" w:line="23" w:lineRule="exact"/>
        <w:rPr>
          <w:sz w:val="20"/>
          <w:szCs w:val="20"/>
          <w:color w:val="auto"/>
        </w:rPr>
      </w:pPr>
    </w:p>
    <w:p>
      <w:pPr>
        <w:ind w:left="20" w:right="160"/>
        <w:spacing w:after="0" w:line="246" w:lineRule="auto"/>
        <w:rPr>
          <w:sz w:val="20"/>
          <w:szCs w:val="20"/>
          <w:color w:val="auto"/>
        </w:rPr>
      </w:pPr>
      <w:r>
        <w:rPr>
          <w:rFonts w:ascii="Arial" w:cs="Arial" w:eastAsia="Arial" w:hAnsi="Arial"/>
          <w:sz w:val="18"/>
          <w:szCs w:val="18"/>
          <w:color w:val="auto"/>
        </w:rPr>
        <w:t>effect would have been anti-dilutive. The calculated amount of anti-diluted shares not included were 25,896 and 24,618 for the three and nine months ended September 30, 2022, respectively, and 5,531 and 3,722 for the three and nine months ended September 30, 2021, respectively.</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760"/>
          </w:cols>
          <w:pgMar w:left="1040" w:top="878" w:right="109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 Goodwill and Other Intangible Assets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nine months ended September 30, 2022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Global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Specialty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Americas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Asia/Pacific</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9"/>
              </w:rPr>
              <w:t>Businesses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0"/>
        </w:trPr>
        <w:tc>
          <w:tcPr>
            <w:tcW w:w="40" w:type="dxa"/>
            <w:vAlign w:val="bottom"/>
          </w:tcPr>
          <w:p>
            <w:pPr>
              <w:spacing w:after="0" w:line="20" w:lineRule="exact"/>
              <w:rPr>
                <w:sz w:val="1"/>
                <w:szCs w:val="1"/>
                <w:color w:val="auto"/>
              </w:rPr>
            </w:pPr>
          </w:p>
        </w:tc>
        <w:tc>
          <w:tcPr>
            <w:tcW w:w="3480" w:type="dxa"/>
            <w:vAlign w:val="bottom"/>
            <w:tcBorders>
              <w:top w:val="single" w:sz="8" w:color="B7E5FF"/>
            </w:tcBorders>
          </w:tcPr>
          <w:p>
            <w:pPr>
              <w:spacing w:after="0" w:line="20" w:lineRule="exact"/>
              <w:rPr>
                <w:sz w:val="1"/>
                <w:szCs w:val="1"/>
                <w:color w:val="auto"/>
              </w:rPr>
            </w:pPr>
          </w:p>
        </w:tc>
        <w:tc>
          <w:tcPr>
            <w:tcW w:w="20" w:type="dxa"/>
            <w:vAlign w:val="bottom"/>
            <w:tcBorders>
              <w:top w:val="single" w:sz="8" w:color="B7E5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480" w:type="dxa"/>
            <w:vAlign w:val="bottom"/>
            <w:shd w:val="clear" w:color="auto" w:fill="B7E5FF"/>
          </w:tcPr>
          <w:p>
            <w:pPr>
              <w:jc w:val="center"/>
              <w:ind w:right="990"/>
              <w:spacing w:after="0" w:line="203" w:lineRule="exact"/>
              <w:rPr>
                <w:sz w:val="20"/>
                <w:szCs w:val="20"/>
                <w:color w:val="auto"/>
              </w:rPr>
            </w:pPr>
            <w:r>
              <w:rPr>
                <w:rFonts w:ascii="Arial" w:cs="Arial" w:eastAsia="Arial" w:hAnsi="Arial"/>
                <w:sz w:val="18"/>
                <w:szCs w:val="18"/>
                <w:color w:val="auto"/>
                <w:w w:val="86"/>
              </w:rPr>
              <w:t>Balance as of December 31, 2021</w:t>
            </w: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214,023</w:t>
            </w:r>
          </w:p>
        </w:tc>
        <w:tc>
          <w:tcPr>
            <w:tcW w:w="26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135,520</w:t>
            </w:r>
          </w:p>
        </w:tc>
        <w:tc>
          <w:tcPr>
            <w:tcW w:w="180" w:type="dxa"/>
            <w:vAlign w:val="bottom"/>
            <w:gridSpan w:val="2"/>
            <w:shd w:val="clear" w:color="auto" w:fill="B7E5FF"/>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162,458</w:t>
            </w:r>
          </w:p>
        </w:tc>
        <w:tc>
          <w:tcPr>
            <w:tcW w:w="180" w:type="dxa"/>
            <w:vAlign w:val="bottom"/>
            <w:gridSpan w:val="3"/>
            <w:shd w:val="clear" w:color="auto" w:fill="B7E5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119,193</w:t>
            </w:r>
          </w:p>
        </w:tc>
        <w:tc>
          <w:tcPr>
            <w:tcW w:w="2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631,194</w:t>
            </w:r>
          </w:p>
        </w:tc>
      </w:tr>
      <w:tr>
        <w:trPr>
          <w:trHeight w:val="243"/>
        </w:trPr>
        <w:tc>
          <w:tcPr>
            <w:tcW w:w="40" w:type="dxa"/>
            <w:vAlign w:val="bottom"/>
          </w:tcPr>
          <w:p>
            <w:pPr>
              <w:spacing w:after="0"/>
              <w:rPr>
                <w:sz w:val="21"/>
                <w:szCs w:val="21"/>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Goodwill additions (reductions)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1,794</w:t>
            </w:r>
          </w:p>
        </w:tc>
      </w:tr>
      <w:tr>
        <w:trPr>
          <w:trHeight w:val="229"/>
        </w:trPr>
        <w:tc>
          <w:tcPr>
            <w:tcW w:w="40" w:type="dxa"/>
            <w:vAlign w:val="bottom"/>
          </w:tcPr>
          <w:p>
            <w:pPr>
              <w:spacing w:after="0"/>
              <w:rPr>
                <w:sz w:val="19"/>
                <w:szCs w:val="19"/>
                <w:color w:val="auto"/>
              </w:rPr>
            </w:pPr>
          </w:p>
        </w:tc>
        <w:tc>
          <w:tcPr>
            <w:tcW w:w="3480" w:type="dxa"/>
            <w:vAlign w:val="bottom"/>
            <w:shd w:val="clear" w:color="auto" w:fill="B7E5FF"/>
          </w:tcPr>
          <w:p>
            <w:pPr>
              <w:ind w:left="2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(16,826)</w:t>
            </w:r>
          </w:p>
        </w:tc>
        <w:tc>
          <w:tcPr>
            <w:tcW w:w="1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(16,462)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(7,858)</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(41,956)</w:t>
            </w:r>
          </w:p>
        </w:tc>
      </w:tr>
      <w:tr>
        <w:trPr>
          <w:trHeight w:val="237"/>
        </w:trPr>
        <w:tc>
          <w:tcPr>
            <w:tcW w:w="3520" w:type="dxa"/>
            <w:vAlign w:val="bottom"/>
            <w:gridSpan w:val="2"/>
          </w:tcPr>
          <w:p>
            <w:pPr>
              <w:jc w:val="center"/>
              <w:ind w:right="970"/>
              <w:spacing w:after="0"/>
              <w:rPr>
                <w:sz w:val="20"/>
                <w:szCs w:val="20"/>
                <w:color w:val="auto"/>
              </w:rPr>
            </w:pPr>
            <w:r>
              <w:rPr>
                <w:rFonts w:ascii="Arial" w:cs="Arial" w:eastAsia="Arial" w:hAnsi="Arial"/>
                <w:sz w:val="18"/>
                <w:szCs w:val="18"/>
                <w:color w:val="auto"/>
                <w:w w:val="88"/>
              </w:rPr>
              <w:t>Balance as of September 30, 2022</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215,066</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118,694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145,996</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111,276</w:t>
            </w:r>
          </w:p>
        </w:tc>
        <w:tc>
          <w:tcPr>
            <w:tcW w:w="2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591,032</w:t>
            </w: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Gross carrying amounts and accumulated amortization for definite-lived intangible assets as of September 30, 2022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2021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Accumulated</w:t>
            </w:r>
          </w:p>
        </w:tc>
      </w:t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Amortization</w:t>
            </w:r>
          </w:p>
        </w:tc>
      </w:tr>
      <w:tr>
        <w:trPr>
          <w:trHeight w:val="223"/>
        </w:trPr>
        <w:tc>
          <w:tcPr>
            <w:tcW w:w="40" w:type="dxa"/>
            <w:vAlign w:val="bottom"/>
          </w:tcPr>
          <w:p>
            <w:pPr>
              <w:spacing w:after="0"/>
              <w:rPr>
                <w:sz w:val="19"/>
                <w:szCs w:val="19"/>
                <w:color w:val="auto"/>
              </w:rPr>
            </w:pPr>
          </w:p>
        </w:tc>
        <w:tc>
          <w:tcPr>
            <w:tcW w:w="4160" w:type="dxa"/>
            <w:vAlign w:val="bottom"/>
            <w:tcBorders>
              <w:bottom w:val="single" w:sz="8" w:color="B7E5FF"/>
            </w:tcBorders>
          </w:tcPr>
          <w:p>
            <w:pPr>
              <w:spacing w:after="0"/>
              <w:rPr>
                <w:sz w:val="19"/>
                <w:szCs w:val="19"/>
                <w:color w:val="auto"/>
              </w:rPr>
            </w:pPr>
          </w:p>
        </w:tc>
        <w:tc>
          <w:tcPr>
            <w:tcW w:w="6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40" w:type="dxa"/>
            <w:vAlign w:val="bottom"/>
          </w:tcPr>
          <w:p>
            <w:pPr>
              <w:spacing w:after="0"/>
              <w:rPr>
                <w:sz w:val="19"/>
                <w:szCs w:val="19"/>
                <w:color w:val="auto"/>
              </w:rPr>
            </w:pPr>
          </w:p>
        </w:tc>
        <w:tc>
          <w:tcPr>
            <w:tcW w:w="4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Customer lists and rights to sell</w:t>
            </w:r>
          </w:p>
        </w:tc>
        <w:tc>
          <w:tcPr>
            <w:tcW w:w="7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803,346</w:t>
            </w:r>
          </w:p>
        </w:tc>
        <w:tc>
          <w:tcPr>
            <w:tcW w:w="380" w:type="dxa"/>
            <w:vAlign w:val="bottom"/>
            <w:gridSpan w:val="2"/>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853,122</w:t>
            </w:r>
          </w:p>
        </w:tc>
        <w:tc>
          <w:tcPr>
            <w:tcW w:w="22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173,893</w:t>
            </w:r>
          </w:p>
        </w:tc>
        <w:tc>
          <w:tcPr>
            <w:tcW w:w="120" w:type="dxa"/>
            <w:vAlign w:val="bottom"/>
            <w:tcBorders>
              <w:right w:val="single" w:sz="8" w:color="B7E5FF"/>
            </w:tcBorders>
            <w:shd w:val="clear" w:color="auto" w:fill="B7E5FF"/>
          </w:tcPr>
          <w:p>
            <w:pPr>
              <w:spacing w:after="0"/>
              <w:rPr>
                <w:sz w:val="19"/>
                <w:szCs w:val="19"/>
                <w:color w:val="auto"/>
              </w:rPr>
            </w:pPr>
          </w:p>
        </w:tc>
        <w:tc>
          <w:tcPr>
            <w:tcW w:w="120" w:type="dxa"/>
            <w:vAlign w:val="bottom"/>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147,858</w:t>
            </w:r>
          </w:p>
        </w:tc>
      </w:tr>
      <w:tr>
        <w:trPr>
          <w:trHeight w:val="229"/>
        </w:trPr>
        <w:tc>
          <w:tcPr>
            <w:tcW w:w="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Trademarks, formulations and product technology</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150,164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163,974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38,747</w:t>
            </w:r>
          </w:p>
        </w:tc>
      </w:tr>
      <w:tr>
        <w:trPr>
          <w:trHeight w:val="243"/>
        </w:trPr>
        <w:tc>
          <w:tcPr>
            <w:tcW w:w="40" w:type="dxa"/>
            <w:vAlign w:val="bottom"/>
          </w:tcPr>
          <w:p>
            <w:pPr>
              <w:spacing w:after="0"/>
              <w:rPr>
                <w:sz w:val="21"/>
                <w:szCs w:val="21"/>
                <w:color w:val="auto"/>
              </w:rPr>
            </w:pPr>
          </w:p>
        </w:tc>
        <w:tc>
          <w:tcPr>
            <w:tcW w:w="4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Borders>
              <w:right w:val="single" w:sz="8" w:color="B7E5FF"/>
            </w:tcBorders>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6,611</w:t>
            </w:r>
          </w:p>
        </w:tc>
        <w:tc>
          <w:tcPr>
            <w:tcW w:w="140" w:type="dxa"/>
            <w:vAlign w:val="bottom"/>
            <w:tcBorders>
              <w:right w:val="single" w:sz="8" w:color="B7E5FF"/>
            </w:tcBorders>
            <w:shd w:val="clear" w:color="auto" w:fill="B7E5FF"/>
          </w:tcPr>
          <w:p>
            <w:pPr>
              <w:spacing w:after="0"/>
              <w:rPr>
                <w:sz w:val="21"/>
                <w:szCs w:val="21"/>
                <w:color w:val="auto"/>
              </w:rPr>
            </w:pPr>
          </w:p>
        </w:tc>
        <w:tc>
          <w:tcPr>
            <w:tcW w:w="240" w:type="dxa"/>
            <w:vAlign w:val="bottom"/>
            <w:tcBorders>
              <w:bottom w:val="single" w:sz="8" w:color="auto"/>
            </w:tcBorders>
            <w:shd w:val="clear" w:color="auto" w:fill="B7E5FF"/>
          </w:tcPr>
          <w:p>
            <w:pPr>
              <w:spacing w:after="0"/>
              <w:rPr>
                <w:sz w:val="21"/>
                <w:szCs w:val="21"/>
                <w:color w:val="auto"/>
              </w:rPr>
            </w:pPr>
          </w:p>
        </w:tc>
        <w:tc>
          <w:tcPr>
            <w:tcW w:w="9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6,309</w:t>
            </w:r>
          </w:p>
        </w:tc>
        <w:tc>
          <w:tcPr>
            <w:tcW w:w="100" w:type="dxa"/>
            <w:vAlign w:val="bottom"/>
            <w:tcBorders>
              <w:right w:val="single" w:sz="8" w:color="B7E5FF"/>
            </w:tcBorders>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5,973</w:t>
            </w:r>
          </w:p>
        </w:tc>
        <w:tc>
          <w:tcPr>
            <w:tcW w:w="120" w:type="dxa"/>
            <w:vAlign w:val="bottom"/>
            <w:tcBorders>
              <w:right w:val="single" w:sz="8" w:color="B7E5FF"/>
            </w:tcBorders>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5,900</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definite-lived intangible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960,121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1,023,405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222,350</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192,505</w:t>
            </w:r>
          </w:p>
        </w:tc>
      </w:tr>
      <w:tr>
        <w:trPr>
          <w:trHeight w:val="34"/>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108" w:lineRule="exact"/>
        <w:rPr>
          <w:sz w:val="20"/>
          <w:szCs w:val="20"/>
          <w:color w:val="auto"/>
        </w:rPr>
      </w:pPr>
    </w:p>
    <w:p>
      <w:pPr>
        <w:ind w:left="20" w:right="220" w:firstLine="324"/>
        <w:spacing w:after="0" w:line="248"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The Company recorded $14.1 million and $43.3 million of amortization expense for the three and nine months ended September 30, 2022, respectively. Comparatively, the Company recorded $14.9 million and $44.7 million of amortization expense for the three and nine months ended September 30, 2021, respectively.</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Estimated annual aggregate amortization expense for the current year and subsequent five years and beyond is as follows:</w:t>
      </w:r>
    </w:p>
    <w:p>
      <w:pPr>
        <w:spacing w:after="0" w:line="129" w:lineRule="exact"/>
        <w:rPr>
          <w:sz w:val="20"/>
          <w:szCs w:val="20"/>
          <w:color w:val="auto"/>
        </w:rPr>
      </w:pPr>
    </w:p>
    <w:tbl>
      <w:tblPr>
        <w:tblLayout w:type="fixed"/>
        <w:tblInd w:w="60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7500" w:type="dxa"/>
            <w:vAlign w:val="bottom"/>
            <w:shd w:val="clear" w:color="auto" w:fill="B7E5FF"/>
          </w:tcPr>
          <w:p>
            <w:pPr>
              <w:jc w:val="right"/>
              <w:ind w:right="4670"/>
              <w:spacing w:after="0"/>
              <w:rPr>
                <w:sz w:val="20"/>
                <w:szCs w:val="20"/>
                <w:color w:val="auto"/>
              </w:rPr>
            </w:pPr>
            <w:r>
              <w:rPr>
                <w:rFonts w:ascii="Arial" w:cs="Arial" w:eastAsia="Arial" w:hAnsi="Arial"/>
                <w:sz w:val="18"/>
                <w:szCs w:val="18"/>
                <w:color w:val="auto"/>
                <w:w w:val="86"/>
              </w:rPr>
              <w:t>For the year ended December 31, 2022</w:t>
            </w: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55,628</w:t>
            </w:r>
          </w:p>
        </w:tc>
      </w:tr>
      <w:tr>
        <w:trPr>
          <w:trHeight w:val="229"/>
        </w:trPr>
        <w:tc>
          <w:tcPr>
            <w:tcW w:w="7540" w:type="dxa"/>
            <w:vAlign w:val="bottom"/>
            <w:gridSpan w:val="2"/>
          </w:tcPr>
          <w:p>
            <w:pPr>
              <w:jc w:val="right"/>
              <w:ind w:right="4670"/>
              <w:spacing w:after="0"/>
              <w:rPr>
                <w:sz w:val="20"/>
                <w:szCs w:val="20"/>
                <w:color w:val="auto"/>
              </w:rPr>
            </w:pPr>
            <w:r>
              <w:rPr>
                <w:rFonts w:ascii="Arial" w:cs="Arial" w:eastAsia="Arial" w:hAnsi="Arial"/>
                <w:sz w:val="18"/>
                <w:szCs w:val="18"/>
                <w:color w:val="auto"/>
                <w:w w:val="87"/>
              </w:rPr>
              <w:t>For the year ended December 31, 2023</w:t>
            </w:r>
          </w:p>
        </w:tc>
        <w:tc>
          <w:tcPr>
            <w:tcW w:w="1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55,454</w:t>
            </w:r>
          </w:p>
        </w:tc>
      </w:tr>
      <w:tr>
        <w:trPr>
          <w:trHeight w:val="243"/>
        </w:trPr>
        <w:tc>
          <w:tcPr>
            <w:tcW w:w="40" w:type="dxa"/>
            <w:vAlign w:val="bottom"/>
          </w:tcPr>
          <w:p>
            <w:pPr>
              <w:spacing w:after="0"/>
              <w:rPr>
                <w:sz w:val="21"/>
                <w:szCs w:val="21"/>
                <w:color w:val="auto"/>
              </w:rPr>
            </w:pPr>
          </w:p>
        </w:tc>
        <w:tc>
          <w:tcPr>
            <w:tcW w:w="7500" w:type="dxa"/>
            <w:vAlign w:val="bottom"/>
            <w:shd w:val="clear" w:color="auto" w:fill="B7E5FF"/>
          </w:tcPr>
          <w:p>
            <w:pPr>
              <w:jc w:val="right"/>
              <w:ind w:right="4670"/>
              <w:spacing w:after="0"/>
              <w:rPr>
                <w:sz w:val="20"/>
                <w:szCs w:val="20"/>
                <w:color w:val="auto"/>
              </w:rPr>
            </w:pPr>
            <w:r>
              <w:rPr>
                <w:rFonts w:ascii="Arial" w:cs="Arial" w:eastAsia="Arial" w:hAnsi="Arial"/>
                <w:sz w:val="18"/>
                <w:szCs w:val="18"/>
                <w:color w:val="auto"/>
                <w:w w:val="86"/>
              </w:rPr>
              <w:t>For the year ended December 31, 2024</w:t>
            </w:r>
          </w:p>
        </w:tc>
        <w:tc>
          <w:tcPr>
            <w:tcW w:w="16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54,848</w:t>
            </w:r>
          </w:p>
        </w:tc>
      </w:tr>
      <w:tr>
        <w:trPr>
          <w:trHeight w:val="243"/>
        </w:trPr>
        <w:tc>
          <w:tcPr>
            <w:tcW w:w="7540" w:type="dxa"/>
            <w:vAlign w:val="bottom"/>
            <w:gridSpan w:val="2"/>
          </w:tcPr>
          <w:p>
            <w:pPr>
              <w:jc w:val="right"/>
              <w:ind w:right="4670"/>
              <w:spacing w:after="0"/>
              <w:rPr>
                <w:sz w:val="20"/>
                <w:szCs w:val="20"/>
                <w:color w:val="auto"/>
              </w:rPr>
            </w:pPr>
            <w:r>
              <w:rPr>
                <w:rFonts w:ascii="Arial" w:cs="Arial" w:eastAsia="Arial" w:hAnsi="Arial"/>
                <w:sz w:val="18"/>
                <w:szCs w:val="18"/>
                <w:color w:val="auto"/>
                <w:w w:val="87"/>
              </w:rPr>
              <w:t>For the year ended December 31, 2025</w:t>
            </w: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54,027</w:t>
            </w:r>
          </w:p>
        </w:tc>
      </w:tr>
      <w:tr>
        <w:trPr>
          <w:trHeight w:val="229"/>
        </w:trPr>
        <w:tc>
          <w:tcPr>
            <w:tcW w:w="40" w:type="dxa"/>
            <w:vAlign w:val="bottom"/>
          </w:tcPr>
          <w:p>
            <w:pPr>
              <w:spacing w:after="0"/>
              <w:rPr>
                <w:sz w:val="19"/>
                <w:szCs w:val="19"/>
                <w:color w:val="auto"/>
              </w:rPr>
            </w:pPr>
          </w:p>
        </w:tc>
        <w:tc>
          <w:tcPr>
            <w:tcW w:w="7500" w:type="dxa"/>
            <w:vAlign w:val="bottom"/>
            <w:shd w:val="clear" w:color="auto" w:fill="B7E5FF"/>
          </w:tcPr>
          <w:p>
            <w:pPr>
              <w:jc w:val="right"/>
              <w:ind w:right="4670"/>
              <w:spacing w:after="0"/>
              <w:rPr>
                <w:sz w:val="20"/>
                <w:szCs w:val="20"/>
                <w:color w:val="auto"/>
              </w:rPr>
            </w:pPr>
            <w:r>
              <w:rPr>
                <w:rFonts w:ascii="Arial" w:cs="Arial" w:eastAsia="Arial" w:hAnsi="Arial"/>
                <w:sz w:val="18"/>
                <w:szCs w:val="18"/>
                <w:color w:val="auto"/>
                <w:w w:val="86"/>
              </w:rPr>
              <w:t>For the year ended December 31, 2026</w:t>
            </w:r>
          </w:p>
        </w:tc>
        <w:tc>
          <w:tcPr>
            <w:tcW w:w="16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53,835</w:t>
            </w:r>
          </w:p>
        </w:tc>
      </w:tr>
      <w:tr>
        <w:trPr>
          <w:trHeight w:val="257"/>
        </w:trPr>
        <w:tc>
          <w:tcPr>
            <w:tcW w:w="7540" w:type="dxa"/>
            <w:vAlign w:val="bottom"/>
            <w:gridSpan w:val="2"/>
          </w:tcPr>
          <w:p>
            <w:pPr>
              <w:jc w:val="right"/>
              <w:ind w:right="3790"/>
              <w:spacing w:after="0"/>
              <w:rPr>
                <w:sz w:val="20"/>
                <w:szCs w:val="20"/>
                <w:color w:val="auto"/>
              </w:rPr>
            </w:pPr>
            <w:r>
              <w:rPr>
                <w:rFonts w:ascii="Arial" w:cs="Arial" w:eastAsia="Arial" w:hAnsi="Arial"/>
                <w:sz w:val="18"/>
                <w:szCs w:val="18"/>
                <w:color w:val="auto"/>
                <w:w w:val="87"/>
              </w:rPr>
              <w:t>For the year ended December 31, 2027 and beyond</w:t>
            </w:r>
          </w:p>
        </w:tc>
        <w:tc>
          <w:tcPr>
            <w:tcW w:w="16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513,988</w:t>
            </w:r>
          </w:p>
        </w:tc>
      </w:tr>
    </w:tbl>
    <w:p>
      <w:pPr>
        <w:spacing w:after="0" w:line="81" w:lineRule="exact"/>
        <w:rPr>
          <w:sz w:val="20"/>
          <w:szCs w:val="20"/>
          <w:color w:val="auto"/>
        </w:rPr>
      </w:pPr>
    </w:p>
    <w:p>
      <w:pPr>
        <w:ind w:left="20" w:right="160" w:firstLine="324"/>
        <w:spacing w:after="0" w:line="302" w:lineRule="auto"/>
        <w:rPr>
          <w:sz w:val="20"/>
          <w:szCs w:val="20"/>
          <w:color w:val="auto"/>
        </w:rPr>
      </w:pPr>
      <w:r>
        <w:rPr>
          <w:rFonts w:ascii="Arial" w:cs="Arial" w:eastAsia="Arial" w:hAnsi="Arial"/>
          <w:sz w:val="16"/>
          <w:szCs w:val="16"/>
          <w:color w:val="auto"/>
        </w:rPr>
        <w:t>The Company had four indefinite-lived intangible assets totaling $ 178.2 million as of September 30, 2022, including $ 177.1 million of indefinite-lived intangible assets for trademarks and tradenames associated with the Combination. Comparatively, the Company had four indefinite-lived intangible assets for trademarks and tradenames totaling $196.9 million as of December 31, 2021.</w:t>
      </w:r>
    </w:p>
    <w:p>
      <w:pPr>
        <w:spacing w:after="0" w:line="34" w:lineRule="exact"/>
        <w:rPr>
          <w:sz w:val="20"/>
          <w:szCs w:val="20"/>
          <w:color w:val="auto"/>
        </w:rPr>
      </w:pPr>
    </w:p>
    <w:p>
      <w:pPr>
        <w:ind w:left="20" w:right="160" w:firstLine="324"/>
        <w:spacing w:after="0" w:line="276" w:lineRule="auto"/>
        <w:rPr>
          <w:sz w:val="20"/>
          <w:szCs w:val="20"/>
          <w:color w:val="auto"/>
        </w:rPr>
      </w:pPr>
      <w:r>
        <w:rPr>
          <w:rFonts w:ascii="Arial" w:cs="Arial" w:eastAsia="Arial" w:hAnsi="Arial"/>
          <w:sz w:val="16"/>
          <w:szCs w:val="16"/>
          <w:color w:val="auto"/>
        </w:rPr>
        <w:t>The Company completes its annual goodwill and indefinite-lived intangible asset impairment test during the fourth quarter of each year, or more frequently if triggering events indicate a possible impairment. The Company continually evaluates financial performance, economic conditions and other recent developments in assessing if a triggering event indicates that the carrying values of goodwill, indefinite-lived, or long-lived assets are impaired. The Company continues to monitor various financial, economic and geopolitical conditions impacting the Company, including the ongoing Russia-Ukraine war and the Company’s decision to cease operations in Russia, continued raw material cost escalation, supply chain constraints and disruptions, as well as rising interest rates and the cost of capital among other factors. The Company concluded that these and other factors, which have and continue to impact the Company, did not represent a triggering event during the third quarter of 2022, except for the Company’s EMEA reporting unit and the associated goodwill, as well as the related asset group. The Company concluded that during the third quarter of 2022 the escalation of these events adversely impacted EMEA’s financial performance and represented a triggering event.</w:t>
      </w:r>
    </w:p>
    <w:p>
      <w:pPr>
        <w:spacing w:after="0" w:line="31" w:lineRule="exact"/>
        <w:rPr>
          <w:sz w:val="20"/>
          <w:szCs w:val="20"/>
          <w:color w:val="auto"/>
        </w:rPr>
      </w:pPr>
    </w:p>
    <w:p>
      <w:pPr>
        <w:ind w:left="20" w:right="120" w:firstLine="324"/>
        <w:spacing w:after="0" w:line="279" w:lineRule="auto"/>
        <w:rPr>
          <w:sz w:val="20"/>
          <w:szCs w:val="20"/>
          <w:color w:val="auto"/>
        </w:rPr>
      </w:pPr>
      <w:r>
        <w:rPr>
          <w:rFonts w:ascii="Arial" w:cs="Arial" w:eastAsia="Arial" w:hAnsi="Arial"/>
          <w:sz w:val="16"/>
          <w:szCs w:val="16"/>
          <w:color w:val="auto"/>
        </w:rPr>
        <w:t>As a result of this conclusion, the Company completed an interim impairment assessment for its EMEA reporting unit, as well as the related asset group, during the third quarter of 2022. The Company concluded that the undiscounted cash flows exceeded the carrying value of the long-lived assets, and it is not more likely than not that an impairment exists. In completing a quantitative goodwill impairment test, the Company compares the reporting unit’s fair value, primarily based on future discounted cash flows, to its carrying value in order to determine if an impairment charge is warranted. The estimates of future discounted cash flows involve considerable management judgment and are based upon certain significant assumptions including the weighted average cost of capital</w:t>
      </w:r>
    </w:p>
    <w:p>
      <w:pPr>
        <w:sectPr>
          <w:pgSz w:w="11900" w:h="16838" w:orient="portrait"/>
          <w:cols w:equalWidth="0" w:num="1">
            <w:col w:w="9760"/>
          </w:cols>
          <w:pgMar w:left="1040" w:top="878" w:right="1099" w:bottom="1440" w:gutter="0" w:footer="0" w:header="0"/>
        </w:sectPr>
      </w:pP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60"/>
          </w:cols>
          <w:pgMar w:left="1040" w:top="878" w:right="1099" w:bottom="1440" w:gutter="0" w:footer="0" w:header="0"/>
          <w:type w:val="continuous"/>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jc w:val="both"/>
        <w:ind w:right="600"/>
        <w:spacing w:after="0" w:line="277" w:lineRule="auto"/>
        <w:rPr>
          <w:sz w:val="20"/>
          <w:szCs w:val="20"/>
          <w:color w:val="auto"/>
        </w:rPr>
      </w:pPr>
      <w:r>
        <w:rPr>
          <w:rFonts w:ascii="Arial" w:cs="Arial" w:eastAsia="Arial" w:hAnsi="Arial"/>
          <w:sz w:val="17"/>
          <w:szCs w:val="17"/>
          <w:color w:val="auto"/>
        </w:rPr>
        <w:t>as well as projected EBITDA, which includes assumptions related to revenue growth rates, gross margin levels and operating expenses. As a result of this interim impairment assessment, the estimated fair value of the EMEA reporting unit exceeded its carrying value by approximately 22% and the Company concluded no impairment was warranted.</w:t>
      </w:r>
    </w:p>
    <w:p>
      <w:pPr>
        <w:spacing w:after="0" w:line="12"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Notwithstanding the results of the Company’s interim impairment assessment, if the Company is unable to successfully implement selling price increases aimed at more than offsetting raw material costs and ongoing inflationary pressures and the financial performance of the EMEA reporting unit declines further, or interest rates continue to rise and this leads to an increase in the cost of capital, then it is possible these financial, economic and geopolitical conditions could result in another triggering event for the EMEA reporting unit in the future and could lead to a potential impairment. In addition, if any of these financial, economic or geopolitical conditions has a more significant adverse effect on the Company, these could lead to a potential impairment of the Company’s goodwill or other indefinite-lived or long-lived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Debt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September 30, 2022 and December 31, 2021 includes the following:</w:t>
      </w:r>
    </w:p>
    <w:p>
      <w:pPr>
        <w:sectPr>
          <w:pgSz w:w="11900" w:h="16838" w:orient="portrait"/>
          <w:cols w:equalWidth="0" w:num="1">
            <w:col w:w="9680"/>
          </w:cols>
          <w:pgMar w:left="1060" w:top="878" w:right="1159" w:bottom="1440" w:gutter="0" w:footer="0" w:header="0"/>
        </w:sectPr>
      </w:pPr>
    </w:p>
    <w:p>
      <w:pPr>
        <w:spacing w:after="0" w:line="11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As of September 30, 2022</w:t>
      </w:r>
    </w:p>
    <w:p>
      <w:pPr>
        <w:spacing w:after="0" w:line="50" w:lineRule="exact"/>
        <w:rPr>
          <w:sz w:val="20"/>
          <w:szCs w:val="20"/>
          <w:color w:val="auto"/>
        </w:rPr>
      </w:pPr>
    </w:p>
    <w:p>
      <w:pPr>
        <w:ind w:left="4420"/>
        <w:spacing w:after="0"/>
        <w:tabs>
          <w:tab w:leader="none" w:pos="554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4" w:lineRule="exact"/>
        <w:rPr>
          <w:sz w:val="20"/>
          <w:szCs w:val="20"/>
          <w:color w:val="auto"/>
        </w:rPr>
      </w:pPr>
    </w:p>
    <w:p>
      <w:pPr>
        <w:ind w:left="4540"/>
        <w:spacing w:after="0"/>
        <w:tabs>
          <w:tab w:leader="none" w:pos="572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As of December 31, 2021</w:t>
      </w:r>
    </w:p>
    <w:p>
      <w:pPr>
        <w:spacing w:after="0" w:line="50"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4"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1" w:lineRule="exact"/>
        <w:rPr>
          <w:sz w:val="20"/>
          <w:szCs w:val="20"/>
          <w:color w:val="auto"/>
        </w:rPr>
      </w:pPr>
    </w:p>
    <w:p>
      <w:pPr>
        <w:sectPr>
          <w:pgSz w:w="11900" w:h="16838" w:orient="portrait"/>
          <w:cols w:equalWidth="0" w:num="2">
            <w:col w:w="6520" w:space="560"/>
            <w:col w:w="2600"/>
          </w:cols>
          <w:pgMar w:left="1060" w:top="878" w:right="1159" w:bottom="1440" w:gutter="0" w:footer="0" w:header="0"/>
          <w:type w:val="continuous"/>
        </w:sectPr>
      </w:pPr>
    </w:p>
    <w:tbl>
      <w:tblPr>
        <w:tblLayout w:type="fixed"/>
        <w:tblInd w:w="180" w:type="dxa"/>
        <w:tblCellMar>
          <w:top w:w="0" w:type="dxa"/>
          <w:left w:w="0" w:type="dxa"/>
          <w:bottom w:w="0" w:type="dxa"/>
          <w:right w:w="0" w:type="dxa"/>
        </w:tblCellMar>
      </w:tblPr>
      <w:tr>
        <w:trPr>
          <w:trHeight w:val="223"/>
        </w:trPr>
        <w:tc>
          <w:tcPr>
            <w:tcW w:w="80" w:type="dxa"/>
            <w:vAlign w:val="bottom"/>
            <w:tcBorders>
              <w:right w:val="single" w:sz="8" w:color="B7E5FF"/>
            </w:tcBorders>
          </w:tcPr>
          <w:p>
            <w:pPr>
              <w:spacing w:after="0"/>
              <w:rPr>
                <w:sz w:val="19"/>
                <w:szCs w:val="19"/>
                <w:color w:val="auto"/>
              </w:rPr>
            </w:pPr>
          </w:p>
        </w:tc>
        <w:tc>
          <w:tcPr>
            <w:tcW w:w="402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Credit Facilities:</w:t>
            </w:r>
          </w:p>
        </w:tc>
        <w:tc>
          <w:tcPr>
            <w:tcW w:w="60" w:type="dxa"/>
            <w:vAlign w:val="bottom"/>
            <w:tcBorders>
              <w:top w:val="single" w:sz="8" w:color="B7E5FF"/>
            </w:tcBorders>
            <w:shd w:val="clear" w:color="auto" w:fill="B7E5FF"/>
          </w:tcPr>
          <w:p>
            <w:pPr>
              <w:spacing w:after="0"/>
              <w:rPr>
                <w:sz w:val="19"/>
                <w:szCs w:val="19"/>
                <w:color w:val="auto"/>
              </w:rPr>
            </w:pPr>
          </w:p>
        </w:tc>
        <w:tc>
          <w:tcPr>
            <w:tcW w:w="86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auto"/>
            </w:tcBorders>
            <w:shd w:val="clear" w:color="auto" w:fill="B7E5FF"/>
          </w:tcPr>
          <w:p>
            <w:pPr>
              <w:spacing w:after="0"/>
              <w:rPr>
                <w:sz w:val="19"/>
                <w:szCs w:val="19"/>
                <w:color w:val="auto"/>
              </w:rPr>
            </w:pPr>
          </w:p>
        </w:tc>
        <w:tc>
          <w:tcPr>
            <w:tcW w:w="138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B7E5FF"/>
            </w:tcBorders>
            <w:shd w:val="clear" w:color="auto" w:fill="B7E5FF"/>
          </w:tcPr>
          <w:p>
            <w:pPr>
              <w:spacing w:after="0"/>
              <w:rPr>
                <w:sz w:val="19"/>
                <w:szCs w:val="19"/>
                <w:color w:val="auto"/>
              </w:rPr>
            </w:pPr>
          </w:p>
        </w:tc>
        <w:tc>
          <w:tcPr>
            <w:tcW w:w="720" w:type="dxa"/>
            <w:vAlign w:val="bottom"/>
            <w:tcBorders>
              <w:top w:val="single" w:sz="8" w:color="auto"/>
            </w:tcBorders>
            <w:shd w:val="clear" w:color="auto" w:fill="B7E5FF"/>
          </w:tcPr>
          <w:p>
            <w:pPr>
              <w:spacing w:after="0"/>
              <w:rPr>
                <w:sz w:val="19"/>
                <w:szCs w:val="19"/>
                <w:color w:val="auto"/>
              </w:rPr>
            </w:pPr>
          </w:p>
        </w:tc>
        <w:tc>
          <w:tcPr>
            <w:tcW w:w="160" w:type="dxa"/>
            <w:vAlign w:val="bottom"/>
            <w:tcBorders>
              <w:top w:val="single" w:sz="8" w:color="auto"/>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1380" w:type="dxa"/>
            <w:vAlign w:val="bottom"/>
            <w:tcBorders>
              <w:top w:val="single" w:sz="8" w:color="auto"/>
            </w:tcBorders>
            <w:shd w:val="clear" w:color="auto" w:fill="B7E5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Original Revolver</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211,955</w:t>
            </w:r>
          </w:p>
        </w:tc>
      </w:tr>
      <w:tr>
        <w:trPr>
          <w:trHeight w:val="243"/>
        </w:trPr>
        <w:tc>
          <w:tcPr>
            <w:tcW w:w="80" w:type="dxa"/>
            <w:vAlign w:val="bottom"/>
            <w:tcBorders>
              <w:right w:val="single" w:sz="8" w:color="B7E5FF"/>
            </w:tcBorders>
          </w:tcPr>
          <w:p>
            <w:pPr>
              <w:spacing w:after="0"/>
              <w:rPr>
                <w:sz w:val="21"/>
                <w:szCs w:val="21"/>
                <w:color w:val="auto"/>
              </w:rPr>
            </w:pPr>
          </w:p>
        </w:tc>
        <w:tc>
          <w:tcPr>
            <w:tcW w:w="4020" w:type="dxa"/>
            <w:vAlign w:val="bottom"/>
            <w:shd w:val="clear" w:color="auto" w:fill="B7E5FF"/>
          </w:tcPr>
          <w:p>
            <w:pPr>
              <w:ind w:left="200"/>
              <w:spacing w:after="0"/>
              <w:rPr>
                <w:sz w:val="20"/>
                <w:szCs w:val="20"/>
                <w:color w:val="auto"/>
              </w:rPr>
            </w:pPr>
            <w:r>
              <w:rPr>
                <w:rFonts w:ascii="Arial" w:cs="Arial" w:eastAsia="Arial" w:hAnsi="Arial"/>
                <w:sz w:val="18"/>
                <w:szCs w:val="18"/>
                <w:color w:val="auto"/>
              </w:rPr>
              <w:t>Original U.S. Term Loan</w:t>
            </w:r>
          </w:p>
        </w:tc>
        <w:tc>
          <w:tcPr>
            <w:tcW w:w="60" w:type="dxa"/>
            <w:vAlign w:val="bottom"/>
            <w:shd w:val="clear" w:color="auto" w:fill="B7E5FF"/>
          </w:tcPr>
          <w:p>
            <w:pPr>
              <w:spacing w:after="0"/>
              <w:rPr>
                <w:sz w:val="21"/>
                <w:szCs w:val="21"/>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3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1.65%</w:t>
            </w:r>
          </w:p>
        </w:tc>
        <w:tc>
          <w:tcPr>
            <w:tcW w:w="1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540,000</w:t>
            </w:r>
          </w:p>
        </w:tc>
      </w:tr>
      <w:tr>
        <w:trPr>
          <w:trHeight w:val="230"/>
        </w:trPr>
        <w:tc>
          <w:tcPr>
            <w:tcW w:w="8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Original Euro Term Loan</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137,616</w:t>
            </w:r>
          </w:p>
        </w:tc>
      </w:tr>
      <w:tr>
        <w:trPr>
          <w:trHeight w:val="243"/>
        </w:trPr>
        <w:tc>
          <w:tcPr>
            <w:tcW w:w="80" w:type="dxa"/>
            <w:vAlign w:val="bottom"/>
            <w:tcBorders>
              <w:right w:val="single" w:sz="8" w:color="B7E5FF"/>
            </w:tcBorders>
          </w:tcPr>
          <w:p>
            <w:pPr>
              <w:spacing w:after="0"/>
              <w:rPr>
                <w:sz w:val="21"/>
                <w:szCs w:val="21"/>
                <w:color w:val="auto"/>
              </w:rPr>
            </w:pPr>
          </w:p>
        </w:tc>
        <w:tc>
          <w:tcPr>
            <w:tcW w:w="4020" w:type="dxa"/>
            <w:vAlign w:val="bottom"/>
            <w:shd w:val="clear" w:color="auto" w:fill="B7E5FF"/>
          </w:tcPr>
          <w:p>
            <w:pPr>
              <w:ind w:left="200"/>
              <w:spacing w:after="0"/>
              <w:rPr>
                <w:sz w:val="20"/>
                <w:szCs w:val="20"/>
                <w:color w:val="auto"/>
              </w:rPr>
            </w:pPr>
            <w:r>
              <w:rPr>
                <w:rFonts w:ascii="Arial" w:cs="Arial" w:eastAsia="Arial" w:hAnsi="Arial"/>
                <w:sz w:val="18"/>
                <w:szCs w:val="18"/>
                <w:color w:val="auto"/>
              </w:rPr>
              <w:t>Amended Revolver</w:t>
            </w:r>
          </w:p>
        </w:tc>
        <w:tc>
          <w:tcPr>
            <w:tcW w:w="60" w:type="dxa"/>
            <w:vAlign w:val="bottom"/>
            <w:shd w:val="clear" w:color="auto" w:fill="B7E5FF"/>
          </w:tcPr>
          <w:p>
            <w:pPr>
              <w:spacing w:after="0"/>
              <w:rPr>
                <w:sz w:val="21"/>
                <w:szCs w:val="21"/>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4.12%</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201,536</w:t>
            </w:r>
          </w:p>
        </w:tc>
        <w:tc>
          <w:tcPr>
            <w:tcW w:w="120" w:type="dxa"/>
            <w:vAlign w:val="bottom"/>
            <w:shd w:val="clear" w:color="auto" w:fill="B7E5FF"/>
          </w:tcPr>
          <w:p>
            <w:pPr>
              <w:spacing w:after="0"/>
              <w:rPr>
                <w:sz w:val="21"/>
                <w:szCs w:val="21"/>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Amended U.S. Term Loan</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4.26%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ind w:left="200"/>
              <w:spacing w:after="0"/>
              <w:rPr>
                <w:sz w:val="20"/>
                <w:szCs w:val="20"/>
                <w:color w:val="auto"/>
              </w:rPr>
            </w:pPr>
            <w:r>
              <w:rPr>
                <w:rFonts w:ascii="Arial" w:cs="Arial" w:eastAsia="Arial" w:hAnsi="Arial"/>
                <w:sz w:val="18"/>
                <w:szCs w:val="18"/>
                <w:color w:val="auto"/>
              </w:rPr>
              <w:t>Amended Euro Term Loan</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1.50%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139,627</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00" w:type="dxa"/>
            <w:vAlign w:val="bottom"/>
            <w:gridSpan w:val="2"/>
          </w:tcPr>
          <w:p>
            <w:pPr>
              <w:spacing w:after="0"/>
              <w:rPr>
                <w:sz w:val="20"/>
                <w:szCs w:val="20"/>
                <w:color w:val="auto"/>
              </w:rPr>
            </w:pPr>
            <w:r>
              <w:rPr>
                <w:rFonts w:ascii="Arial" w:cs="Arial" w:eastAsia="Arial" w:hAnsi="Arial"/>
                <w:sz w:val="18"/>
                <w:szCs w:val="18"/>
                <w:color w:val="auto"/>
              </w:rPr>
              <w:t>Industrial development bonds</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5.26%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5.26%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10,000</w:t>
            </w:r>
          </w:p>
        </w:tc>
      </w:tr>
      <w:tr>
        <w:trPr>
          <w:trHeight w:val="229"/>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Bank lines of credit and other debt obligations</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88"/>
              </w:rPr>
              <w:t>Various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85"/>
              </w:rPr>
              <w:t>Various</w:t>
            </w:r>
          </w:p>
        </w:tc>
        <w:tc>
          <w:tcPr>
            <w:tcW w:w="16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1,777</w:t>
            </w: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954,066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901,348</w:t>
            </w:r>
          </w:p>
        </w:tc>
      </w:tr>
      <w:tr>
        <w:trPr>
          <w:trHeight w:val="243"/>
        </w:trPr>
        <w:tc>
          <w:tcPr>
            <w:tcW w:w="80" w:type="dxa"/>
            <w:vAlign w:val="bottom"/>
            <w:tcBorders>
              <w:right w:val="single" w:sz="8" w:color="B7E5FF"/>
            </w:tcBorders>
          </w:tcPr>
          <w:p>
            <w:pPr>
              <w:spacing w:after="0"/>
              <w:rPr>
                <w:sz w:val="21"/>
                <w:szCs w:val="21"/>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Less: debt issuance costs</w:t>
            </w:r>
          </w:p>
        </w:tc>
        <w:tc>
          <w:tcPr>
            <w:tcW w:w="6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3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B7E5FF"/>
          </w:tcPr>
          <w:p>
            <w:pPr>
              <w:spacing w:after="0"/>
              <w:rPr>
                <w:sz w:val="21"/>
                <w:szCs w:val="21"/>
                <w:color w:val="auto"/>
              </w:rPr>
            </w:pPr>
          </w:p>
        </w:tc>
        <w:tc>
          <w:tcPr>
            <w:tcW w:w="7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3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(8,001)</w:t>
            </w:r>
          </w:p>
        </w:tc>
      </w:tr>
      <w:tr>
        <w:trPr>
          <w:trHeight w:val="229"/>
        </w:trPr>
        <w:tc>
          <w:tcPr>
            <w:tcW w:w="80" w:type="dxa"/>
            <w:vAlign w:val="bottom"/>
          </w:tcPr>
          <w:p>
            <w:pPr>
              <w:spacing w:after="0"/>
              <w:rPr>
                <w:sz w:val="19"/>
                <w:szCs w:val="19"/>
                <w:color w:val="auto"/>
              </w:rPr>
            </w:pPr>
          </w:p>
        </w:tc>
        <w:tc>
          <w:tcPr>
            <w:tcW w:w="402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w w:val="91"/>
              </w:rPr>
              <w:t>Less: short-term and current portion of long-term debts</w:t>
            </w:r>
          </w:p>
        </w:tc>
        <w:tc>
          <w:tcPr>
            <w:tcW w:w="60" w:type="dxa"/>
            <w:vAlign w:val="bottom"/>
            <w:tcBorders>
              <w:bottom w:val="single" w:sz="8" w:color="B7E5FF"/>
            </w:tcBorders>
          </w:tcPr>
          <w:p>
            <w:pPr>
              <w:spacing w:after="0"/>
              <w:rPr>
                <w:sz w:val="19"/>
                <w:szCs w:val="19"/>
                <w:color w:val="auto"/>
              </w:rPr>
            </w:pPr>
          </w:p>
        </w:tc>
        <w:tc>
          <w:tcPr>
            <w:tcW w:w="86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(20,471)</w:t>
            </w:r>
          </w:p>
        </w:tc>
        <w:tc>
          <w:tcPr>
            <w:tcW w:w="120" w:type="dxa"/>
            <w:vAlign w:val="bottom"/>
            <w:tcBorders>
              <w:bottom w:val="single" w:sz="8" w:color="B7E5FF"/>
            </w:tcBorders>
          </w:tcPr>
          <w:p>
            <w:pPr>
              <w:spacing w:after="0"/>
              <w:rPr>
                <w:sz w:val="19"/>
                <w:szCs w:val="19"/>
                <w:color w:val="auto"/>
              </w:rPr>
            </w:pPr>
          </w:p>
        </w:tc>
        <w:tc>
          <w:tcPr>
            <w:tcW w:w="72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(56,935)</w:t>
            </w:r>
          </w:p>
        </w:tc>
      </w:tr>
      <w:tr>
        <w:trPr>
          <w:trHeight w:val="237"/>
        </w:trPr>
        <w:tc>
          <w:tcPr>
            <w:tcW w:w="80" w:type="dxa"/>
            <w:vAlign w:val="bottom"/>
            <w:tcBorders>
              <w:right w:val="single" w:sz="8" w:color="B7E5FF"/>
            </w:tcBorders>
          </w:tcPr>
          <w:p>
            <w:pPr>
              <w:spacing w:after="0"/>
              <w:rPr>
                <w:sz w:val="20"/>
                <w:szCs w:val="20"/>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Total long-term debt</w:t>
            </w:r>
          </w:p>
        </w:tc>
        <w:tc>
          <w:tcPr>
            <w:tcW w:w="60" w:type="dxa"/>
            <w:vAlign w:val="bottom"/>
            <w:shd w:val="clear" w:color="auto" w:fill="B7E5FF"/>
          </w:tcPr>
          <w:p>
            <w:pPr>
              <w:spacing w:after="0"/>
              <w:rPr>
                <w:sz w:val="20"/>
                <w:szCs w:val="20"/>
                <w:color w:val="auto"/>
              </w:rPr>
            </w:pPr>
          </w:p>
        </w:tc>
        <w:tc>
          <w:tcPr>
            <w:tcW w:w="86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20" w:type="dxa"/>
            <w:vAlign w:val="bottom"/>
            <w:tcBorders>
              <w:bottom w:val="single" w:sz="8" w:color="auto"/>
            </w:tcBorders>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931,491</w:t>
            </w:r>
          </w:p>
        </w:tc>
        <w:tc>
          <w:tcPr>
            <w:tcW w:w="120" w:type="dxa"/>
            <w:vAlign w:val="bottom"/>
            <w:shd w:val="clear" w:color="auto" w:fill="B7E5FF"/>
          </w:tcPr>
          <w:p>
            <w:pPr>
              <w:spacing w:after="0"/>
              <w:rPr>
                <w:sz w:val="20"/>
                <w:szCs w:val="20"/>
                <w:color w:val="auto"/>
              </w:rPr>
            </w:pPr>
          </w:p>
        </w:tc>
        <w:tc>
          <w:tcPr>
            <w:tcW w:w="7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836,412</w:t>
            </w:r>
          </w:p>
        </w:tc>
      </w:tr>
      <w:tr>
        <w:trPr>
          <w:trHeight w:val="20"/>
        </w:trPr>
        <w:tc>
          <w:tcPr>
            <w:tcW w:w="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right="140" w:firstLine="324"/>
        <w:spacing w:after="0" w:line="283" w:lineRule="auto"/>
        <w:rPr>
          <w:sz w:val="20"/>
          <w:szCs w:val="20"/>
          <w:color w:val="auto"/>
        </w:rPr>
      </w:pPr>
      <w:r>
        <w:rPr>
          <w:rFonts w:ascii="Arial" w:cs="Arial" w:eastAsia="Arial" w:hAnsi="Arial"/>
          <w:sz w:val="16"/>
          <w:szCs w:val="16"/>
          <w:color w:val="auto"/>
        </w:rPr>
        <w:t>The Company, its wholly owned subsidiary, Quaker Chemical B.V., as borrowers, Bank of America, N.A., as administrative agent, U.S. Dollar swing line lender and letter of credit issuer, and the other lenders party thereto, entered into a credit agreement on August 1, 2019, as amended (the “Original Credit Facility”). The Original Credit Facility was comprised of a $ 400.0 million multicurrency revolver (the “Original Revolver”), a $ 600.0 million term loan (the “Original U.S. Term Loan”), each with the Company as borrower, and a $ 150.0 million (as of August 1, 2019) Euro equivalent term loan (the “Original Euro Term Loan”) with Quaker Chemical B.V., a Dutch subsidiary of the Company as borrower, each with a five year term, maturing in August 2024.</w:t>
      </w:r>
    </w:p>
    <w:p>
      <w:pPr>
        <w:spacing w:after="0" w:line="48"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the Original Credit Facility (the “Amended Credit Facility”). The Amended Credit Facility established (A) a new $150.0 million Euro equivalent senior secured term loan (the “Amended Euro Term Loan”), (B) a new $600.0 million senior secured term loan (the “Amended U.S. Term Loan”), and (C) a new $500.0 million senior secured revolving credit facility (the “Amended Revolver”). The Company has the right to increase the amount of the Amended Credit Facility by an aggregate amount not to exceed the greater of $ 300.0 million or 100% of Consolidated EBITDA, subject to certain conditions including the agreement to provide financing by any lender providing such increase). In addition, the Amended Credit Facility also:</w:t>
      </w:r>
    </w:p>
    <w:p>
      <w:pPr>
        <w:spacing w:after="0" w:line="65" w:lineRule="exact"/>
        <w:rPr>
          <w:sz w:val="20"/>
          <w:szCs w:val="20"/>
          <w:color w:val="auto"/>
        </w:rPr>
      </w:pPr>
    </w:p>
    <w:p>
      <w:pPr>
        <w:ind w:left="540" w:hanging="2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eliminated the requirement that material foreign subsidiaries must guaranty the Original Euro Term Loan;</w:t>
      </w:r>
    </w:p>
    <w:p>
      <w:pPr>
        <w:spacing w:after="0" w:line="117" w:lineRule="exact"/>
        <w:rPr>
          <w:rFonts w:ascii="Arial" w:cs="Arial" w:eastAsia="Arial" w:hAnsi="Arial"/>
          <w:sz w:val="18"/>
          <w:szCs w:val="18"/>
          <w:color w:val="auto"/>
        </w:rPr>
      </w:pPr>
    </w:p>
    <w:p>
      <w:pPr>
        <w:ind w:left="580" w:hanging="25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replaced the U.S. Dollar borrowings reference rate from LIBOR to SOFR;</w:t>
      </w:r>
    </w:p>
    <w:p>
      <w:pPr>
        <w:spacing w:after="0" w:line="103"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the maturity date of the Original Credit Facility from August 2024 to June 2027; and</w:t>
      </w:r>
    </w:p>
    <w:p>
      <w:pPr>
        <w:spacing w:after="0" w:line="103" w:lineRule="exact"/>
        <w:rPr>
          <w:rFonts w:ascii="Arial" w:cs="Arial" w:eastAsia="Arial" w:hAnsi="Arial"/>
          <w:sz w:val="18"/>
          <w:szCs w:val="18"/>
          <w:color w:val="auto"/>
        </w:rPr>
      </w:pPr>
    </w:p>
    <w:p>
      <w:pPr>
        <w:ind w:left="620" w:hanging="29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effected certain other changes to the Original Credit Facility as set forth in the Amended Credit Facility.</w:t>
      </w:r>
    </w:p>
    <w:p>
      <w:pPr>
        <w:sectPr>
          <w:pgSz w:w="11900" w:h="16838" w:orient="portrait"/>
          <w:cols w:equalWidth="0" w:num="1">
            <w:col w:w="9680"/>
          </w:cols>
          <w:pgMar w:left="1060" w:top="878" w:right="1159" w:bottom="1440" w:gutter="0" w:footer="0" w:header="0"/>
          <w:type w:val="continuous"/>
        </w:sectPr>
      </w:pP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680"/>
          </w:cols>
          <w:pgMar w:left="1060" w:top="878" w:right="1159" w:bottom="1440" w:gutter="0" w:footer="0" w:header="0"/>
          <w:type w:val="continuous"/>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The Company used the proceeds of the Amended Credit Facility to repay all outstanding loans under the Original Credit Facility, unpaid accrued interest and fees on the closing date under the Original Credit Facility and certain expenses and fees. U.S. Dollar-denominated borrowings under the Amended Credit Facility bear interest, at the Company’s election, at the base rate or term SOFR plus an applicable rate ranging from 1.00% to 1.75% for term SOFR loans and from 0.00% to 0.75% for base rate loans, depending upon the Company’s consolidated net leverage ratio. Loans based on term SOFR also include a spread adjustment equal to 0.10% per annum. Borrowings under the Amended Credit Facility denominated in currencies other than U.S. Dollars bear interest at the alternative currency term rate plus the applicable rate ranging from 1.00% to 1.75%.</w:t>
      </w:r>
    </w:p>
    <w:p>
      <w:pPr>
        <w:spacing w:after="0" w:line="64"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Amended Credit Facility contains affirmative and negative covenants, financial covenants and events of default, including without limitation restrictions on (a) the incurrence of additional indebtedness; (b) investments in and acquisitions of other businesses, lines of business and divisions; (c) the making of dividends or capital stock purchases; and (d) dispositions of assets. Dividends and share repurchases are permitted in annual amounts not exceeding the greater of $75 million annually and 25% of consolidated EBITDA if there is no default. If the consolidated net leverage ratio is less than 2.50 to 1.00, then the Company is no longer subject to restricted payments.</w:t>
      </w:r>
    </w:p>
    <w:p>
      <w:pPr>
        <w:spacing w:after="0" w:line="77"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Financial covenants contained in the Amended Credit Facility include a consolidated interest coverage ratio test and a consolidated net leverage ratio test. The consolidated net leverage ratio at the end of a quarter may not be greater than 4.00 to 1.00, subject to a permitted increase during a four-quarter period after certain acquisitions. The Company has the option of replacing the consolidated net leverage ratio test with a consolidated senior net leverage ratio test if the Company issues certain types of unsecured notes, subject to certain limitations. Events of default in the Amended Credit Facility include without limitation defaults for non-payment, breach of representations and warranties, non-performance of covenants, cross-defaults, insolvency, and a change of control in certain circumstances. The occurrence of an event of default under the Amended Credit Facility could result in all loans and other obligations becoming immediately due and payable and the Amended Credit Facility being terminated. As of September 30, 2022, the Company was in compliance with all of the Amended Credit Facility covenants.</w:t>
      </w:r>
    </w:p>
    <w:p>
      <w:pPr>
        <w:spacing w:after="0" w:line="65"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The weighted average variable interest rate incurred on the outstanding borrowings under the Original Credit Facility and the Amended Credit Facility during the nine months ended September 30, 2022 was approximately 2.4%. As of September 30, 2022, the interest rate on the outstanding borrowings under the Amended Credit Facility was approximately 3.8%. In addition to paying interest on outstanding principal under the Original Credit Facility, the Company was required to pay a commitment fee ranging from 0.2% to 0.3% depending on the Company’s consolidated net leverage ratio under the Original Revolver in respect of the unutilized commitments thereunder. As part of the Amended Credit Facility, the Company is required to pay a commitment fee ranging from</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0.150% to 0.275% related to unutilized commitments under the Amended Revolver, depending on the Company’s consolidated net leverage ratio. The Company had unused capacity under the Amended Revolver of approximately $ 295 million, which is net of bank letters of credit of approximately $ 3 million, as of September 30, 2022.</w:t>
      </w:r>
    </w:p>
    <w:p>
      <w:pPr>
        <w:spacing w:after="0" w:line="77" w:lineRule="exact"/>
        <w:rPr>
          <w:sz w:val="20"/>
          <w:szCs w:val="20"/>
          <w:color w:val="auto"/>
        </w:rPr>
      </w:pPr>
    </w:p>
    <w:p>
      <w:pPr>
        <w:ind w:right="80" w:firstLine="324"/>
        <w:spacing w:after="0" w:line="258" w:lineRule="auto"/>
        <w:rPr>
          <w:sz w:val="20"/>
          <w:szCs w:val="20"/>
          <w:color w:val="auto"/>
        </w:rPr>
      </w:pPr>
      <w:r>
        <w:rPr>
          <w:rFonts w:ascii="Arial" w:cs="Arial" w:eastAsia="Arial" w:hAnsi="Arial"/>
          <w:sz w:val="17"/>
          <w:szCs w:val="17"/>
          <w:color w:val="auto"/>
        </w:rPr>
        <w:t>The Company previously capitalized $ 23.7 million of certain third-party debt issuance costs in connection with executing the Original Credit Facility. Approximately $15.5 million of the capitalized costs were attributed to the Original Term Loans and recorded as a direct reduction of Long-term debt on the Condensed Consolidated Balance Sheet. Approximately $ 8.3 million of the capitalized costs were attributed to the Original Revolver and recorded within Other assets on the Condensed Consolidated Balance Sheet. These capitalized costs were being amortized into Interest expense over the five year term of the Original Credit Facility. As of December 31, 2021, the Company had $ 8.0 million of debt issuance costs recorded as a reduction of Long-term debt attributable to the Original Credit Facility. As of December 31, 2021, the Company had $ 4.3 million of debt issuance costs recorded within Other assets attributable to the Original Credit Facility. Prior to executing the Amended Credit Facility, the Company had $ 6.6 million of debt issuance costs recorded as a reduction of Long-term debt attributable to the Original Credit Facility and $ 3.5 million of debt issuance costs recorded within Other assets attributable to the Original Credit Facility.</w:t>
      </w:r>
    </w:p>
    <w:p>
      <w:pPr>
        <w:spacing w:after="0" w:line="86"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In connection with executing the Amended Credit Facility, the Company recorded a loss on extinguishment of debt of approximately $ 6.8 million which includes the write-off of certain previously unamortized deferred financing costs as well as a portion of the third-party and creditor debt issuance costs incurred to execute the Amended Credit Facility. Also in connection with executing the Amended Credit Facility, during the second quarter of 2022, the Company capitalized $ 2.2 million of certain third-party and creditor debt issuance costs. Approximately $ 0.7 million of the capitalized costs were attributed to the Amended Euro Term Loan and Amended U.S. Term Loan. These costs were recorded as a direct reduction of Long-term debt on the Condensed Consolidated Balance Sheet. Approximately $1.5 million of the capitalized costs were attributed to the Amended Revolver and recorded within Other assets on the Condensed Consolidated Balance Sheet. These capitalized costs, as well as the previously capitalized costs that were not written off will collectively be amortized into Interest expense over the five year term of the Amended Credit Facility. As of September 30, 2022, the Company had $ 2.1 million of debt issuance costs recorded as a reduction of Long-term debt on the Condensed Consolidated Balance Sheet and $ 4.6 million of debt issuance costs recorded within Other assets on the Condensed Consolidated Balance Sheet.</w:t>
      </w:r>
    </w:p>
    <w:p>
      <w:pPr>
        <w:sectPr>
          <w:pgSz w:w="11900" w:h="16838" w:orient="portrait"/>
          <w:cols w:equalWidth="0" w:num="1">
            <w:col w:w="9700"/>
          </w:cols>
          <w:pgMar w:left="1060" w:top="878" w:right="113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00"/>
          </w:cols>
          <w:pgMar w:left="1060" w:top="878" w:right="1139" w:bottom="1440" w:gutter="0" w:footer="0" w:header="0"/>
          <w:type w:val="continuous"/>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40" w:firstLine="324"/>
        <w:spacing w:after="0" w:line="258" w:lineRule="auto"/>
        <w:rPr>
          <w:sz w:val="20"/>
          <w:szCs w:val="20"/>
          <w:color w:val="auto"/>
        </w:rPr>
      </w:pPr>
      <w:r>
        <w:rPr>
          <w:rFonts w:ascii="Arial" w:cs="Arial" w:eastAsia="Arial" w:hAnsi="Arial"/>
          <w:sz w:val="17"/>
          <w:szCs w:val="17"/>
          <w:color w:val="auto"/>
        </w:rPr>
        <w:t>The Original Credit Facility required the Company to fix its variable interest rates on at least 20% of its total Original Term Loans. In order to satisfy this requirement as well as to manage the Company’s exposure to variable interest rate risk associated with the Original Credit Facility, in November 2019, the Company entered into $ 170.0 million notional amounts of three-year interest rate swaps at a base rate of 1.64% plus an applicable margin as provided in the Original Credit Facility, based on the Company’s consolidated net leverage ratio. At the time the Company entered into the swaps, and as of September 30, 2022, the aggregate interest rate on the swaps, including the fixed base rate plus an applicable margin, was 3.1%. The Amended Credit Facility does not require the Company to fix variable interest rates on any portion of its borrowings. As of September 30, 2022, the Company had not amended its current interest rate swaps. In October 2022, the Company’s interest rate swap contracts expired. Upon expiration, the Company is entitled to a cash payment from the counterparties, which is materially consistent with the fair value as of September 30, 2022. See Note 17 of Notes to Condensed Consolidated Financial Statements.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left="20" w:right="180" w:firstLine="324"/>
        <w:spacing w:after="0" w:line="341" w:lineRule="auto"/>
        <w:rPr>
          <w:sz w:val="20"/>
          <w:szCs w:val="20"/>
          <w:color w:val="auto"/>
        </w:rPr>
      </w:pPr>
      <w:r>
        <w:rPr>
          <w:rFonts w:ascii="Arial" w:cs="Arial" w:eastAsia="Arial" w:hAnsi="Arial"/>
          <w:sz w:val="16"/>
          <w:szCs w:val="16"/>
          <w:color w:val="auto"/>
        </w:rPr>
        <w:t>As of September 30, 2022 and December 31, 2021, the Company had fixed rate, industrial development authority bonds totaling $10.0 million in principal amount due in 2028. These bonds have similar covenants to the Amended Credit Facility noted above.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left="20" w:right="280" w:firstLine="324"/>
        <w:spacing w:after="0" w:line="268" w:lineRule="auto"/>
        <w:rPr>
          <w:sz w:val="20"/>
          <w:szCs w:val="20"/>
          <w:color w:val="auto"/>
        </w:rPr>
      </w:pPr>
      <w:r>
        <w:rPr>
          <w:rFonts w:ascii="Arial" w:cs="Arial" w:eastAsia="Arial" w:hAnsi="Arial"/>
          <w:sz w:val="17"/>
          <w:szCs w:val="17"/>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September 30, 2022 was approximately $12 million.</w:t>
      </w:r>
    </w:p>
    <w:p>
      <w:pPr>
        <w:spacing w:after="0" w:line="72" w:lineRule="exact"/>
        <w:rPr>
          <w:sz w:val="20"/>
          <w:szCs w:val="20"/>
          <w:color w:val="auto"/>
        </w:rPr>
      </w:pPr>
    </w:p>
    <w:p>
      <w:pPr>
        <w:ind w:left="20" w:right="440" w:firstLine="324"/>
        <w:spacing w:after="0" w:line="247"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other off-balance sheet arrangements include certain financial and other guarantees. The Company’s total bank letters of credit and guarantees outstanding as of September 30, 2022 were approximately $5 million.</w:t>
      </w:r>
    </w:p>
    <w:p>
      <w:pPr>
        <w:spacing w:after="0" w:line="90" w:lineRule="exact"/>
        <w:rPr>
          <w:sz w:val="20"/>
          <w:szCs w:val="20"/>
          <w:color w:val="auto"/>
        </w:rPr>
      </w:pPr>
    </w:p>
    <w:p>
      <w:pPr>
        <w:ind w:left="20" w:right="140" w:firstLine="324"/>
        <w:spacing w:after="0" w:line="261" w:lineRule="auto"/>
        <w:rPr>
          <w:sz w:val="20"/>
          <w:szCs w:val="20"/>
          <w:color w:val="auto"/>
        </w:rPr>
      </w:pPr>
      <w:r>
        <w:rPr>
          <w:rFonts w:ascii="Arial" w:cs="Arial" w:eastAsia="Arial" w:hAnsi="Arial"/>
          <w:sz w:val="18"/>
          <w:szCs w:val="18"/>
          <w:color w:val="auto"/>
        </w:rPr>
        <w:t>The Company incurred the following debt related expenses included within Interest expense, net, in the Condensed Consolidated Statements of Income:</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233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Borders>
              <w:bottom w:val="single" w:sz="8" w:color="auto"/>
            </w:tcBorders>
          </w:tcPr>
          <w:p>
            <w:pPr>
              <w:spacing w:after="0"/>
              <w:rPr>
                <w:sz w:val="18"/>
                <w:szCs w:val="18"/>
                <w:color w:val="auto"/>
              </w:rPr>
            </w:pPr>
          </w:p>
        </w:tc>
        <w:tc>
          <w:tcPr>
            <w:tcW w:w="233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20" w:type="dxa"/>
            <w:vAlign w:val="bottom"/>
          </w:tcPr>
          <w:p>
            <w:pPr>
              <w:spacing w:after="0"/>
              <w:rPr>
                <w:sz w:val="19"/>
                <w:szCs w:val="19"/>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Interest expense</w:t>
            </w:r>
          </w:p>
        </w:tc>
        <w:tc>
          <w:tcPr>
            <w:tcW w:w="110" w:type="dxa"/>
            <w:vAlign w:val="bottom"/>
            <w:gridSpan w:val="3"/>
            <w:shd w:val="clear" w:color="auto" w:fill="B7E5FF"/>
          </w:tcPr>
          <w:p>
            <w:pPr>
              <w:jc w:val="right"/>
              <w:ind w:right="30"/>
              <w:spacing w:after="0"/>
              <w:rPr>
                <w:sz w:val="20"/>
                <w:szCs w:val="20"/>
                <w:color w:val="auto"/>
              </w:rPr>
            </w:pPr>
            <w:r>
              <w:rPr>
                <w:rFonts w:ascii="Arial" w:cs="Arial" w:eastAsia="Arial" w:hAnsi="Arial"/>
                <w:sz w:val="15"/>
                <w:szCs w:val="15"/>
                <w:color w:val="auto"/>
                <w:w w:val="71"/>
              </w:rPr>
              <w:t>$</w:t>
            </w:r>
          </w:p>
        </w:tc>
        <w:tc>
          <w:tcPr>
            <w:tcW w:w="109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9,465</w:t>
            </w:r>
          </w:p>
        </w:tc>
        <w:tc>
          <w:tcPr>
            <w:tcW w:w="17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20,339</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14,242</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9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107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3,562</w:t>
            </w:r>
          </w:p>
        </w:tc>
      </w:tr>
      <w:tr>
        <w:trPr>
          <w:trHeight w:val="236"/>
        </w:trPr>
        <w:tc>
          <w:tcPr>
            <w:tcW w:w="20" w:type="dxa"/>
            <w:vAlign w:val="bottom"/>
          </w:tcPr>
          <w:p>
            <w:pPr>
              <w:spacing w:after="0"/>
              <w:rPr>
                <w:sz w:val="20"/>
                <w:szCs w:val="20"/>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Total</w:t>
            </w:r>
          </w:p>
        </w:tc>
        <w:tc>
          <w:tcPr>
            <w:tcW w:w="110" w:type="dxa"/>
            <w:vAlign w:val="bottom"/>
            <w:gridSpan w:val="3"/>
            <w:shd w:val="clear" w:color="auto" w:fill="B7E5FF"/>
          </w:tcPr>
          <w:p>
            <w:pPr>
              <w:jc w:val="right"/>
              <w:ind w:right="30"/>
              <w:spacing w:after="0"/>
              <w:rPr>
                <w:sz w:val="20"/>
                <w:szCs w:val="20"/>
                <w:color w:val="auto"/>
              </w:rPr>
            </w:pPr>
            <w:r>
              <w:rPr>
                <w:rFonts w:ascii="Arial" w:cs="Arial" w:eastAsia="Arial" w:hAnsi="Arial"/>
                <w:sz w:val="15"/>
                <w:szCs w:val="15"/>
                <w:color w:val="auto"/>
                <w:w w:val="71"/>
              </w:rPr>
              <w:t>$</w:t>
            </w:r>
          </w:p>
        </w:tc>
        <w:tc>
          <w:tcPr>
            <w:tcW w:w="109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9,818</w:t>
            </w:r>
          </w:p>
        </w:tc>
        <w:tc>
          <w:tcPr>
            <w:tcW w:w="170" w:type="dxa"/>
            <w:vAlign w:val="bottom"/>
            <w:gridSpan w:val="3"/>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22,928</w:t>
            </w: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17,804</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09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55" w:lineRule="auto"/>
        <w:rPr>
          <w:sz w:val="20"/>
          <w:szCs w:val="20"/>
          <w:color w:val="auto"/>
        </w:rPr>
      </w:pPr>
      <w:r>
        <w:rPr>
          <w:rFonts w:ascii="Arial" w:cs="Arial" w:eastAsia="Arial" w:hAnsi="Arial"/>
          <w:sz w:val="18"/>
          <w:szCs w:val="18"/>
          <w:color w:val="auto"/>
        </w:rPr>
        <w:t>Based on the variable interest rates associated with the Amended Credit Facility, as of September 30, 2022 and the Original Credit Facility as of December 31, 2021, the amounts at which the Company’s total debt were recorded are not materially different from their fair market value.</w:t>
      </w:r>
    </w:p>
    <w:p>
      <w:pPr>
        <w:spacing w:after="0" w:line="69" w:lineRule="exact"/>
        <w:rPr>
          <w:sz w:val="20"/>
          <w:szCs w:val="20"/>
          <w:color w:val="auto"/>
        </w:rPr>
      </w:pPr>
    </w:p>
    <w:p>
      <w:pPr>
        <w:ind w:left="20" w:right="80" w:firstLine="324"/>
        <w:spacing w:after="0" w:line="261" w:lineRule="auto"/>
        <w:rPr>
          <w:sz w:val="20"/>
          <w:szCs w:val="20"/>
          <w:color w:val="auto"/>
        </w:rPr>
      </w:pPr>
      <w:r>
        <w:rPr>
          <w:rFonts w:ascii="Arial" w:cs="Arial" w:eastAsia="Arial" w:hAnsi="Arial"/>
          <w:sz w:val="18"/>
          <w:szCs w:val="18"/>
          <w:color w:val="auto"/>
        </w:rPr>
        <w:t>On September 30, 2022, annual maturities on the Amended Credit Facility in the next five fiscal years (excluding the reduction to long-term debt attributed to capitalized and unamortized debt issuance costs)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 w:type="dxa"/>
            <w:vAlign w:val="bottom"/>
            <w:gridSpan w:val="2"/>
          </w:tcPr>
          <w:p>
            <w:pPr>
              <w:jc w:val="right"/>
              <w:ind w:right="690"/>
              <w:spacing w:after="0"/>
              <w:rPr>
                <w:sz w:val="20"/>
                <w:szCs w:val="20"/>
                <w:color w:val="auto"/>
              </w:rPr>
            </w:pPr>
            <w:r>
              <w:rPr>
                <w:rFonts w:ascii="Arial" w:cs="Arial" w:eastAsia="Arial" w:hAnsi="Arial"/>
                <w:sz w:val="8"/>
                <w:szCs w:val="8"/>
                <w:color w:val="FFFFFF"/>
                <w:w w:val="73"/>
              </w:rPr>
              <w:t>`</w:t>
            </w:r>
          </w:p>
        </w:tc>
        <w:tc>
          <w:tcPr>
            <w:tcW w:w="4680" w:type="dxa"/>
            <w:vAlign w:val="bottom"/>
          </w:tcPr>
          <w:p>
            <w:pPr>
              <w:spacing w:after="0"/>
              <w:rPr>
                <w:sz w:val="21"/>
                <w:szCs w:val="21"/>
                <w:color w:val="auto"/>
              </w:rPr>
            </w:pPr>
          </w:p>
        </w:tc>
        <w:tc>
          <w:tcPr>
            <w:tcW w:w="39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0" w:type="dxa"/>
            <w:vAlign w:val="bottom"/>
          </w:tcPr>
          <w:p>
            <w:pPr>
              <w:spacing w:after="0"/>
              <w:rPr>
                <w:sz w:val="20"/>
                <w:szCs w:val="20"/>
                <w:color w:val="auto"/>
              </w:rPr>
            </w:pPr>
          </w:p>
        </w:tc>
        <w:tc>
          <w:tcPr>
            <w:tcW w:w="780" w:type="dxa"/>
            <w:vAlign w:val="bottom"/>
            <w:tcBorders>
              <w:bottom w:val="single" w:sz="8" w:color="B7E5FF"/>
            </w:tcBorders>
          </w:tcPr>
          <w:p>
            <w:pPr>
              <w:spacing w:after="0"/>
              <w:rPr>
                <w:sz w:val="20"/>
                <w:szCs w:val="20"/>
                <w:color w:val="auto"/>
              </w:rPr>
            </w:pPr>
          </w:p>
        </w:tc>
        <w:tc>
          <w:tcPr>
            <w:tcW w:w="4680" w:type="dxa"/>
            <w:vAlign w:val="bottom"/>
            <w:tcBorders>
              <w:bottom w:val="single" w:sz="8" w:color="B7E5FF"/>
            </w:tcBorders>
          </w:tcPr>
          <w:p>
            <w:pPr>
              <w:spacing w:after="0"/>
              <w:rPr>
                <w:sz w:val="20"/>
                <w:szCs w:val="20"/>
                <w:color w:val="auto"/>
              </w:rPr>
            </w:pPr>
          </w:p>
        </w:tc>
        <w:tc>
          <w:tcPr>
            <w:tcW w:w="272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5460" w:type="dxa"/>
            <w:vAlign w:val="bottom"/>
            <w:gridSpan w:val="2"/>
            <w:shd w:val="clear" w:color="auto" w:fill="B7E5FF"/>
          </w:tcPr>
          <w:p>
            <w:pPr>
              <w:jc w:val="right"/>
              <w:ind w:right="3530"/>
              <w:spacing w:after="0"/>
              <w:rPr>
                <w:sz w:val="20"/>
                <w:szCs w:val="20"/>
                <w:color w:val="auto"/>
              </w:rPr>
            </w:pPr>
            <w:r>
              <w:rPr>
                <w:rFonts w:ascii="Arial" w:cs="Arial" w:eastAsia="Arial" w:hAnsi="Arial"/>
                <w:sz w:val="18"/>
                <w:szCs w:val="18"/>
                <w:color w:val="auto"/>
                <w:w w:val="87"/>
              </w:rPr>
              <w:t>For the remainder of 2022</w:t>
            </w:r>
          </w:p>
        </w:tc>
        <w:tc>
          <w:tcPr>
            <w:tcW w:w="27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4,623</w:t>
            </w:r>
          </w:p>
        </w:tc>
      </w:tr>
      <w:tr>
        <w:trPr>
          <w:trHeight w:val="229"/>
        </w:trPr>
        <w:tc>
          <w:tcPr>
            <w:tcW w:w="5500" w:type="dxa"/>
            <w:vAlign w:val="bottom"/>
            <w:gridSpan w:val="3"/>
          </w:tcPr>
          <w:p>
            <w:pPr>
              <w:jc w:val="right"/>
              <w:ind w:right="2630"/>
              <w:spacing w:after="0"/>
              <w:rPr>
                <w:sz w:val="20"/>
                <w:szCs w:val="20"/>
                <w:color w:val="auto"/>
              </w:rPr>
            </w:pPr>
            <w:r>
              <w:rPr>
                <w:rFonts w:ascii="Arial" w:cs="Arial" w:eastAsia="Arial" w:hAnsi="Arial"/>
                <w:sz w:val="18"/>
                <w:szCs w:val="18"/>
                <w:color w:val="auto"/>
                <w:w w:val="87"/>
              </w:rPr>
              <w:t>For the year ended December 31, 2023</w:t>
            </w: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18,491</w:t>
            </w:r>
          </w:p>
        </w:tc>
      </w:tr>
      <w:tr>
        <w:trPr>
          <w:trHeight w:val="243"/>
        </w:trPr>
        <w:tc>
          <w:tcPr>
            <w:tcW w:w="40" w:type="dxa"/>
            <w:vAlign w:val="bottom"/>
          </w:tcPr>
          <w:p>
            <w:pPr>
              <w:spacing w:after="0"/>
              <w:rPr>
                <w:sz w:val="21"/>
                <w:szCs w:val="21"/>
                <w:color w:val="auto"/>
              </w:rPr>
            </w:pPr>
          </w:p>
        </w:tc>
        <w:tc>
          <w:tcPr>
            <w:tcW w:w="5460" w:type="dxa"/>
            <w:vAlign w:val="bottom"/>
            <w:gridSpan w:val="2"/>
            <w:shd w:val="clear" w:color="auto" w:fill="B7E5FF"/>
          </w:tcPr>
          <w:p>
            <w:pPr>
              <w:jc w:val="right"/>
              <w:ind w:right="2630"/>
              <w:spacing w:after="0"/>
              <w:rPr>
                <w:sz w:val="20"/>
                <w:szCs w:val="20"/>
                <w:color w:val="auto"/>
              </w:rPr>
            </w:pPr>
            <w:r>
              <w:rPr>
                <w:rFonts w:ascii="Arial" w:cs="Arial" w:eastAsia="Arial" w:hAnsi="Arial"/>
                <w:sz w:val="18"/>
                <w:szCs w:val="18"/>
                <w:color w:val="auto"/>
                <w:w w:val="86"/>
              </w:rPr>
              <w:t>For the year ended December 31, 2024</w:t>
            </w:r>
          </w:p>
        </w:tc>
        <w:tc>
          <w:tcPr>
            <w:tcW w:w="27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23,113</w:t>
            </w:r>
          </w:p>
        </w:tc>
      </w:tr>
      <w:tr>
        <w:trPr>
          <w:trHeight w:val="243"/>
        </w:trPr>
        <w:tc>
          <w:tcPr>
            <w:tcW w:w="5500" w:type="dxa"/>
            <w:vAlign w:val="bottom"/>
            <w:gridSpan w:val="3"/>
          </w:tcPr>
          <w:p>
            <w:pPr>
              <w:jc w:val="right"/>
              <w:ind w:right="2630"/>
              <w:spacing w:after="0"/>
              <w:rPr>
                <w:sz w:val="20"/>
                <w:szCs w:val="20"/>
                <w:color w:val="auto"/>
              </w:rPr>
            </w:pPr>
            <w:r>
              <w:rPr>
                <w:rFonts w:ascii="Arial" w:cs="Arial" w:eastAsia="Arial" w:hAnsi="Arial"/>
                <w:sz w:val="18"/>
                <w:szCs w:val="18"/>
                <w:color w:val="auto"/>
                <w:w w:val="87"/>
              </w:rPr>
              <w:t>For the year ended December 31, 2025</w:t>
            </w:r>
          </w:p>
        </w:tc>
        <w:tc>
          <w:tcPr>
            <w:tcW w:w="2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36,981</w:t>
            </w:r>
          </w:p>
        </w:tc>
      </w:tr>
      <w:tr>
        <w:trPr>
          <w:trHeight w:val="230"/>
        </w:trPr>
        <w:tc>
          <w:tcPr>
            <w:tcW w:w="40" w:type="dxa"/>
            <w:vAlign w:val="bottom"/>
          </w:tcPr>
          <w:p>
            <w:pPr>
              <w:spacing w:after="0"/>
              <w:rPr>
                <w:sz w:val="19"/>
                <w:szCs w:val="19"/>
                <w:color w:val="auto"/>
              </w:rPr>
            </w:pPr>
          </w:p>
        </w:tc>
        <w:tc>
          <w:tcPr>
            <w:tcW w:w="5460" w:type="dxa"/>
            <w:vAlign w:val="bottom"/>
            <w:gridSpan w:val="2"/>
            <w:shd w:val="clear" w:color="auto" w:fill="B7E5FF"/>
          </w:tcPr>
          <w:p>
            <w:pPr>
              <w:jc w:val="right"/>
              <w:ind w:right="2630"/>
              <w:spacing w:after="0"/>
              <w:rPr>
                <w:sz w:val="20"/>
                <w:szCs w:val="20"/>
                <w:color w:val="auto"/>
              </w:rPr>
            </w:pPr>
            <w:r>
              <w:rPr>
                <w:rFonts w:ascii="Arial" w:cs="Arial" w:eastAsia="Arial" w:hAnsi="Arial"/>
                <w:sz w:val="18"/>
                <w:szCs w:val="18"/>
                <w:color w:val="auto"/>
                <w:w w:val="86"/>
              </w:rPr>
              <w:t>For the year ended December 31, 2026</w:t>
            </w:r>
          </w:p>
        </w:tc>
        <w:tc>
          <w:tcPr>
            <w:tcW w:w="2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36,981</w:t>
            </w:r>
          </w:p>
        </w:tc>
      </w:tr>
      <w:tr>
        <w:trPr>
          <w:trHeight w:val="249"/>
        </w:trPr>
        <w:tc>
          <w:tcPr>
            <w:tcW w:w="5500" w:type="dxa"/>
            <w:vAlign w:val="bottom"/>
            <w:gridSpan w:val="3"/>
          </w:tcPr>
          <w:p>
            <w:pPr>
              <w:jc w:val="right"/>
              <w:ind w:right="2630"/>
              <w:spacing w:after="0"/>
              <w:rPr>
                <w:sz w:val="20"/>
                <w:szCs w:val="20"/>
                <w:color w:val="auto"/>
              </w:rPr>
            </w:pPr>
            <w:r>
              <w:rPr>
                <w:rFonts w:ascii="Arial" w:cs="Arial" w:eastAsia="Arial" w:hAnsi="Arial"/>
                <w:sz w:val="18"/>
                <w:szCs w:val="18"/>
                <w:color w:val="auto"/>
                <w:w w:val="87"/>
              </w:rPr>
              <w:t>For the year ended December 31, 2027</w:t>
            </w:r>
          </w:p>
        </w:tc>
        <w:tc>
          <w:tcPr>
            <w:tcW w:w="2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820,974</w:t>
            </w:r>
          </w:p>
        </w:tc>
      </w:tr>
      <w:tr>
        <w:trPr>
          <w:trHeight w:val="216"/>
        </w:trPr>
        <w:tc>
          <w:tcPr>
            <w:tcW w:w="40" w:type="dxa"/>
            <w:vAlign w:val="bottom"/>
          </w:tcPr>
          <w:p>
            <w:pPr>
              <w:spacing w:after="0"/>
              <w:rPr>
                <w:sz w:val="18"/>
                <w:szCs w:val="18"/>
                <w:color w:val="auto"/>
              </w:rPr>
            </w:pPr>
          </w:p>
        </w:tc>
        <w:tc>
          <w:tcPr>
            <w:tcW w:w="780" w:type="dxa"/>
            <w:vAlign w:val="bottom"/>
            <w:tcBorders>
              <w:top w:val="single" w:sz="8" w:color="B7E5FF"/>
            </w:tcBorders>
            <w:shd w:val="clear" w:color="auto" w:fill="B7E5FF"/>
          </w:tcPr>
          <w:p>
            <w:pPr>
              <w:spacing w:after="0"/>
              <w:rPr>
                <w:sz w:val="18"/>
                <w:szCs w:val="18"/>
                <w:color w:val="auto"/>
              </w:rPr>
            </w:pPr>
          </w:p>
        </w:tc>
        <w:tc>
          <w:tcPr>
            <w:tcW w:w="4680" w:type="dxa"/>
            <w:vAlign w:val="bottom"/>
            <w:tcBorders>
              <w:top w:val="single" w:sz="8" w:color="B7E5FF"/>
            </w:tcBorders>
            <w:shd w:val="clear" w:color="auto" w:fill="B7E5FF"/>
          </w:tcPr>
          <w:p>
            <w:pPr>
              <w:jc w:val="right"/>
              <w:ind w:right="3530"/>
              <w:spacing w:after="0"/>
              <w:rPr>
                <w:sz w:val="20"/>
                <w:szCs w:val="20"/>
                <w:color w:val="auto"/>
              </w:rPr>
            </w:pPr>
            <w:r>
              <w:rPr>
                <w:rFonts w:ascii="Arial" w:cs="Arial" w:eastAsia="Arial" w:hAnsi="Arial"/>
                <w:sz w:val="18"/>
                <w:szCs w:val="18"/>
                <w:color w:val="auto"/>
                <w:w w:val="84"/>
              </w:rPr>
              <w:t>Total payments</w:t>
            </w:r>
          </w:p>
        </w:tc>
        <w:tc>
          <w:tcPr>
            <w:tcW w:w="2720" w:type="dxa"/>
            <w:vAlign w:val="bottom"/>
            <w:tcBorders>
              <w:top w:val="single" w:sz="8" w:color="B7E5FF"/>
            </w:tcBorders>
            <w:shd w:val="clear" w:color="auto" w:fill="B7E5FF"/>
          </w:tcPr>
          <w:p>
            <w:pPr>
              <w:spacing w:after="0"/>
              <w:rPr>
                <w:sz w:val="18"/>
                <w:szCs w:val="18"/>
                <w:color w:val="auto"/>
              </w:rPr>
            </w:pPr>
          </w:p>
        </w:tc>
        <w:tc>
          <w:tcPr>
            <w:tcW w:w="160" w:type="dxa"/>
            <w:vAlign w:val="bottom"/>
            <w:tcBorders>
              <w:top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0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941,163</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4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740"/>
          </w:cols>
          <w:pgMar w:left="1040" w:top="878" w:right="111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 Accumulated Other Comprehensive Income</w:t>
      </w:r>
    </w:p>
    <w:p>
      <w:pPr>
        <w:spacing w:after="0" w:line="108" w:lineRule="exact"/>
        <w:rPr>
          <w:sz w:val="20"/>
          <w:szCs w:val="20"/>
          <w:color w:val="auto"/>
        </w:rPr>
      </w:pPr>
    </w:p>
    <w:p>
      <w:pPr>
        <w:ind w:left="20" w:right="740" w:firstLine="324"/>
        <w:spacing w:after="0" w:line="261" w:lineRule="auto"/>
        <w:rPr>
          <w:sz w:val="20"/>
          <w:szCs w:val="20"/>
          <w:color w:val="auto"/>
        </w:rPr>
      </w:pPr>
      <w:r>
        <w:rPr>
          <w:rFonts w:ascii="Arial" w:cs="Arial" w:eastAsia="Arial" w:hAnsi="Arial"/>
          <w:sz w:val="18"/>
          <w:szCs w:val="18"/>
          <w:color w:val="auto"/>
        </w:rPr>
        <w:t>The following tables show the reclassifications from and resulting balances of accumulated other comprehensive income (“AOCI”) for the three and nine months ended September 30, 2022 and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Benefit</w:t>
            </w:r>
          </w:p>
        </w:tc>
        <w:tc>
          <w:tcPr>
            <w:tcW w:w="124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(Loss) Gain in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80" w:type="dxa"/>
            <w:vAlign w:val="bottom"/>
          </w:tcPr>
          <w:p>
            <w:pPr>
              <w:spacing w:after="0"/>
              <w:rPr>
                <w:sz w:val="19"/>
                <w:szCs w:val="19"/>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Available-for-   Derivative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6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Borders>
              <w:lef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vMerge w:val="continue"/>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(133,110)</w:t>
            </w:r>
          </w:p>
        </w:tc>
        <w:tc>
          <w:tcPr>
            <w:tcW w:w="160" w:type="dxa"/>
            <w:vAlign w:val="bottom"/>
            <w:tcBorders>
              <w:left w:val="single" w:sz="8" w:color="B7E5FF"/>
            </w:tcBorders>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(11,269)</w:t>
            </w:r>
          </w:p>
        </w:tc>
        <w:tc>
          <w:tcPr>
            <w:tcW w:w="16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(1,170)</w:t>
            </w:r>
          </w:p>
        </w:tc>
        <w:tc>
          <w:tcPr>
            <w:tcW w:w="160" w:type="dxa"/>
            <w:vAlign w:val="bottom"/>
            <w:tcBorders>
              <w:lef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303</w:t>
            </w:r>
          </w:p>
        </w:tc>
        <w:tc>
          <w:tcPr>
            <w:tcW w:w="160" w:type="dxa"/>
            <w:vAlign w:val="bottom"/>
            <w:tcBorders>
              <w:lef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(145,246)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(71,948)</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453</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(1,006)</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(72,683)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auto"/>
              <w:right w:val="single" w:sz="8" w:color="B7E5FF"/>
            </w:tcBorders>
            <w:shd w:val="clear" w:color="auto" w:fill="B7E5FF"/>
          </w:tcPr>
          <w:p>
            <w:pPr>
              <w:spacing w:after="0"/>
              <w:rPr>
                <w:sz w:val="19"/>
                <w:szCs w:val="19"/>
                <w:color w:val="auto"/>
              </w:rPr>
            </w:pP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42</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(205,058)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(10,772)</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(217,655)</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10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lef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lef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1000" w:type="dxa"/>
            <w:vAlign w:val="bottom"/>
            <w:tcBorders>
              <w:top w:val="single" w:sz="8" w:color="auto"/>
            </w:tcBorders>
            <w:shd w:val="clear" w:color="auto" w:fill="B7E5FF"/>
          </w:tcPr>
          <w:p>
            <w:pPr>
              <w:spacing w:after="0"/>
              <w:rPr>
                <w:sz w:val="14"/>
                <w:szCs w:val="14"/>
                <w:color w:val="auto"/>
              </w:rPr>
            </w:pPr>
          </w:p>
        </w:tc>
        <w:tc>
          <w:tcPr>
            <w:tcW w:w="8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left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tcBorders>
            <w:shd w:val="clear" w:color="auto" w:fill="B7E5FF"/>
          </w:tcPr>
          <w:p>
            <w:pPr>
              <w:spacing w:after="0"/>
              <w:rPr>
                <w:sz w:val="14"/>
                <w:szCs w:val="14"/>
                <w:color w:val="auto"/>
              </w:rPr>
            </w:pPr>
          </w:p>
        </w:tc>
        <w:tc>
          <w:tcPr>
            <w:tcW w:w="60" w:type="dxa"/>
            <w:vAlign w:val="bottom"/>
            <w:tcBorders>
              <w:top w:val="single" w:sz="8" w:color="B7E5FF"/>
              <w:left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40" w:type="dxa"/>
            <w:vAlign w:val="bottom"/>
            <w:tcBorders>
              <w:top w:val="single" w:sz="8" w:color="auto"/>
            </w:tcBorders>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(12,177)</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(21,778)</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(2,584)</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(18,935)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709</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(176)</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6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(32,082)</w:t>
            </w:r>
          </w:p>
        </w:tc>
        <w:tc>
          <w:tcPr>
            <w:tcW w:w="160" w:type="dxa"/>
            <w:vAlign w:val="bottom"/>
            <w:tcBorders>
              <w:left w:val="single" w:sz="8" w:color="B7E5FF"/>
            </w:tcBorders>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(20,874)</w:t>
            </w:r>
          </w:p>
        </w:tc>
        <w:tc>
          <w:tcPr>
            <w:tcW w:w="16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right w:val="single" w:sz="8" w:color="B7E5FF"/>
            </w:tcBorders>
            <w:shd w:val="clear" w:color="auto" w:fill="B7E5FF"/>
          </w:tcPr>
          <w:p>
            <w:pPr>
              <w:spacing w:after="0"/>
              <w:rPr>
                <w:sz w:val="18"/>
                <w:szCs w:val="18"/>
                <w:color w:val="auto"/>
              </w:rPr>
            </w:pPr>
          </w:p>
        </w:tc>
        <w:tc>
          <w:tcPr>
            <w:tcW w:w="160" w:type="dxa"/>
            <w:vAlign w:val="bottom"/>
            <w:tcBorders>
              <w:lef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(2,148)</w:t>
            </w:r>
          </w:p>
        </w:tc>
        <w:tc>
          <w:tcPr>
            <w:tcW w:w="160" w:type="dxa"/>
            <w:vAlign w:val="bottom"/>
            <w:tcBorders>
              <w:lef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(54,723)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Benefit</w:t>
            </w:r>
          </w:p>
        </w:tc>
        <w:tc>
          <w:tcPr>
            <w:tcW w:w="124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Gain (Loss) in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80" w:type="dxa"/>
            <w:vAlign w:val="bottom"/>
          </w:tcPr>
          <w:p>
            <w:pPr>
              <w:spacing w:after="0"/>
              <w:rPr>
                <w:sz w:val="19"/>
                <w:szCs w:val="19"/>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Available-for-   Derivative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6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4100" w:type="dxa"/>
            <w:vAlign w:val="bottom"/>
            <w:shd w:val="clear" w:color="auto" w:fill="B7E5FF"/>
          </w:tcPr>
          <w:p>
            <w:pPr>
              <w:spacing w:after="0"/>
              <w:rPr>
                <w:sz w:val="2"/>
                <w:szCs w:val="2"/>
                <w:color w:val="auto"/>
              </w:rPr>
            </w:pPr>
          </w:p>
        </w:tc>
        <w:tc>
          <w:tcPr>
            <w:tcW w:w="100" w:type="dxa"/>
            <w:vAlign w:val="bottom"/>
            <w:tcBorders>
              <w:right w:val="single" w:sz="8" w:color="B7E5FF"/>
            </w:tcBorders>
            <w:shd w:val="clear" w:color="auto" w:fill="B7E5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410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b w:val="1"/>
                <w:bCs w:val="1"/>
                <w:color w:val="auto"/>
              </w:rPr>
              <w:t>Balance at December 31, 2021</w:t>
            </w:r>
          </w:p>
        </w:tc>
        <w:tc>
          <w:tcPr>
            <w:tcW w:w="18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(49,843)</w:t>
            </w:r>
          </w:p>
        </w:tc>
        <w:tc>
          <w:tcPr>
            <w:tcW w:w="160" w:type="dxa"/>
            <w:vAlign w:val="bottom"/>
            <w:tcBorders>
              <w:left w:val="single" w:sz="8" w:color="B7E5FF"/>
            </w:tcBorders>
            <w:gridSpan w:val="2"/>
            <w:shd w:val="clear" w:color="auto" w:fill="B7E5FF"/>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(13,172)</w:t>
            </w:r>
          </w:p>
        </w:tc>
        <w:tc>
          <w:tcPr>
            <w:tcW w:w="160" w:type="dxa"/>
            <w:vAlign w:val="bottom"/>
            <w:tcBorders>
              <w:left w:val="single" w:sz="8" w:color="B7E5FF"/>
            </w:tcBorders>
            <w:gridSpan w:val="2"/>
            <w:shd w:val="clear" w:color="auto" w:fill="B7E5FF"/>
          </w:tcPr>
          <w:p>
            <w:pPr>
              <w:ind w:left="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397</w:t>
            </w:r>
          </w:p>
        </w:tc>
        <w:tc>
          <w:tcPr>
            <w:tcW w:w="80" w:type="dxa"/>
            <w:vAlign w:val="bottom"/>
            <w:tcBorders>
              <w:right w:val="single" w:sz="8" w:color="B7E5FF"/>
            </w:tcBorders>
            <w:shd w:val="clear" w:color="auto" w:fill="B7E5FF"/>
          </w:tcPr>
          <w:p>
            <w:pPr>
              <w:spacing w:after="0"/>
              <w:rPr>
                <w:sz w:val="18"/>
                <w:szCs w:val="18"/>
                <w:color w:val="auto"/>
              </w:rPr>
            </w:pPr>
          </w:p>
        </w:tc>
        <w:tc>
          <w:tcPr>
            <w:tcW w:w="160" w:type="dxa"/>
            <w:vAlign w:val="bottom"/>
            <w:tcBorders>
              <w:left w:val="single" w:sz="8" w:color="B7E5FF"/>
            </w:tcBorders>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(1,372)</w:t>
            </w:r>
          </w:p>
        </w:tc>
        <w:tc>
          <w:tcPr>
            <w:tcW w:w="160" w:type="dxa"/>
            <w:vAlign w:val="bottom"/>
            <w:tcBorders>
              <w:left w:val="single" w:sz="8" w:color="B7E5FF"/>
            </w:tcBorders>
            <w:gridSpan w:val="2"/>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(63,990)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(155,215)</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2,535</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(3,326)</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1,993</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(154,013)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B7E5FF"/>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(792)</w:t>
            </w:r>
          </w:p>
        </w:tc>
        <w:tc>
          <w:tcPr>
            <w:tcW w:w="80" w:type="dxa"/>
            <w:vAlign w:val="bottom"/>
            <w:tcBorders>
              <w:left w:val="single" w:sz="8" w:color="B7E5FF"/>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635</w:t>
            </w:r>
          </w:p>
        </w:tc>
        <w:tc>
          <w:tcPr>
            <w:tcW w:w="80" w:type="dxa"/>
            <w:vAlign w:val="bottom"/>
            <w:tcBorders>
              <w:bottom w:val="single" w:sz="8" w:color="auto"/>
              <w:right w:val="single" w:sz="8" w:color="B7E5FF"/>
            </w:tcBorders>
            <w:shd w:val="clear" w:color="auto" w:fill="B7E5FF"/>
          </w:tcPr>
          <w:p>
            <w:pPr>
              <w:spacing w:after="0"/>
              <w:rPr>
                <w:sz w:val="18"/>
                <w:szCs w:val="18"/>
                <w:color w:val="auto"/>
              </w:rPr>
            </w:pPr>
          </w:p>
        </w:tc>
        <w:tc>
          <w:tcPr>
            <w:tcW w:w="60" w:type="dxa"/>
            <w:vAlign w:val="bottom"/>
            <w:tcBorders>
              <w:left w:val="single" w:sz="8" w:color="B7E5FF"/>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(458)</w:t>
            </w:r>
          </w:p>
        </w:tc>
        <w:tc>
          <w:tcPr>
            <w:tcW w:w="60" w:type="dxa"/>
            <w:vAlign w:val="bottom"/>
            <w:tcBorders>
              <w:left w:val="single" w:sz="8" w:color="B7E5FF"/>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at September 30,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(205,058)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(10,772)</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(217,655)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00" w:type="dxa"/>
            <w:vAlign w:val="bottom"/>
            <w:tcBorders>
              <w:top w:val="single" w:sz="8" w:color="B7E5FF"/>
              <w:bottom w:val="single" w:sz="8" w:color="B7E5FF"/>
            </w:tcBorders>
            <w:shd w:val="clear" w:color="auto" w:fill="B7E5FF"/>
          </w:tcPr>
          <w:p>
            <w:pPr>
              <w:spacing w:after="0"/>
              <w:rPr>
                <w:sz w:val="16"/>
                <w:szCs w:val="16"/>
                <w:color w:val="auto"/>
              </w:rPr>
            </w:pPr>
          </w:p>
        </w:tc>
        <w:tc>
          <w:tcPr>
            <w:tcW w:w="100" w:type="dxa"/>
            <w:vAlign w:val="bottom"/>
            <w:tcBorders>
              <w:top w:val="single" w:sz="8" w:color="B7E5FF"/>
              <w:bottom w:val="single" w:sz="8" w:color="B7E5FF"/>
              <w:right w:val="single" w:sz="8" w:color="B7E5FF"/>
            </w:tcBorders>
            <w:shd w:val="clear" w:color="auto" w:fill="B7E5FF"/>
          </w:tcPr>
          <w:p>
            <w:pPr>
              <w:spacing w:after="0"/>
              <w:rPr>
                <w:sz w:val="16"/>
                <w:szCs w:val="16"/>
                <w:color w:val="auto"/>
              </w:rPr>
            </w:pPr>
          </w:p>
        </w:tc>
        <w:tc>
          <w:tcPr>
            <w:tcW w:w="80" w:type="dxa"/>
            <w:vAlign w:val="bottom"/>
            <w:tcBorders>
              <w:top w:val="single" w:sz="8" w:color="auto"/>
            </w:tcBorders>
            <w:shd w:val="clear" w:color="auto" w:fill="B7E5FF"/>
          </w:tcPr>
          <w:p>
            <w:pPr>
              <w:spacing w:after="0"/>
              <w:rPr>
                <w:sz w:val="16"/>
                <w:szCs w:val="16"/>
                <w:color w:val="auto"/>
              </w:rPr>
            </w:pPr>
          </w:p>
        </w:tc>
        <w:tc>
          <w:tcPr>
            <w:tcW w:w="960" w:type="dxa"/>
            <w:vAlign w:val="bottom"/>
            <w:tcBorders>
              <w:top w:val="single" w:sz="8" w:color="auto"/>
              <w:right w:val="single" w:sz="8" w:color="B7E5FF"/>
            </w:tcBorders>
            <w:shd w:val="clear" w:color="auto" w:fill="B7E5FF"/>
          </w:tcPr>
          <w:p>
            <w:pPr>
              <w:spacing w:after="0"/>
              <w:rPr>
                <w:sz w:val="16"/>
                <w:szCs w:val="16"/>
                <w:color w:val="auto"/>
              </w:rPr>
            </w:pPr>
          </w:p>
        </w:tc>
        <w:tc>
          <w:tcPr>
            <w:tcW w:w="80" w:type="dxa"/>
            <w:vAlign w:val="bottom"/>
            <w:tcBorders>
              <w:top w:val="single" w:sz="8" w:color="B7E5FF"/>
              <w:left w:val="single" w:sz="8" w:color="B7E5FF"/>
              <w:bottom w:val="single" w:sz="8" w:color="B7E5FF"/>
            </w:tcBorders>
            <w:shd w:val="clear" w:color="auto" w:fill="B7E5FF"/>
          </w:tcPr>
          <w:p>
            <w:pPr>
              <w:spacing w:after="0"/>
              <w:rPr>
                <w:sz w:val="16"/>
                <w:szCs w:val="16"/>
                <w:color w:val="auto"/>
              </w:rPr>
            </w:pPr>
          </w:p>
        </w:tc>
        <w:tc>
          <w:tcPr>
            <w:tcW w:w="80" w:type="dxa"/>
            <w:vAlign w:val="bottom"/>
            <w:tcBorders>
              <w:top w:val="single" w:sz="8" w:color="auto"/>
            </w:tcBorders>
            <w:shd w:val="clear" w:color="auto" w:fill="B7E5FF"/>
          </w:tcPr>
          <w:p>
            <w:pPr>
              <w:spacing w:after="0"/>
              <w:rPr>
                <w:sz w:val="16"/>
                <w:szCs w:val="16"/>
                <w:color w:val="auto"/>
              </w:rPr>
            </w:pPr>
          </w:p>
        </w:tc>
        <w:tc>
          <w:tcPr>
            <w:tcW w:w="960" w:type="dxa"/>
            <w:vAlign w:val="bottom"/>
            <w:tcBorders>
              <w:top w:val="single" w:sz="8" w:color="auto"/>
              <w:right w:val="single" w:sz="8" w:color="B7E5FF"/>
            </w:tcBorders>
            <w:shd w:val="clear" w:color="auto" w:fill="B7E5FF"/>
          </w:tcPr>
          <w:p>
            <w:pPr>
              <w:spacing w:after="0"/>
              <w:rPr>
                <w:sz w:val="16"/>
                <w:szCs w:val="16"/>
                <w:color w:val="auto"/>
              </w:rPr>
            </w:pPr>
          </w:p>
        </w:tc>
        <w:tc>
          <w:tcPr>
            <w:tcW w:w="80" w:type="dxa"/>
            <w:vAlign w:val="bottom"/>
            <w:tcBorders>
              <w:top w:val="single" w:sz="8" w:color="B7E5FF"/>
              <w:left w:val="single" w:sz="8" w:color="B7E5FF"/>
              <w:bottom w:val="single" w:sz="8" w:color="B7E5FF"/>
            </w:tcBorders>
            <w:shd w:val="clear" w:color="auto" w:fill="B7E5FF"/>
          </w:tcPr>
          <w:p>
            <w:pPr>
              <w:spacing w:after="0"/>
              <w:rPr>
                <w:sz w:val="16"/>
                <w:szCs w:val="16"/>
                <w:color w:val="auto"/>
              </w:rPr>
            </w:pPr>
          </w:p>
        </w:tc>
        <w:tc>
          <w:tcPr>
            <w:tcW w:w="80" w:type="dxa"/>
            <w:vAlign w:val="bottom"/>
            <w:tcBorders>
              <w:top w:val="single" w:sz="8" w:color="auto"/>
            </w:tcBorders>
            <w:shd w:val="clear" w:color="auto" w:fill="B7E5FF"/>
          </w:tcPr>
          <w:p>
            <w:pPr>
              <w:spacing w:after="0"/>
              <w:rPr>
                <w:sz w:val="16"/>
                <w:szCs w:val="16"/>
                <w:color w:val="auto"/>
              </w:rPr>
            </w:pPr>
          </w:p>
        </w:tc>
        <w:tc>
          <w:tcPr>
            <w:tcW w:w="1000" w:type="dxa"/>
            <w:vAlign w:val="bottom"/>
            <w:tcBorders>
              <w:top w:val="single" w:sz="8" w:color="auto"/>
            </w:tcBorders>
            <w:shd w:val="clear" w:color="auto" w:fill="B7E5FF"/>
          </w:tcPr>
          <w:p>
            <w:pPr>
              <w:spacing w:after="0"/>
              <w:rPr>
                <w:sz w:val="16"/>
                <w:szCs w:val="16"/>
                <w:color w:val="auto"/>
              </w:rPr>
            </w:pPr>
          </w:p>
        </w:tc>
        <w:tc>
          <w:tcPr>
            <w:tcW w:w="80" w:type="dxa"/>
            <w:vAlign w:val="bottom"/>
            <w:tcBorders>
              <w:top w:val="single" w:sz="8" w:color="auto"/>
              <w:right w:val="single" w:sz="8" w:color="B7E5FF"/>
            </w:tcBorders>
            <w:shd w:val="clear" w:color="auto" w:fill="B7E5FF"/>
          </w:tcPr>
          <w:p>
            <w:pPr>
              <w:spacing w:after="0"/>
              <w:rPr>
                <w:sz w:val="16"/>
                <w:szCs w:val="16"/>
                <w:color w:val="auto"/>
              </w:rPr>
            </w:pPr>
          </w:p>
        </w:tc>
        <w:tc>
          <w:tcPr>
            <w:tcW w:w="60" w:type="dxa"/>
            <w:vAlign w:val="bottom"/>
            <w:tcBorders>
              <w:top w:val="single" w:sz="8" w:color="B7E5FF"/>
              <w:left w:val="single" w:sz="8" w:color="B7E5FF"/>
              <w:bottom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960" w:type="dxa"/>
            <w:vAlign w:val="bottom"/>
            <w:tcBorders>
              <w:top w:val="single" w:sz="8" w:color="auto"/>
            </w:tcBorders>
            <w:shd w:val="clear" w:color="auto" w:fill="B7E5FF"/>
          </w:tcPr>
          <w:p>
            <w:pPr>
              <w:spacing w:after="0"/>
              <w:rPr>
                <w:sz w:val="16"/>
                <w:szCs w:val="16"/>
                <w:color w:val="auto"/>
              </w:rPr>
            </w:pPr>
          </w:p>
        </w:tc>
        <w:tc>
          <w:tcPr>
            <w:tcW w:w="60" w:type="dxa"/>
            <w:vAlign w:val="bottom"/>
            <w:tcBorders>
              <w:top w:val="single" w:sz="8" w:color="B7E5FF"/>
              <w:left w:val="single" w:sz="8" w:color="B7E5FF"/>
              <w:bottom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840" w:type="dxa"/>
            <w:vAlign w:val="bottom"/>
            <w:tcBorders>
              <w:top w:val="single" w:sz="8" w:color="auto"/>
            </w:tcBorders>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(23,467)</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3,342</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(3,598)</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2,423</w:t>
            </w:r>
          </w:p>
        </w:tc>
        <w:tc>
          <w:tcPr>
            <w:tcW w:w="80" w:type="dxa"/>
            <w:vAlign w:val="bottom"/>
            <w:tcBorders>
              <w:lef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(3,259)</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Balance at September 30, 2021</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(32,082)</w:t>
            </w:r>
          </w:p>
        </w:tc>
        <w:tc>
          <w:tcPr>
            <w:tcW w:w="160" w:type="dxa"/>
            <w:vAlign w:val="bottom"/>
            <w:tcBorders>
              <w:left w:val="single" w:sz="8" w:color="B7E5FF"/>
            </w:tcBorders>
            <w:gridSpan w:val="2"/>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(20,874)</w:t>
            </w:r>
          </w:p>
        </w:tc>
        <w:tc>
          <w:tcPr>
            <w:tcW w:w="160" w:type="dxa"/>
            <w:vAlign w:val="bottom"/>
            <w:tcBorders>
              <w:left w:val="single" w:sz="8" w:color="B7E5FF"/>
            </w:tcBorders>
            <w:gridSpan w:val="2"/>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right w:val="single" w:sz="8" w:color="B7E5FF"/>
            </w:tcBorders>
            <w:shd w:val="clear" w:color="auto" w:fill="B7E5FF"/>
          </w:tcPr>
          <w:p>
            <w:pPr>
              <w:spacing w:after="0"/>
              <w:rPr>
                <w:sz w:val="18"/>
                <w:szCs w:val="18"/>
                <w:color w:val="auto"/>
              </w:rPr>
            </w:pPr>
          </w:p>
        </w:tc>
        <w:tc>
          <w:tcPr>
            <w:tcW w:w="160" w:type="dxa"/>
            <w:vAlign w:val="bottom"/>
            <w:tcBorders>
              <w:lef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(2,148)</w:t>
            </w:r>
          </w:p>
        </w:tc>
        <w:tc>
          <w:tcPr>
            <w:tcW w:w="160" w:type="dxa"/>
            <w:vAlign w:val="bottom"/>
            <w:tcBorders>
              <w:lef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(54,723)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760"/>
          </w:cols>
          <w:pgMar w:left="1040" w:top="878" w:right="109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16 –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valued its company-owned life insurance policies at fair value. These assets are subject to fair value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6"/>
          </w:tcPr>
          <w:p>
            <w:pPr>
              <w:ind w:left="20"/>
              <w:spacing w:after="0"/>
              <w:rPr>
                <w:sz w:val="20"/>
                <w:szCs w:val="20"/>
                <w:color w:val="auto"/>
              </w:rPr>
            </w:pPr>
            <w:r>
              <w:rPr>
                <w:rFonts w:ascii="Arial" w:cs="Arial" w:eastAsia="Arial" w:hAnsi="Arial"/>
                <w:sz w:val="18"/>
                <w:szCs w:val="18"/>
                <w:color w:val="auto"/>
              </w:rPr>
              <w:t>measurement as follows:</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0" w:type="dxa"/>
            <w:vAlign w:val="bottom"/>
            <w:gridSpan w:val="12"/>
            <w:vMerge w:val="restart"/>
          </w:tcPr>
          <w:p>
            <w:pPr>
              <w:ind w:left="80"/>
              <w:spacing w:after="0"/>
              <w:rPr>
                <w:sz w:val="20"/>
                <w:szCs w:val="20"/>
                <w:color w:val="auto"/>
              </w:rPr>
            </w:pPr>
            <w:r>
              <w:rPr>
                <w:rFonts w:ascii="Arial" w:cs="Arial" w:eastAsia="Arial" w:hAnsi="Arial"/>
                <w:sz w:val="18"/>
                <w:szCs w:val="18"/>
                <w:b w:val="1"/>
                <w:bCs w:val="1"/>
                <w:color w:val="auto"/>
                <w:w w:val="94"/>
              </w:rPr>
              <w:t>Fair Value Measurements at September 30, 2022</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center"/>
              <w:ind w:right="170"/>
              <w:spacing w:after="0"/>
              <w:rPr>
                <w:sz w:val="20"/>
                <w:szCs w:val="20"/>
                <w:color w:val="auto"/>
              </w:rPr>
            </w:pPr>
            <w:r>
              <w:rPr>
                <w:rFonts w:ascii="Arial" w:cs="Arial" w:eastAsia="Arial" w:hAnsi="Arial"/>
                <w:sz w:val="18"/>
                <w:szCs w:val="18"/>
                <w:b w:val="1"/>
                <w:bCs w:val="1"/>
                <w:color w:val="auto"/>
                <w:w w:val="93"/>
              </w:rPr>
              <w:t>Using Fair Value Hierarchy</w:t>
            </w:r>
          </w:p>
        </w:tc>
        <w:tc>
          <w:tcPr>
            <w:tcW w:w="0" w:type="dxa"/>
            <w:vAlign w:val="bottom"/>
          </w:tcPr>
          <w:p>
            <w:pPr>
              <w:spacing w:after="0"/>
              <w:rPr>
                <w:sz w:val="1"/>
                <w:szCs w:val="1"/>
                <w:color w:val="auto"/>
              </w:rPr>
            </w:pPr>
          </w:p>
        </w:tc>
      </w:tr>
      <w:tr>
        <w:trPr>
          <w:trHeight w:val="183"/>
        </w:trPr>
        <w:tc>
          <w:tcPr>
            <w:tcW w:w="3380" w:type="dxa"/>
            <w:vAlign w:val="bottom"/>
            <w:gridSpan w:val="6"/>
          </w:tcPr>
          <w:p>
            <w:pPr>
              <w:ind w:left="20"/>
              <w:spacing w:after="0" w:line="182" w:lineRule="exact"/>
              <w:rPr>
                <w:sz w:val="20"/>
                <w:szCs w:val="20"/>
                <w:color w:val="auto"/>
              </w:rPr>
            </w:pPr>
            <w:r>
              <w:rPr>
                <w:rFonts w:ascii="Arial" w:cs="Arial" w:eastAsia="Arial" w:hAnsi="Arial"/>
                <w:sz w:val="18"/>
                <w:szCs w:val="18"/>
                <w:color w:val="auto"/>
              </w:rPr>
              <w:t>Assets</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130"/>
              <w:spacing w:after="0" w:line="182"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140"/>
              <w:spacing w:after="0" w:line="182"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130"/>
              <w:spacing w:after="0" w:line="182" w:lineRule="exact"/>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140"/>
              <w:spacing w:after="0" w:line="182"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60" w:type="dxa"/>
            <w:vAlign w:val="bottom"/>
            <w:gridSpan w:val="2"/>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right w:val="single" w:sz="8" w:color="B7E5FF"/>
            </w:tcBorders>
            <w:shd w:val="clear" w:color="auto" w:fill="B7E5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300" w:type="dxa"/>
            <w:vAlign w:val="bottom"/>
            <w:gridSpan w:val="3"/>
            <w:shd w:val="clear" w:color="auto" w:fill="B7E5FF"/>
          </w:tcPr>
          <w:p>
            <w:pPr>
              <w:spacing w:after="0" w:line="202" w:lineRule="exact"/>
              <w:rPr>
                <w:sz w:val="20"/>
                <w:szCs w:val="20"/>
                <w:color w:val="auto"/>
              </w:rPr>
            </w:pPr>
            <w:r>
              <w:rPr>
                <w:rFonts w:ascii="Arial" w:cs="Arial" w:eastAsia="Arial" w:hAnsi="Arial"/>
                <w:sz w:val="18"/>
                <w:szCs w:val="18"/>
                <w:color w:val="auto"/>
              </w:rPr>
              <w:t>Company-owned life insurance</w:t>
            </w:r>
          </w:p>
        </w:tc>
        <w:tc>
          <w:tcPr>
            <w:tcW w:w="1260" w:type="dxa"/>
            <w:vAlign w:val="bottom"/>
            <w:gridSpan w:val="3"/>
            <w:shd w:val="clear" w:color="auto" w:fill="B7E5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2,018</w:t>
            </w:r>
          </w:p>
        </w:tc>
        <w:tc>
          <w:tcPr>
            <w:tcW w:w="280" w:type="dxa"/>
            <w:vAlign w:val="bottom"/>
            <w:gridSpan w:val="3"/>
            <w:shd w:val="clear" w:color="auto" w:fill="B7E5FF"/>
          </w:tcPr>
          <w:p>
            <w:pPr>
              <w:jc w:val="cente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B7E5FF"/>
          </w:tcPr>
          <w:p>
            <w:pPr>
              <w:spacing w:after="0"/>
              <w:rPr>
                <w:sz w:val="18"/>
                <w:szCs w:val="18"/>
                <w:color w:val="auto"/>
              </w:rPr>
            </w:pPr>
          </w:p>
        </w:tc>
        <w:tc>
          <w:tcPr>
            <w:tcW w:w="340" w:type="dxa"/>
            <w:vAlign w:val="bottom"/>
            <w:shd w:val="clear" w:color="auto" w:fill="B7E5FF"/>
          </w:tcPr>
          <w:p>
            <w:pPr>
              <w:ind w:left="6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2,018</w:t>
            </w:r>
          </w:p>
        </w:tc>
        <w:tc>
          <w:tcPr>
            <w:tcW w:w="240" w:type="dxa"/>
            <w:vAlign w:val="bottom"/>
            <w:gridSpan w:val="3"/>
            <w:shd w:val="clear" w:color="auto" w:fill="B7E5FF"/>
          </w:tcPr>
          <w:p>
            <w:pPr>
              <w:jc w:val="center"/>
              <w:ind w:right="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ind w:left="8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gridSpan w:val="6"/>
            <w:vMerge w:val="restart"/>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80" w:type="dxa"/>
            <w:vAlign w:val="bottom"/>
            <w:gridSpan w:val="6"/>
            <w:vMerge w:val="continue"/>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2,018</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0" w:type="dxa"/>
            <w:vAlign w:val="bottom"/>
            <w:gridSpan w:val="12"/>
          </w:tcPr>
          <w:p>
            <w:pPr>
              <w:ind w:left="120"/>
              <w:spacing w:after="0"/>
              <w:rPr>
                <w:sz w:val="20"/>
                <w:szCs w:val="20"/>
                <w:color w:val="auto"/>
              </w:rPr>
            </w:pPr>
            <w:r>
              <w:rPr>
                <w:rFonts w:ascii="Arial" w:cs="Arial" w:eastAsia="Arial" w:hAnsi="Arial"/>
                <w:sz w:val="18"/>
                <w:szCs w:val="18"/>
                <w:b w:val="1"/>
                <w:bCs w:val="1"/>
                <w:color w:val="auto"/>
                <w:w w:val="95"/>
              </w:rPr>
              <w:t>Fair Value Measurements at December 31, 2021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9"/>
          </w:tcPr>
          <w:p>
            <w:pPr>
              <w:jc w:val="center"/>
              <w:ind w:right="150"/>
              <w:spacing w:after="0"/>
              <w:rPr>
                <w:sz w:val="20"/>
                <w:szCs w:val="20"/>
                <w:color w:val="auto"/>
              </w:rPr>
            </w:pPr>
            <w:r>
              <w:rPr>
                <w:rFonts w:ascii="Arial" w:cs="Arial" w:eastAsia="Arial" w:hAnsi="Arial"/>
                <w:sz w:val="18"/>
                <w:szCs w:val="18"/>
                <w:b w:val="1"/>
                <w:bCs w:val="1"/>
                <w:color w:val="auto"/>
                <w:w w:val="92"/>
              </w:rPr>
              <w:t>Using Fair Value Hierarchy</w:t>
            </w:r>
          </w:p>
        </w:tc>
        <w:tc>
          <w:tcPr>
            <w:tcW w:w="0" w:type="dxa"/>
            <w:vAlign w:val="bottom"/>
          </w:tcPr>
          <w:p>
            <w:pPr>
              <w:spacing w:after="0"/>
              <w:rPr>
                <w:sz w:val="1"/>
                <w:szCs w:val="1"/>
                <w:color w:val="auto"/>
              </w:rPr>
            </w:pPr>
          </w:p>
        </w:tc>
      </w:tr>
      <w:tr>
        <w:trPr>
          <w:trHeight w:val="169"/>
        </w:trPr>
        <w:tc>
          <w:tcPr>
            <w:tcW w:w="3380" w:type="dxa"/>
            <w:vAlign w:val="bottom"/>
            <w:gridSpan w:val="6"/>
          </w:tcPr>
          <w:p>
            <w:pPr>
              <w:spacing w:after="0" w:line="169" w:lineRule="exact"/>
              <w:rPr>
                <w:sz w:val="20"/>
                <w:szCs w:val="20"/>
                <w:color w:val="auto"/>
              </w:rPr>
            </w:pPr>
            <w:r>
              <w:rPr>
                <w:rFonts w:ascii="Arial" w:cs="Arial" w:eastAsia="Arial" w:hAnsi="Arial"/>
                <w:sz w:val="18"/>
                <w:szCs w:val="18"/>
                <w:color w:val="auto"/>
              </w:rPr>
              <w:t>Assets</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ind w:left="140"/>
              <w:spacing w:after="0" w:line="169"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160"/>
              <w:spacing w:after="0" w:line="169"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60" w:type="dxa"/>
            <w:vAlign w:val="bottom"/>
            <w:gridSpan w:val="2"/>
          </w:tcPr>
          <w:p>
            <w:pPr>
              <w:spacing w:after="0"/>
              <w:rPr>
                <w:sz w:val="2"/>
                <w:szCs w:val="2"/>
                <w:color w:val="auto"/>
              </w:rPr>
            </w:pPr>
          </w:p>
        </w:tc>
        <w:tc>
          <w:tcPr>
            <w:tcW w:w="3320" w:type="dxa"/>
            <w:vAlign w:val="bottom"/>
            <w:gridSpan w:val="4"/>
            <w:shd w:val="clear" w:color="auto" w:fill="000000"/>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320" w:type="dxa"/>
            <w:vAlign w:val="bottom"/>
            <w:gridSpan w:val="4"/>
            <w:shd w:val="clear" w:color="auto" w:fill="B7E5FF"/>
          </w:tcPr>
          <w:p>
            <w:pPr>
              <w:spacing w:after="0"/>
              <w:rPr>
                <w:sz w:val="20"/>
                <w:szCs w:val="20"/>
                <w:color w:val="auto"/>
              </w:rPr>
            </w:pPr>
            <w:r>
              <w:rPr>
                <w:rFonts w:ascii="Arial" w:cs="Arial" w:eastAsia="Arial" w:hAnsi="Arial"/>
                <w:sz w:val="18"/>
                <w:szCs w:val="18"/>
                <w:color w:val="auto"/>
              </w:rPr>
              <w:t>Company-owned life insurance</w:t>
            </w:r>
          </w:p>
        </w:tc>
        <w:tc>
          <w:tcPr>
            <w:tcW w:w="12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2,533</w:t>
            </w:r>
          </w:p>
        </w:tc>
        <w:tc>
          <w:tcPr>
            <w:tcW w:w="280" w:type="dxa"/>
            <w:vAlign w:val="bottom"/>
            <w:gridSpan w:val="3"/>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B7E5FF"/>
          </w:tcPr>
          <w:p>
            <w:pPr>
              <w:spacing w:after="0"/>
              <w:rPr>
                <w:sz w:val="18"/>
                <w:szCs w:val="18"/>
                <w:color w:val="auto"/>
              </w:rPr>
            </w:pPr>
          </w:p>
        </w:tc>
        <w:tc>
          <w:tcPr>
            <w:tcW w:w="340" w:type="dxa"/>
            <w:vAlign w:val="bottom"/>
            <w:shd w:val="clear" w:color="auto" w:fill="B7E5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2,533</w:t>
            </w:r>
          </w:p>
        </w:tc>
        <w:tc>
          <w:tcPr>
            <w:tcW w:w="240" w:type="dxa"/>
            <w:vAlign w:val="bottom"/>
            <w:gridSpan w:val="3"/>
            <w:shd w:val="clear" w:color="auto" w:fill="B7E5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gridSpan w:val="6"/>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gridSpan w:val="6"/>
            <w:vMerge w:val="continue"/>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2,533</w:t>
            </w:r>
          </w:p>
        </w:tc>
        <w:tc>
          <w:tcPr>
            <w:tcW w:w="2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2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20" w:right="220" w:firstLine="324"/>
        <w:spacing w:after="0" w:line="255"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September 30, 2022 or December 31, 2021, respectively, so related disclosures have not been included.</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 – Hedging Activities</w:t>
      </w:r>
    </w:p>
    <w:p>
      <w:pPr>
        <w:spacing w:after="0" w:line="108" w:lineRule="exact"/>
        <w:rPr>
          <w:sz w:val="20"/>
          <w:szCs w:val="20"/>
          <w:color w:val="auto"/>
        </w:rPr>
      </w:pPr>
    </w:p>
    <w:p>
      <w:pPr>
        <w:ind w:left="20" w:right="120" w:firstLine="324"/>
        <w:spacing w:after="0" w:line="283" w:lineRule="auto"/>
        <w:rPr>
          <w:sz w:val="20"/>
          <w:szCs w:val="20"/>
          <w:color w:val="auto"/>
        </w:rPr>
      </w:pPr>
      <w:r>
        <w:rPr>
          <w:rFonts w:ascii="Arial" w:cs="Arial" w:eastAsia="Arial" w:hAnsi="Arial"/>
          <w:sz w:val="16"/>
          <w:szCs w:val="16"/>
          <w:color w:val="auto"/>
        </w:rPr>
        <w:t>In order to satisfy certain requirements of the Original Credit Facility as well as to manage the Company’s exposure to variable interest rate risk associated with the Original Credit Facility, in November 2019, the Company entered into $ 170.0 million notional amounts of three year interest rate swaps. See Note 14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w:t>
      </w:r>
    </w:p>
    <w:p>
      <w:pPr>
        <w:spacing w:after="0" w:line="48" w:lineRule="exact"/>
        <w:rPr>
          <w:sz w:val="20"/>
          <w:szCs w:val="20"/>
          <w:color w:val="auto"/>
        </w:rPr>
      </w:pPr>
    </w:p>
    <w:p>
      <w:pPr>
        <w:ind w:left="20" w:right="80" w:firstLine="324"/>
        <w:spacing w:after="0" w:line="268" w:lineRule="auto"/>
        <w:rPr>
          <w:sz w:val="20"/>
          <w:szCs w:val="20"/>
          <w:color w:val="auto"/>
        </w:rPr>
      </w:pPr>
      <w:r>
        <w:rPr>
          <w:rFonts w:ascii="Arial" w:cs="Arial" w:eastAsia="Arial" w:hAnsi="Arial"/>
          <w:sz w:val="17"/>
          <w:szCs w:val="17"/>
          <w:color w:val="auto"/>
        </w:rPr>
        <w:t>In June 2022, the Company amended the Original Credit Facility. See Note 14 of Notes to the Condensed Consolidated Financial Statements. The Amended Credit Facility does not require the Company to fix variable interest rates on any portion of its borrowings. In October 2022, the Company’s interest rate swap contracts expired. Upon expiration, the Company is entitled to a cash payment from the counterparties, which is materially consistent with the fair value as of September 30, 2022.</w:t>
      </w:r>
    </w:p>
    <w:p>
      <w:pPr>
        <w:spacing w:after="0" w:line="72" w:lineRule="exact"/>
        <w:rPr>
          <w:sz w:val="20"/>
          <w:szCs w:val="20"/>
          <w:color w:val="auto"/>
        </w:rPr>
      </w:pPr>
    </w:p>
    <w:p>
      <w:pPr>
        <w:ind w:left="20" w:right="120" w:firstLine="324"/>
        <w:spacing w:after="0" w:line="250" w:lineRule="auto"/>
        <w:rPr>
          <w:sz w:val="20"/>
          <w:szCs w:val="20"/>
          <w:color w:val="auto"/>
        </w:rPr>
      </w:pPr>
      <w:r>
        <w:rPr>
          <w:rFonts w:ascii="Arial" w:cs="Arial" w:eastAsia="Arial" w:hAnsi="Arial"/>
          <w:sz w:val="18"/>
          <w:szCs w:val="18"/>
          <w:color w:val="auto"/>
        </w:rPr>
        <w:t>The balance sheet classification and fair values of the Company’s derivative instruments, which are Level 2 measurements, are as follows:</w:t>
      </w:r>
    </w:p>
    <w:tbl>
      <w:tblPr>
        <w:tblLayout w:type="fixed"/>
        <w:tblInd w:w="120" w:type="dxa"/>
        <w:tblCellMar>
          <w:top w:w="0" w:type="dxa"/>
          <w:left w:w="0" w:type="dxa"/>
          <w:bottom w:w="0" w:type="dxa"/>
          <w:right w:w="0" w:type="dxa"/>
        </w:tblCellMar>
      </w:tblPr>
      <w:tr>
        <w:trPr>
          <w:trHeight w:val="204"/>
        </w:trPr>
        <w:tc>
          <w:tcPr>
            <w:tcW w:w="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right"/>
              <w:ind w:right="1030"/>
              <w:spacing w:after="0" w:line="203" w:lineRule="exact"/>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Condensed Consolidated</w:t>
            </w:r>
          </w:p>
        </w:tc>
        <w:tc>
          <w:tcPr>
            <w:tcW w:w="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0"/>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7"/>
              </w:rPr>
              <w:t>Derivatives designated as cash flow hedges:</w:t>
            </w:r>
          </w:p>
        </w:tc>
        <w:tc>
          <w:tcPr>
            <w:tcW w:w="100" w:type="dxa"/>
            <w:vAlign w:val="bottom"/>
          </w:tcPr>
          <w:p>
            <w:pPr>
              <w:spacing w:after="0"/>
              <w:rPr>
                <w:sz w:val="19"/>
                <w:szCs w:val="19"/>
                <w:color w:val="auto"/>
              </w:rPr>
            </w:pPr>
          </w:p>
        </w:tc>
        <w:tc>
          <w:tcPr>
            <w:tcW w:w="3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Balance Sheet Location</w:t>
            </w: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320" w:type="dxa"/>
            <w:vAlign w:val="bottom"/>
            <w:tcBorders>
              <w:bottom w:val="single" w:sz="8" w:color="B7E5FF"/>
            </w:tcBorders>
            <w:shd w:val="clear" w:color="auto" w:fill="B7E5FF"/>
          </w:tcPr>
          <w:p>
            <w:pPr>
              <w:ind w:left="140"/>
              <w:spacing w:after="0" w:line="189" w:lineRule="exact"/>
              <w:rPr>
                <w:sz w:val="20"/>
                <w:szCs w:val="20"/>
                <w:color w:val="auto"/>
              </w:rPr>
            </w:pPr>
            <w:r>
              <w:rPr>
                <w:rFonts w:ascii="Arial" w:cs="Arial" w:eastAsia="Arial" w:hAnsi="Arial"/>
                <w:sz w:val="18"/>
                <w:szCs w:val="18"/>
                <w:color w:val="auto"/>
              </w:rPr>
              <w:t>Interest rate swaps</w:t>
            </w:r>
          </w:p>
        </w:tc>
        <w:tc>
          <w:tcPr>
            <w:tcW w:w="100" w:type="dxa"/>
            <w:vAlign w:val="bottom"/>
            <w:tcBorders>
              <w:bottom w:val="single" w:sz="8" w:color="B7E5FF"/>
            </w:tcBorders>
            <w:shd w:val="clear" w:color="auto" w:fill="B7E5FF"/>
          </w:tcPr>
          <w:p>
            <w:pPr>
              <w:spacing w:after="0"/>
              <w:rPr>
                <w:sz w:val="18"/>
                <w:szCs w:val="18"/>
                <w:color w:val="auto"/>
              </w:rPr>
            </w:pPr>
          </w:p>
        </w:tc>
        <w:tc>
          <w:tcPr>
            <w:tcW w:w="3020" w:type="dxa"/>
            <w:vAlign w:val="bottom"/>
            <w:tcBorders>
              <w:bottom w:val="single" w:sz="8" w:color="B7E5FF"/>
            </w:tcBorders>
            <w:shd w:val="clear" w:color="auto" w:fill="B7E5FF"/>
          </w:tcPr>
          <w:p>
            <w:pPr>
              <w:jc w:val="center"/>
              <w:ind w:right="10"/>
              <w:spacing w:after="0" w:line="189" w:lineRule="exact"/>
              <w:rPr>
                <w:sz w:val="20"/>
                <w:szCs w:val="20"/>
                <w:color w:val="auto"/>
              </w:rPr>
            </w:pPr>
            <w:r>
              <w:rPr>
                <w:rFonts w:ascii="Arial" w:cs="Arial" w:eastAsia="Arial" w:hAnsi="Arial"/>
                <w:sz w:val="18"/>
                <w:szCs w:val="18"/>
                <w:color w:val="auto"/>
                <w:w w:val="85"/>
              </w:rPr>
              <w:t>Prepaid expenses and other current assets</w:t>
            </w:r>
          </w:p>
        </w:tc>
        <w:tc>
          <w:tcPr>
            <w:tcW w:w="180" w:type="dxa"/>
            <w:vAlign w:val="bottom"/>
            <w:tcBorders>
              <w:bottom w:val="single" w:sz="8" w:color="B7E5FF"/>
            </w:tcBorders>
            <w:gridSpan w:val="4"/>
            <w:shd w:val="clear" w:color="auto" w:fill="B7E5FF"/>
          </w:tcPr>
          <w:p>
            <w:pPr>
              <w:ind w:left="8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B7E5FF"/>
            </w:tcBorders>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212</w:t>
            </w:r>
          </w:p>
        </w:tc>
        <w:tc>
          <w:tcPr>
            <w:tcW w:w="200" w:type="dxa"/>
            <w:vAlign w:val="bottom"/>
            <w:tcBorders>
              <w:bottom w:val="single" w:sz="8" w:color="B7E5FF"/>
            </w:tcBorders>
            <w:gridSpan w:val="3"/>
            <w:shd w:val="clear" w:color="auto" w:fill="B7E5FF"/>
          </w:tcPr>
          <w:p>
            <w:pPr>
              <w:ind w:left="8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7E5FF"/>
            </w:tcBorders>
            <w:shd w:val="clear" w:color="auto" w:fill="B7E5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240" w:type="dxa"/>
            <w:vAlign w:val="bottom"/>
            <w:gridSpan w:val="5"/>
          </w:tcPr>
          <w:p>
            <w:pPr>
              <w:ind w:left="60"/>
              <w:spacing w:after="0"/>
              <w:rPr>
                <w:sz w:val="20"/>
                <w:szCs w:val="20"/>
                <w:color w:val="auto"/>
              </w:rPr>
            </w:pPr>
            <w:r>
              <w:rPr>
                <w:rFonts w:ascii="Arial" w:cs="Arial" w:eastAsia="Arial" w:hAnsi="Arial"/>
                <w:sz w:val="18"/>
                <w:szCs w:val="18"/>
                <w:color w:val="auto"/>
              </w:rPr>
              <w:t>Other accrued liabilities</w:t>
            </w: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20" w:type="dxa"/>
            <w:vAlign w:val="bottom"/>
            <w:tcBorders>
              <w:bottom w:val="single" w:sz="8" w:color="B7E5FF"/>
            </w:tcBorders>
            <w:shd w:val="clear" w:color="auto" w:fill="B7E5FF"/>
          </w:tcPr>
          <w:p>
            <w:pPr>
              <w:spacing w:after="0"/>
              <w:rPr>
                <w:sz w:val="19"/>
                <w:szCs w:val="19"/>
                <w:color w:val="auto"/>
              </w:rPr>
            </w:pPr>
          </w:p>
        </w:tc>
        <w:tc>
          <w:tcPr>
            <w:tcW w:w="3300" w:type="dxa"/>
            <w:vAlign w:val="bottom"/>
            <w:tcBorders>
              <w:bottom w:val="single" w:sz="8" w:color="B7E5FF"/>
            </w:tcBorders>
            <w:gridSpan w:val="6"/>
            <w:shd w:val="clear" w:color="auto" w:fill="B7E5FF"/>
          </w:tcPr>
          <w:p>
            <w:pPr>
              <w:ind w:left="320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B7E5FF"/>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212</w:t>
            </w:r>
          </w:p>
        </w:tc>
        <w:tc>
          <w:tcPr>
            <w:tcW w:w="200" w:type="dxa"/>
            <w:vAlign w:val="bottom"/>
            <w:tcBorders>
              <w:bottom w:val="single" w:sz="8" w:color="B7E5FF"/>
            </w:tcBorders>
            <w:gridSpan w:val="3"/>
            <w:shd w:val="clear" w:color="auto" w:fill="B7E5FF"/>
          </w:tcPr>
          <w:p>
            <w:pPr>
              <w:ind w:left="8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7E5FF"/>
            </w:tcBorders>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net unrealized (gain) loss deferred to AOCI:</w:t>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86"/>
              </w:rPr>
              <w:t>September 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43"/>
        </w:trPr>
        <w:tc>
          <w:tcPr>
            <w:tcW w:w="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1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Interest rate swaps</w:t>
            </w:r>
          </w:p>
        </w:tc>
        <w:tc>
          <w:tcPr>
            <w:tcW w:w="2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AOCI</w:t>
            </w:r>
          </w:p>
        </w:tc>
        <w:tc>
          <w:tcPr>
            <w:tcW w:w="2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163</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1,372</w:t>
            </w:r>
          </w:p>
        </w:tc>
      </w:tr>
      <w:tr>
        <w:trPr>
          <w:trHeight w:val="20"/>
        </w:trPr>
        <w:tc>
          <w:tcPr>
            <w:tcW w:w="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0"/>
        </w:trPr>
        <w:tc>
          <w:tcPr>
            <w:tcW w:w="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760"/>
          </w:cols>
          <w:pgMar w:left="1040" w:top="878" w:right="1099" w:bottom="1440" w:gutter="0" w:footer="0" w:header="0"/>
          <w:type w:val="continuous"/>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net gain (loss) reclassified from AOCI to earnings: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16"/>
        </w:trPr>
        <w:tc>
          <w:tcPr>
            <w:tcW w:w="60" w:type="dxa"/>
            <w:vAlign w:val="bottom"/>
          </w:tcPr>
          <w:p>
            <w:pPr>
              <w:spacing w:after="0"/>
              <w:rPr>
                <w:sz w:val="18"/>
                <w:szCs w:val="18"/>
                <w:color w:val="auto"/>
              </w:rPr>
            </w:pPr>
          </w:p>
        </w:tc>
        <w:tc>
          <w:tcPr>
            <w:tcW w:w="3380" w:type="dxa"/>
            <w:vAlign w:val="bottom"/>
            <w:tcBorders>
              <w:bottom w:val="single" w:sz="8" w:color="B7E5FF"/>
            </w:tcBorders>
          </w:tcPr>
          <w:p>
            <w:pPr>
              <w:spacing w:after="0"/>
              <w:rPr>
                <w:sz w:val="18"/>
                <w:szCs w:val="18"/>
                <w:color w:val="auto"/>
              </w:rPr>
            </w:pPr>
          </w:p>
        </w:tc>
        <w:tc>
          <w:tcPr>
            <w:tcW w:w="1680" w:type="dxa"/>
            <w:vAlign w:val="bottom"/>
            <w:tcBorders>
              <w:bottom w:val="single" w:sz="8" w:color="B7E5FF"/>
            </w:tcBorders>
          </w:tcPr>
          <w:p>
            <w:pPr>
              <w:spacing w:after="0"/>
              <w:rPr>
                <w:sz w:val="18"/>
                <w:szCs w:val="18"/>
                <w:color w:val="auto"/>
              </w:rPr>
            </w:pPr>
          </w:p>
        </w:tc>
        <w:tc>
          <w:tcPr>
            <w:tcW w:w="38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16"/>
        </w:trPr>
        <w:tc>
          <w:tcPr>
            <w:tcW w:w="60" w:type="dxa"/>
            <w:vAlign w:val="bottom"/>
          </w:tcPr>
          <w:p>
            <w:pPr>
              <w:spacing w:after="0"/>
              <w:rPr>
                <w:sz w:val="18"/>
                <w:szCs w:val="18"/>
                <w:color w:val="auto"/>
              </w:rPr>
            </w:pPr>
          </w:p>
        </w:tc>
        <w:tc>
          <w:tcPr>
            <w:tcW w:w="3380" w:type="dxa"/>
            <w:vAlign w:val="bottom"/>
            <w:shd w:val="clear" w:color="auto" w:fill="B7E5FF"/>
          </w:tcPr>
          <w:p>
            <w:pPr>
              <w:spacing w:after="0"/>
              <w:rPr>
                <w:sz w:val="20"/>
                <w:szCs w:val="20"/>
                <w:color w:val="auto"/>
              </w:rPr>
            </w:pPr>
            <w:r>
              <w:rPr>
                <w:rFonts w:ascii="Arial" w:cs="Arial" w:eastAsia="Arial" w:hAnsi="Arial"/>
                <w:sz w:val="18"/>
                <w:szCs w:val="18"/>
                <w:color w:val="auto"/>
                <w:w w:val="95"/>
              </w:rPr>
              <w:t>Amount and location of expense reclassified</w:t>
            </w:r>
          </w:p>
        </w:tc>
        <w:tc>
          <w:tcPr>
            <w:tcW w:w="1680" w:type="dxa"/>
            <w:vAlign w:val="bottom"/>
            <w:shd w:val="clear" w:color="auto" w:fill="B7E5FF"/>
          </w:tcPr>
          <w:p>
            <w:pPr>
              <w:ind w:left="2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from AOCI into expense (effective portion)</w:t>
            </w:r>
          </w:p>
        </w:tc>
        <w:tc>
          <w:tcPr>
            <w:tcW w:w="1680" w:type="dxa"/>
            <w:vAlign w:val="bottom"/>
          </w:tcPr>
          <w:p>
            <w:pPr>
              <w:ind w:left="240"/>
              <w:spacing w:after="0"/>
              <w:rPr>
                <w:sz w:val="20"/>
                <w:szCs w:val="20"/>
                <w:color w:val="auto"/>
              </w:rPr>
            </w:pPr>
            <w:r>
              <w:rPr>
                <w:rFonts w:ascii="Arial" w:cs="Arial" w:eastAsia="Arial" w:hAnsi="Arial"/>
                <w:sz w:val="18"/>
                <w:szCs w:val="18"/>
                <w:color w:val="auto"/>
              </w:rPr>
              <w:t>(expense), net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(882) $</w:t>
            </w:r>
          </w:p>
        </w:tc>
        <w:tc>
          <w:tcPr>
            <w:tcW w:w="800" w:type="dxa"/>
            <w:vAlign w:val="bottom"/>
          </w:tcPr>
          <w:p>
            <w:pPr>
              <w:jc w:val="right"/>
              <w:spacing w:after="0"/>
              <w:rPr>
                <w:sz w:val="20"/>
                <w:szCs w:val="20"/>
                <w:color w:val="auto"/>
              </w:rPr>
            </w:pPr>
            <w:r>
              <w:rPr>
                <w:rFonts w:ascii="Arial" w:cs="Arial" w:eastAsia="Arial" w:hAnsi="Arial"/>
                <w:sz w:val="18"/>
                <w:szCs w:val="18"/>
                <w:color w:val="auto"/>
              </w:rPr>
              <w:t>(1,974)</w:t>
            </w:r>
          </w:p>
        </w:tc>
      </w:tr>
    </w:tbl>
    <w:p>
      <w:pPr>
        <w:spacing w:after="0" w:line="94" w:lineRule="exact"/>
        <w:rPr>
          <w:sz w:val="20"/>
          <w:szCs w:val="20"/>
          <w:color w:val="auto"/>
        </w:rPr>
      </w:pPr>
    </w:p>
    <w:p>
      <w:pPr>
        <w:ind w:right="300" w:firstLine="324"/>
        <w:spacing w:after="0" w:line="248" w:lineRule="auto"/>
        <w:rPr>
          <w:sz w:val="20"/>
          <w:szCs w:val="20"/>
          <w:color w:val="auto"/>
        </w:rPr>
      </w:pPr>
      <w:r>
        <w:rPr>
          <w:rFonts w:ascii="Arial" w:cs="Arial" w:eastAsia="Arial" w:hAnsi="Arial"/>
          <w:sz w:val="18"/>
          <w:szCs w:val="18"/>
          <w:color w:val="auto"/>
        </w:rPr>
        <w:t>Interest rate swaps are entered into with a limited number of counterparties, each of which allows for net settlement of all 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08"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Company previously disclosed in its 2021 Form 10-K that AC Products, Inc. (“ACP”), a wholly owned subsidiary, in 2007, agreed to operate two groundwater treatment systems, so as to hydraulically contain groundwater contamination emanating from ACP’s site until such time as the concentrations of contaminants are below the current Federal maximum contaminant level for four consecutive quarterly sampling events. In 2014, ACP ceased operation at one of its two groundwater treatment systems, as it had met the above condition for closure. As of September 30, 2022, ACP continues to operate the second groundwater treatment system, while the Company discusses with the relevant authorities whether the second groundwater treatment system meets the conditions for closure. In addition, the Santa Ana Regional Water Quality Control Board requested that ACP conduct additional indoor and outdoor soil vapor testing on and near the ACP site to confirm that ACP continues to meet the applicable local soil vapor standards. As of September 30, 2022, ACP performed such testing and is awaiting the review of the results from the Santa Ana Regional Water Quality Control Board.</w:t>
      </w:r>
    </w:p>
    <w:p>
      <w:pPr>
        <w:spacing w:after="0" w:line="8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7"/>
          <w:szCs w:val="17"/>
          <w:color w:val="auto"/>
        </w:rPr>
        <w:t>As of September 30, 2022, the Company believes that the range of potential-known liabilities associated with the balance of the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58"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The Company previously disclosed in its 2021 Form 10-K that an inactive subsidiary of the Company that was acquired in 1978 sold certain products containing asbestos, primarily on an installed basis, and is among the defendants in numerous lawsuits alleging injury due to exposure to asbestos. During the three and nine months ended September 30, 2022,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$ 0.3 million (excluding costs of defense).</w:t>
      </w:r>
    </w:p>
    <w:p>
      <w:pPr>
        <w:spacing w:after="0" w:line="79"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The Company previously disclosed in its 2021 Form 10-K that it is party to certain environmental matters related to certain domestic and foreign properties. These environmental matters primarily require the Company to perform long-term monitoring and maintenance at each of the applicable sites. During the three and nine months ended September 30, 2022,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approximately 30 years, has estimated the range of costs for all of these environmental matters, on a discounted basis, to be between approximately $ 5.0 million and $6.0 million as of September 30, 2022, for which $ 5.2 million was accrued within other accrued liabilities and other non-current liabilities on the Company’s Condensed Consolidated Balance Sheet as of September 30, 2022. Comparatively, as of December 31, 2021, the Company had $ 5.6 million accrued for with respect to these matters.</w:t>
      </w:r>
    </w:p>
    <w:p>
      <w:pPr>
        <w:spacing w:after="0" w:line="86"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Although there can be no assurance regarding the outcome of other unrelated environmental matters, the Company believes that it has made adequate accruals for costs associated with other environmental matters for which it is aware, and has accrued $ 0.4 million as of both September 30, 2022 and December 31, 2021, respectively, to provide for such anticipated future environmental assessments and remediation costs.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680"/>
          </w:cols>
          <w:pgMar w:left="1060" w:top="878" w:right="1159" w:bottom="1440" w:gutter="0" w:footer="0" w:header="0"/>
          <w:type w:val="continuous"/>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The Company previously disclosed in its 2021 Form 10-K that during the first nine months of 2021, one of the Company’s Brazilian subsidiaries received a notice that it had prevailed on an existing legal claim in regard to certain non-income (indirect) taxes that had been previously charged and paid. The matter specifically related to companies’ rights to exclude the state tax on goods circulation (a valued-added-tax or VAT equivalent, known in Brazil as “ICMS”) from the calculation of certain additional indirect taxes (specifically the program of social integration (“PIS”) and contribution for the financing of social security (“COFINS”)) levied by the Brazilian States on the sale of goods. In May 2021, the Brazilian Supreme Court concluded that ICMS should not be included in the tax base of PIS and COFINS, and confirmed the methodology for calculating the PIS and COFINS tax credit claims to which taxpayers are entitled. The Company’s Brazilian entities had previously filed legal or administrative disputes on this matter and are entitled to receive tax credits and interest dating back five years preceding the date of their legal claims. As a result of these court rulings in the first nine months of 2021, the Company recognized non-income tax credits of 67.0 million BRL or approximately $13.3 million, which includes approximately $8.4 million for the PIS and COFINS tax credits as well as interest on these tax credits of $ 4.9 million. The tax credits to which the Company’s Brazilian subsidiaries are entitled are claimable once registered with the Brazilian tax authorities which the Company subsequently completed. These tax credits can be used to offset future Brazilian federal taxes and the Company currently anticipates using the full amount of credits during the five year period of time permitted.</w:t>
      </w:r>
    </w:p>
    <w:p>
      <w:pPr>
        <w:spacing w:after="0" w:line="70" w:lineRule="exact"/>
        <w:rPr>
          <w:sz w:val="20"/>
          <w:szCs w:val="20"/>
          <w:color w:val="auto"/>
        </w:rPr>
      </w:pPr>
    </w:p>
    <w:p>
      <w:pPr>
        <w:ind w:right="180" w:firstLine="324"/>
        <w:spacing w:after="0" w:line="260" w:lineRule="auto"/>
        <w:rPr>
          <w:sz w:val="20"/>
          <w:szCs w:val="20"/>
          <w:color w:val="auto"/>
        </w:rPr>
      </w:pPr>
      <w:r>
        <w:rPr>
          <w:rFonts w:ascii="Arial" w:cs="Arial" w:eastAsia="Arial" w:hAnsi="Arial"/>
          <w:sz w:val="17"/>
          <w:szCs w:val="17"/>
          <w:color w:val="auto"/>
        </w:rPr>
        <w:t>In connection with obtaining regulatory approvals for the Combination, certain steel and aluminum related product lines of Houghton were divested in August 2019. The Company previously disclosed in its 2021 Form 10-K that in July 2021, the entity that acquired these divested product lines submitted an indemnification claim for certain alleged breaches of representation made by Houghton in the agreement pursuant to which such assets had been divested. The Company responded to the subject matters of the indemnification claim and during the first quarter of 2022, the matter was resolved consistent with the Company’s expectations and position that there were no amounts owed by the Company.</w:t>
      </w:r>
    </w:p>
    <w:p>
      <w:pPr>
        <w:spacing w:after="0" w:line="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7"/>
          <w:szCs w:val="17"/>
          <w:color w:val="auto"/>
        </w:rPr>
        <w:t>The Company previously disclosed in its 2021 Form 10-K that two of the Company’s locations suffered property damages as a result of flooding and electrical fire, respectively. The Company maintains property and flood insurance for all of its facilities globally. During the nine months ended September 30, 2022, there have been no significant changes to the facts or circumstances of these previously disclosed matters, aside from the on-going restoration of both sites. The Company, its insurance adjuster and insurance carrier are actively managing the remediation and restoration activities associated with these events and at this time the Company has concluded, based on all available information and discussions with its insurance adjuster and insurance carrier, that the losses were covered under the Company’s property and flood insurance coverage, net of an aggregate deductible of $ 2.0 million. Through September 30, 2022, the Company has received payments from its insurers of $3.9 million associated with these events. During the three months ended September 30, 2022, the Company recognized a gain on insurance recoveries of $ 1.1 million. The Company has recorded an insurance receivable of $ 0.2 million as of September 30, 2022. See Note 10 of Notes to the Condensed Consolidated Financial Statements.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680"/>
          </w:cols>
          <w:pgMar w:left="1060" w:top="878" w:right="115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As used in this Report, the terms “Quaker Houghton,” the “Company,” “we” and “our” refer to Quaker Chemical Corporation (doing business as Quaker Houghton), its subsidiaries, and associated companies, unless the context otherwise requires. The term the “Combination” refers to the legacy Quaker combination with Houghton International, Inc. (“Houghton”) on August 1, 2019.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20" w:firstLine="324"/>
        <w:spacing w:after="0" w:line="249" w:lineRule="auto"/>
        <w:rPr>
          <w:sz w:val="20"/>
          <w:szCs w:val="20"/>
          <w:color w:val="auto"/>
        </w:rPr>
      </w:pPr>
      <w:r>
        <w:rPr>
          <w:rFonts w:ascii="Arial" w:cs="Arial" w:eastAsia="Arial" w:hAnsi="Arial"/>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6"/>
          <w:szCs w:val="16"/>
          <w:color w:val="auto"/>
        </w:rPr>
        <w:t>Overall, the Company delivered solid results in the third quarter of 2022 despite continued and persistent financial, economic and geopolitical headwinds, including ongoing raw material cost escalation and overall inflationary pressures, supply chain and logistics challenges, the direct and indirect impacts of the ongoing war in Ukraine, Zero-COVID policies in China, and foreign currency volatility. Notwithstanding these challenges, net sales in the third quarter of 2022 were $492.2 million, an increase of 10% compared to $449.1 million in the third quarter of 2021. This was primarily driven by an increase in selling price and product mix of approximately 25% and additional net sales from acquisitions of 1%, partially offset by a decline in organic sales volumes of 9% and an unfavorable impact from foreign currency translation of 7%. The increase in selling price and product mix was primarily the result of strategic price increases implemented to offset the ongoing inflationary pressures that began at the onset of 2021 and have escalated throughout 2021 and into the first nine months of 2022. The decline in organic sales volumes was primarily attributable to softer end market conditions, particularly in Europe and Asia/Pacific, the wind-down of the tolling agreement for products previously divested related to the Combination and the direct and indirect impacts of the ongoing war in Ukraine.</w:t>
      </w:r>
    </w:p>
    <w:p>
      <w:pPr>
        <w:spacing w:after="0" w:line="67"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The Company generated net income in the third quarter of 2022 of $25.9 million, or $1.44 per diluted share, compared to net income of $31.1 million, or $1.73 per diluted share in the third quarter of 2021. Excluding non-recurring items in each period, the Company’s third quarter of 2022 non-GAAP earnings per diluted share were $1.74 compared to $1.63 in the prior year quarter and the Company’s current quarter adjusted EBITDA was $70.3 million compared to $66.2 million in the third quarter of 2021. These results were primarily driven by higher net sales in the current quarter coupled with an improvement in gross margins compared to the prior year quarter, partially offset by the unfavorable impact of foreign currency translation and higher selling, general and administrative expenses (“SG&amp;A”) as a result of significant year-over-year inflationary pressures. See the Non-GAAP Measures section of this Item below, as well as other items discussed in the Company’s Consolidated Operations Review in the Operations section of this Item, below.</w:t>
      </w:r>
    </w:p>
    <w:p>
      <w:pPr>
        <w:spacing w:after="0" w:line="112"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The Company’s third quarter of 2022 operating performance in each of its four reportable segments: (i) Americas; (ii) Europe, Middle East and Africa (“EMEA”); (iii) Asia/Pacific; and (iv) Global Specialty Businesses, reflect similar drivers to that of its consolidated performance as each of the Company’s reportable segments net sales benefitted from double-digit year-over-year increases in selling price and product mix, while those increases in net sales were partially offset by the significant and unfavorable impact of foreign currency translation. All geographic segments had lower organic sales volumes, however organic sales volumes for the Global Speciality Businesses increased in the third quarter of 2022 compared to the prior year quarter due to continued end market demand. Operating earnings for the Global Specialty Businesses and Americas increased compared to the prior year quarter, driven by higher net sales and an improvement in margins. Operating earnings for Asia/Pacific were relatively flat year-over-year as lower net sales were offset by an improvement in the segment’s margins. EMEA operating earnings declined compared to the prior year due to the persistent and significant inflationary pressures on raw materials and other costs and the negative impact of foreign currency translation, partially offset by continued price realization. Additional details of each segment’s operating performance are further discussed in the Company’s Reportable Segments Review, in the Operations section of this Item, below.</w:t>
      </w:r>
    </w:p>
    <w:p>
      <w:pPr>
        <w:spacing w:after="0" w:line="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7"/>
          <w:szCs w:val="17"/>
          <w:color w:val="auto"/>
        </w:rPr>
        <w:t>The Company had a net operating cash outflow of $26.3 million in the first nine months of 2022 compared to net operating cash flow of $2.5 million in the first nine months of 2021. The net operating cash outflow year-over-year reflects lower year-to-date operating performance in 2022 compared to 2021 as well as the continued significant current year working capital investment primarily related to higher accounts receivable due to the increase in net sales, higher inventory due to higher raw material costs and lower levels of accounts payable. The key drivers of the Company’s operating cash flow and working capital are further discussed in the Company’s Liquidity and Capital Resources section of this Item, below.</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680"/>
          </w:cols>
          <w:pgMar w:left="1080" w:top="878" w:right="113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Overall, the Company delivered another quarter of strong net sales growth, driven by strong price realization, both sequentially and year-over-year. Coupled with an improvement in gross margin, these factors contributed to the Company’s current quarter earnings growth despite the ongoing inflationary pressures, unfavorable foreign currency translation, macroeconomic and geopolitical challenges and other disruptions that impacted the Company’s customers and end markets. Looking at the remainder of 2022, the Company remains focused on executing on items within its control as it manages through a continued uneven end market environment and softer market conditions, primarily in Europe and Asia/Pacific. The Company is encouraged by the resilience of its diversified portfolio despite significant uncertainty caused by several macroeconomic factors. We continue to expect to deliver further sequential gross margin improvement in the fourth quarter of 2022, as well as higher earnings in the second half of 2022 as compared to the first half of 2022 and second half of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COVID-19</w:t>
      </w:r>
    </w:p>
    <w:p>
      <w:pPr>
        <w:spacing w:after="0" w:line="1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7"/>
          <w:szCs w:val="17"/>
          <w:color w:val="auto"/>
        </w:rPr>
        <w:t>The global outbreak of COVID-19 in March of 2020 has negatively impacted all locations where the Company does business. Although the Company has now operated in this COVID-19 environment for more than two years, the full extent of the outbreak and related business impacts continue to remain uncertain and volatile, and therefore the full extent to which COVID-19 may impact the Company’s future results of operations or financial condition is uncertain. This outbreak has significantly disrupted the operations of the Company and those of its suppliers and customers and, at times during the pandemic, the Company has experienced volume declines as compared to pre-COVID-19 levels. Management continues to monitor the impact that the COVID-19 pandemic is having on the Company, the overall specialty chemical industry and the economies and markets in which the Company operates. The prolonged pandemic and resurgences of the outbreak including as new variants continue to emerge, and continued restrictions on day-to-day life and business operations such as continuing restrictions in China, as well as border controls or closures and transportation disruptions, may result in volume declines and lower net sales in future periods. To the extent that the Company’s customers and suppliers are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and adversely impacted by COVID-19.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its financial reporting processes, internal controls over financial reporting, or disclosure controls and procedures.</w:t>
      </w:r>
    </w:p>
    <w:p>
      <w:pPr>
        <w:spacing w:after="0" w:line="100"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Company’s top priority is to protect the health and safety of its employees and customers, while working to ensure business continuity to meet customers’ needs. During the pandemic, the Company has taken incremental steps to protect the health and wellbeing of its people in affected areas through various actions, including enabling work at home where needed and practicable, and employing social distancing standards, implementing travel restrictions where applicable, enhancing onsite hygiene practices, and instituting visitation restrictions at the Company’s facilities. The Company has not and does not expect that it will incur material expenses implementing these health and safety policies. All of the Company’s more than 30 production facilities worldwide are open and operating and are deemed as essential businesses in the jurisdictions where they are operating. The Company continues to expect that the impacts from COVID-19 will gradually decline subject to the effective containment of the virus and its variants and successful distribution and acceptance of the available vaccines and treatments; however, the incidence of reported cases of COVID-19 or a variant in several geographies where the Company has significant operations remains relatively high. Differing government responses to these reported cases continues to evolve and it therefore remains highly uncertain as to how long the global pandemic and related economic challenges will last in each of the jurisdictions where the Company conducts business and when our customers’ businesses will recover to pre-COVID-19 levels. While the actions the Company has taken to date to protect our workforce, to continue to serve our customers with excellence and to conserve cash and reduce costs as applicable, have been effective thus far, further actions to respond to the pandemic and its effects may be necessary as conditions continue to evolve.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Political Conflicts</w:t>
      </w:r>
    </w:p>
    <w:p>
      <w:pPr>
        <w:spacing w:after="0" w:line="131"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 significant portion of the Company’s revenues and earnings are generated by non-U.S. operations. This subjects the Company to political and economic risks that could adversely affect the Company’s business, liquidity, financial position and results of operations. The existence of military conflicts, for example the Russian invasion of Ukraine, bring inherent risks such as the potential for supply chain disruptions, increased costs of resources including oil, decreased trade activity and other consequences related to economic or other sanctions. The U.S. government and other nations have imposed significant restrictions on most companies’ ability to do business in Russia as a result of the military conflict between Russia and Ukraine.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The military conflict between Russia and Ukraine has had a negative impact on the Company’s ability to sell to, ship products to, collect payments from, and support customers in certain regions based on trade restrictions, embargoes and export control law restrictions, and logistics restrictions including closures of air space. If this conflict continues or expands, it could increase the costs, risks and adverse impacts from these new challenges. The Company and its customers and suppliers may also be the subject of increased cyber-attacks.</w:t>
      </w:r>
    </w:p>
    <w:p>
      <w:pPr>
        <w:sectPr>
          <w:pgSz w:w="11900" w:h="16838" w:orient="portrait"/>
          <w:cols w:equalWidth="0" w:num="1">
            <w:col w:w="9680"/>
          </w:cols>
          <w:pgMar w:left="1080" w:top="878" w:right="1139"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680"/>
          </w:cols>
          <w:pgMar w:left="1080" w:top="878" w:right="11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80" w:firstLine="324"/>
        <w:spacing w:after="0" w:line="267" w:lineRule="auto"/>
        <w:rPr>
          <w:sz w:val="20"/>
          <w:szCs w:val="20"/>
          <w:color w:val="auto"/>
        </w:rPr>
      </w:pPr>
      <w:r>
        <w:rPr>
          <w:rFonts w:ascii="Arial" w:cs="Arial" w:eastAsia="Arial" w:hAnsi="Arial"/>
          <w:sz w:val="17"/>
          <w:szCs w:val="17"/>
          <w:color w:val="auto"/>
        </w:rPr>
        <w:t>During the second quarter of 2022, the Company decided to cease its operations in Russia. The Company’s operations in the conflict areas including Russia, Ukraine and Belarus historically represented less than 2% of the Company’s consolidated net sales and less than 1% of the Company’s consolidated total assets. The Company’s primary exposure in the conflict areas related to outstanding customer accounts receivable. The Company is actively monitoring its outstanding Russian receivables for collections and has recorded incremental allowances for doubtful accounts where warranted.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September 30, 2022, the Company had cash and cash equivalents of $138.9 million. Total cash and cash equivalents was</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$165.2 million at December 31, 2021. The $26.3 million decrease in cash and cash equivalents was the net result of $46.6 million of cash provided by financing activities offset by $26.3 million of cash used in operating activities, $29.6 million of cash used in investing activities and a $17.0 million negative impact due to the effect of foreign currency translation.</w:t>
      </w:r>
    </w:p>
    <w:p>
      <w:pPr>
        <w:spacing w:after="0" w:line="78"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Net cash flows used in operating activities were $26.3 million in the first nine months of 2022 compared to net cash flows provided by operating activities of $2.5 million in the first nine months of 2021. The decrease in net operating cash flow year-over-year reflects lower first nine months of the year operating performance in 2022 compared to 2021 as well as the continued significant current year working capital investment primarily related to higher accounts receivable due to the increase in net sales, higher inventory due to an increase in costs and, to a lesser extent, a build in certain inventory in response to global supply chain and logistics challenges, as well as lower levels of accounts payable due to timing.</w:t>
      </w:r>
    </w:p>
    <w:p>
      <w:pPr>
        <w:spacing w:after="0" w:line="9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6"/>
          <w:szCs w:val="16"/>
          <w:color w:val="auto"/>
        </w:rPr>
        <w:t>Net cash flows used in investing activities were $29.6 million in the first nine months of 2022 compared to $30.1 million in the first nine months of 2021. The relatively consistent level of cash used in investing activities year-over-year is the net result of lower cash proceeds from the disposition of assets which included the sale of certain held-for-sale real property assets related to the Combination in the prior year period, and higher capital expenditures in the current year largely related to certain infrastructure and sustainability-related spending, partially offset by lower cash payments related to acquisitions as a result of the level of acquisition activity in each year. See Note 2 of Notes to Condensed Consolidated Financial Statements in Item 1 of this Report.</w:t>
      </w:r>
    </w:p>
    <w:p>
      <w:pPr>
        <w:spacing w:after="0" w:line="67"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Net cash flows provided by financing activities were $46.6 million in the first nine months of 2022 compared to net cash flows used in financing activities of $10.5 million in the first nine months of 2021. The increase in net cash flows was primarily related to a larger increase in borrowings in the current year under the Company’s credit facility, which was amended and extended, as further described below, in the second quarter of 2022. In addition, the Company paid $22.3 million of cash dividends during the first nine months of 2022, a $1.1 million or 5% increase in cash dividends compared to the prior year.</w:t>
      </w:r>
    </w:p>
    <w:p>
      <w:pPr>
        <w:spacing w:after="0" w:line="63" w:lineRule="exact"/>
        <w:rPr>
          <w:sz w:val="20"/>
          <w:szCs w:val="20"/>
          <w:color w:val="auto"/>
        </w:rPr>
      </w:pPr>
    </w:p>
    <w:p>
      <w:pPr>
        <w:ind w:right="80" w:firstLine="324"/>
        <w:spacing w:after="0" w:line="261" w:lineRule="auto"/>
        <w:rPr>
          <w:sz w:val="20"/>
          <w:szCs w:val="20"/>
          <w:color w:val="auto"/>
        </w:rPr>
      </w:pPr>
      <w:r>
        <w:rPr>
          <w:rFonts w:ascii="Arial" w:cs="Arial" w:eastAsia="Arial" w:hAnsi="Arial"/>
          <w:sz w:val="17"/>
          <w:szCs w:val="17"/>
          <w:color w:val="auto"/>
        </w:rPr>
        <w:t>The Company, its wholly owned subsidiary, Quaker Chemical B.V., as borrowers, Bank of America, N.A., as administrative agent, U.S. Dollar swing line lender and letter of credit issuer, and the other lenders party thereto, entered into a credit agreement on August 1, 2019, as amended (the “Original Credit Facility”). 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the Original Credit Facility (the “Amended Credit Facility”). The Company used the proceeds of the Amended Credit Facility to repay all outstanding loans under the Original Credit Facility, as well as accrued interest and fees, and to terminate the revolving credit commitments under the Original Credit Facility.</w:t>
      </w:r>
    </w:p>
    <w:p>
      <w:pPr>
        <w:spacing w:after="0" w:line="68"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The Company’s Amended Credit Facility is comprised of a $500.0 million multicurrency revolver, a $600.0 million term loan and a $150.0 million (as of June 17, 2022) Euro equivalent term loan (collectively, the “Amended Term Loans”) with the Company and Quaker Houghton B.V., as borrowers, each with a five-year term maturing in June 2027. Subject to the consent of the Administrative Agent and certain other conditions, the Company may designate additional borrowers. The Company has the right to increase the amount of the Amended Credit Facility by an aggregate amount not to exceed the greater of (i) $300 million and (ii) 100% of Consolidated EBITDA, subject to certain conditions, including the agreement to provide financing by any Lender providing any such increase. U.S. Dollar-denominated borrowings under the Amended Credit Facility bear interest, at the Company’s election, at the base rate or term Secured Overnight Financing Rate (“SOFR”) plus an applicable rate ranging from 1.00% to 1.75% for term SOFR loans and from 0.00% to 0.75% for base rate loans, depending upon the Company’s consolidated net leverage ratio. Loans based on term SOFR also include a spread adjustment equal to 0.10% per annum. Borrowings under the Amended Credit Facility denominated in currencies other than U.S. Dollars bear interest at the alternative currency term rate plus the applicable rate ranging from 1.00% to</w:t>
      </w:r>
    </w:p>
    <w:p>
      <w:pPr>
        <w:spacing w:after="0" w:line="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1.75%. In addition to paying interest on outstanding principal under the Amended Credit Facility, the Company is required to pay a commitment fee ranging from 0.15% to 0.275% depending on the Company’s consolidated net leverage ratio to the Lenders under the Amended Revolver in respect of the unutilized commitments thereunder.</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700"/>
          </w:cols>
          <w:pgMar w:left="1080" w:top="878" w:right="1119" w:bottom="1440" w:gutter="0" w:footer="0" w:header="0"/>
          <w:type w:val="continuous"/>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firstLine="324"/>
        <w:spacing w:after="0" w:line="280" w:lineRule="auto"/>
        <w:rPr>
          <w:sz w:val="20"/>
          <w:szCs w:val="20"/>
          <w:color w:val="auto"/>
        </w:rPr>
      </w:pPr>
      <w:r>
        <w:rPr>
          <w:rFonts w:ascii="Arial" w:cs="Arial" w:eastAsia="Arial" w:hAnsi="Arial"/>
          <w:sz w:val="16"/>
          <w:szCs w:val="16"/>
          <w:color w:val="auto"/>
        </w:rPr>
        <w:t>The Amended Credit Facility contains affirmative and negative covenants, financial covenants and events of default that are customary for agreements of this nature. The Amended Credit Facility contains a number of customary business covenants, including without limitation restrictions on (a) the incurrence of additional indebtedness by the Company or certain of its subsidiaries, (b) investments in and acquisitions of other businesses, lines of business and divisions by the Company or certain of its subsidiaries, (c) the payment of dividends or capital stock purchases by the Company or certain of its subsidiaries and (d) dispositions of assets by the Company or certain of its subsidiaries. Dividends and share repurchases are permitted in annual amounts not exceeding the greater of $75 million annually and 25% of Consolidated EBITDA if there is no default. If the Company’s consolidated net leverage ratio is less than 2.50 to 1.00 then the Company is no longer subject to restricted payments .</w:t>
      </w:r>
    </w:p>
    <w:p>
      <w:pPr>
        <w:spacing w:after="0" w:line="51"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Financial covenants contained in the Amended Credit Facility include a consolidated interest coverage ratio test and a consolidated net leverage ratio test. The consolidated net leverage ratio at the end of a quarter may not be greater than 4.00 to 1.00, subject to a permitted increase during a four quarter period after certain acquisitions. The Company has the option of replacing the consolidated net leverage ratio test with a consolidated senior net leverage ratio test if the Company issues certain types of unsecured debt, subject to certain customary limitations. Customary events of default in the Amended Credit Facility include without limitation defaults for non-payment, breach of representations and warranties, non-performance of covenants, cross-defaults, insolvency, and a change of control of the Company in certain circumstances. The occurrence of an event of default under the Amended Credit Facility could result in all loans and other obligations becoming immediately due and payable and the Amended Credit Facility being terminated.</w:t>
      </w:r>
    </w:p>
    <w:p>
      <w:pPr>
        <w:spacing w:after="0" w:line="85"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The Original Credit Facility required the Company to fix its variable interest rates on at least 20% of its total Original Term Loans. In order to satisfy this requirement as well as to manage the Company’s exposure to variable interest rate risk associated with the Original Credit Facility, in November 2019, the Company entered into $170.0 million notional amounts of three year interest rate swaps at a base rate of 1.64% plus an applicable margin as provided in the Original Credit Facility, based on the Company’s consolidated net leverage ratio. At the time the Company entered into the swaps, and as of September 30, 2022, the aggregate interest rate on the swaps, including the fixed base rate plus an applicable margin, was 3.1%. In October 2022, the Company’s interest rate swap contracts expired. Upon expiration, the Company is entitled to a cash payment from the counterparties, which is materially consistent with the fair value as of September 30, 2022. The Amended Credit Facility does not require the Company to fix variable interest rates on any portion of its borrowings.</w:t>
      </w:r>
    </w:p>
    <w:p>
      <w:pPr>
        <w:spacing w:after="0" w:line="65"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Company previously capitalized $23.7 million of certain third-party debt issuance costs in connection with the Original Credit Facility. Approximately $15.5 million of the capitalized costs were attributed to the Original Term Loans and recorded as a direct reduction of Long-term debt on the Condensed Consolidated Balance Sheet. Approximately $8.3 million of the capitalized costs were attributed to the Original Revolver and recorded within Other assets on the Condensed Consolidated Balance Sheet. These capitalized costs were being amortized into Interest expense over the five-year term of the Original Credit Facility. As of December 31, 2021, the Company had $8.0 million of debt issuance costs recorded as a reduction of Long-term debt attributable to the Original Credit Facility. As of December 31, 2021, the Company had $4.3 million of debt issuance costs recorded within Other assets attributable to the Original Credit Facility. Prior to executing the Amended Credit Facility, the Company had $6.6 million of debt issuance costs recorded as a reduction of Long-term debt attributable to the Original Credit Facility and $3.5 million of debt issuance costs recorded within Other assets attributable to the Original Credit Facility. In connection with executing the Amended Credit Facility, the Company recorded a loss on extinguishment of debt of approximately $6.8 million which includes the write-off of certain previously unamortized deferred financing costs as well as a portion of the third party and creditor debt issuance costs incurred to execute the Amended Credit Facility. Also in connection with executing the Amended Credit Facility, during the third quarter of 2022, the Company capitalized $2.2 million of certain third-party debt issuance costs. Approximately $0.7 million of the capitalized costs were attributed to the Amended Euro Term Loan and Amended U.S. Term Loan. These costs were recorded as a direct reduction of Long-term debt on the Condensed Consolidated Balance Sheet. Approximately $1.5 million of the capitalized costs were attributed to the Amended Revolver and recorded within Other assets on the Condensed Consolidated Balance Sheet. These capitalized costs, as well as the previously capitalized costs that were not written off will collectively be amortized into Interest expense over the five-year term of the Amended Credit Facility. As of September 30, 2022, the Company had $2.1 million of debt issuance costs recorded as a reduction of Long-term debt on the Condensed Consolidated Balance Sheet and $4.6 million of debt issuance costs recorded within Other assets on the Condensed Consolidated Balance Sheet.</w:t>
      </w:r>
    </w:p>
    <w:p>
      <w:pPr>
        <w:spacing w:after="0" w:line="269" w:lineRule="exact"/>
        <w:rPr>
          <w:sz w:val="20"/>
          <w:szCs w:val="20"/>
          <w:color w:val="auto"/>
        </w:rPr>
      </w:pPr>
    </w:p>
    <w:p>
      <w:pPr>
        <w:ind w:right="140" w:firstLine="324"/>
        <w:spacing w:after="0" w:line="261" w:lineRule="auto"/>
        <w:rPr>
          <w:sz w:val="20"/>
          <w:szCs w:val="20"/>
          <w:color w:val="auto"/>
        </w:rPr>
      </w:pPr>
      <w:r>
        <w:rPr>
          <w:rFonts w:ascii="Arial" w:cs="Arial" w:eastAsia="Arial" w:hAnsi="Arial"/>
          <w:sz w:val="17"/>
          <w:szCs w:val="17"/>
          <w:color w:val="auto"/>
        </w:rPr>
        <w:t>As of September 30, 2022, the Company had Amended Credit Facility borrowings outstanding of $941.2 million. As of December 31, 2021, the Company had Original Credit Facility borrowings outstanding of $889.6 million. The Company has unused capacity under the Amended Revolver of approximately $295 million, net of bank letters of credit of approximately $3 million, as September 30, 2022. The Company’s other debt obligations are primarily industrial development bonds, bank lines of credit and municipality-related loans, which totaled $12.9 million and $11.8 million as of September 30, 2022 and December 31, 2021, respectively. Total unused capacity under these arrangements as of September 30, 2022 was approximately $12 million. The Company’s total net debt as of September 30, 2022 was $815.2 million.</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680"/>
          </w:cols>
          <w:pgMar w:left="1080" w:top="878" w:right="11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The Company incurred $10.4 million of total Combination, integration and other acquisition-related expenses in the first nine months of 2022, which includes $2.4 million of other expenses related to indemnification assets, described in the Non-GAAP Measures section of this Item below. Comparatively, in the first nine months of 2021, the Company incurred $13.6 million of total Combination, integration and other acquisition-related expenses, which was net of a $5.4 million gain on the sale of certain held-for-sale real property assets and also included $0.7 million of accelerated depreciation. The Company had aggregate net cash outflows of approximately $11.5 million related to the Combination, integration and other acquisition-related expenses during the first nine months of 2022 as compared to $20.0 million during the first nine months of 2021. During the first nine months of 2022, the Company incurred $10.7 million of strategic planning and transformation expenses. The Company expects that these additional operating costs and associated cash flows, as well as higher capital expenditures related to strategic planning, process optimization and the next phase of the Company’s long-term integration to further optimize its footprint, processes and other functions will continue in 2022 and extend into the next several years.</w:t>
      </w:r>
    </w:p>
    <w:p>
      <w:pPr>
        <w:spacing w:after="0" w:line="69"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Quaker Houghton’s Management approved, and the Company initiated, a global restructuring plan (the “QH Program”) in the third quarter of 2019 as part of its planned cost synergies associated with the Combination. The QH Program included restructuring and associated severance costs to reduce total headcount by approximately 400 people globally and plans for the closure of certain manufacturing and non-manufacturing facilities. The exact timing to complete all actions and final costs associated with the QH Program will depend on a number of factors and are subject to change; however, the Company has had reduction in headcount and site closures under the QH Program in 2022 and expects final headcount reductions to continue into 2023. At this time, the Company does not expect to incur material additional costs under the QH Program. The Company made cash payments related to the settlement of restructuring liabilities under the QH Program during the first nine months of 2022 of approximately $1.8 million compared to $4.6 million in the first nine months of 2021.</w:t>
      </w:r>
    </w:p>
    <w:p>
      <w:pPr>
        <w:spacing w:after="0" w:line="65" w:lineRule="exact"/>
        <w:rPr>
          <w:sz w:val="20"/>
          <w:szCs w:val="20"/>
          <w:color w:val="auto"/>
        </w:rPr>
      </w:pPr>
    </w:p>
    <w:p>
      <w:pPr>
        <w:jc w:val="both"/>
        <w:ind w:right="140" w:firstLine="324"/>
        <w:spacing w:after="0" w:line="248" w:lineRule="auto"/>
        <w:rPr>
          <w:sz w:val="20"/>
          <w:szCs w:val="20"/>
          <w:color w:val="auto"/>
        </w:rPr>
      </w:pPr>
      <w:r>
        <w:rPr>
          <w:rFonts w:ascii="Arial" w:cs="Arial" w:eastAsia="Arial" w:hAnsi="Arial"/>
          <w:sz w:val="18"/>
          <w:szCs w:val="18"/>
          <w:color w:val="auto"/>
        </w:rPr>
        <w:t>As of September 30, 2022, the Company’s gross liability for uncertain tax positions, including interest and penalties, was $20.1 million. The Company cannot determine a reliable estimate of the timing of cash flows by period related to its uncertain tax position liability. However, should the entire liability be paid, the amount of the payment may be reduced by up to $6.4 million as a result of offsetting benefits in other tax jurisdictions.</w:t>
      </w:r>
    </w:p>
    <w:p>
      <w:pPr>
        <w:spacing w:after="0" w:line="76" w:lineRule="exact"/>
        <w:rPr>
          <w:sz w:val="20"/>
          <w:szCs w:val="20"/>
          <w:color w:val="auto"/>
        </w:rPr>
      </w:pPr>
    </w:p>
    <w:p>
      <w:pPr>
        <w:ind w:right="60" w:firstLine="324"/>
        <w:spacing w:after="0" w:line="280" w:lineRule="auto"/>
        <w:rPr>
          <w:sz w:val="20"/>
          <w:szCs w:val="20"/>
          <w:color w:val="auto"/>
        </w:rPr>
      </w:pPr>
      <w:r>
        <w:rPr>
          <w:rFonts w:ascii="Arial" w:cs="Arial" w:eastAsia="Arial" w:hAnsi="Arial"/>
          <w:sz w:val="16"/>
          <w:szCs w:val="16"/>
          <w:color w:val="auto"/>
        </w:rPr>
        <w:t>In 2021, two of the Company’s locations suffered significant property damage as a result of flooding and electrical fire. The Company maintains property and flood insurance for all of its facilities globally. The Company, its insurance adjuster and insurance carrier are actively managing the remediation and restoration activities associated with both of these events and at this time the Company has concluded, based on all available information and discussions with its insurance adjuster and insurance carrier, that the losses incurred during 2021 were covered under the Company’s property and flood insurance coverage, net of an aggregate deductible of $2.0 million. Through September 30, 2022, the Company has received payments from its insurers of $3.9 million associated with these events. The Company has recorded an insurance receivable of $0.2 million as of September 30, 2022. See Note 18 of Notes to Condensed Consolidated Financial Statements in Item 1 of this Report.</w:t>
      </w:r>
    </w:p>
    <w:p>
      <w:pPr>
        <w:spacing w:after="0" w:line="51"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ongoing acquisition integration and optimization, pension plan contributions, capital expenditures, other business opportunities (including potential acquisitions), implementing actions to achieve the Company’s sustainability goals and other potential known or anticipated contingencies. The Company believes it has sufficient additional liquidity to support its operating requirements and to fund its business obligations for the period beyond the next twelve months as well, including the aforementioned items which are expected to recur annually, as well as future principal and interest payments on the Company’s Amended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04"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The Company’s critical accounting policies and estimates, as set forth in its 2021 Form 10-K remain materially consistent. However, due to the ongoing financial, economic and geopolitical conditions impacting the Company, the Company re-evaluated certain of its estimates, most notably its estimates and assumptions with regards to the fair value of its EMEA reporting unit during the third quarter of 2022.</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700"/>
          </w:cols>
          <w:pgMar w:left="1080" w:top="878" w:right="111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The Company accounts for business combinations under the acquisition method of accounting. This method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When necessary, the Company consults with external advisors to help determine fair value.</w:t>
      </w:r>
    </w:p>
    <w:p>
      <w:pPr>
        <w:spacing w:after="0" w:line="44"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Goodwill and intangible assets that have indefinite lives are not amortized and are required to be assessed at least annually for impairment. The Company completes its annual goodwill and indefinite-lived intangible asset impairment test during the fourth quarter of each year, or more frequently if triggering events indicate a possible impairment. The Company continually evaluates financial performance, economic conditions and other recent developments in assessing if a triggering event indicates that the carrying values of goodwill, indefinite-lived, or long-lived assets are impaired. The Company continues to monitor various financial, economic and geopolitical conditions impacting the Company, including the ongoing Russia-Ukraine war and the Company’s decision to cease operations in Russia, continued raw material cost escalation, supply chain constraints and disruptions, as well as rising interest rates and the cost of capital among other factors. The Company concluded that these and other factors, which have and continue to impact the Company, did not represent a triggering event during the third quarter of 2022, except for the Company’s EMEA reporting unit and the associated goodwill, as well as the related asset group. The Company concluded that during the third quarter of 2022 the escalation of these events adversely impacted EMEA’s financial performance and represented a triggering event.</w:t>
      </w:r>
    </w:p>
    <w:p>
      <w:pPr>
        <w:spacing w:after="0" w:line="71"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As a result of this conclusion, the Company completed an interim impairment assessment for its EMEA reporting unit, as well as the related asset group, during the third quarter of 2022. The Company concluded that the undiscounted cash flows exceeded the carrying value of the long-lived assets and it is not more likely than not that an impairment exists. In completing a quantitative goodwill impairment test, the Company compares the reporting unit’s fair value, primarily based on future discounted cash flows, to its carrying value in order to determine if an impairment charge is warranted. The estimates of future discounted cash flows involve considerable management judgment and are based upon certain significant assumptions including the weighted average cost of capital as well as projected EBITDA, which includes assumptions related to revenue growth rates, gross margin levels and operating expenses. As a result of this interim impairment assessment, the estimated fair value of the EMEA reporting unit exceeded its carrying value by approximately 22% and the Company concluded no impairment was warranted. In completing the interim quantitative impairment assessment, the Company used a WACC assumption of approximately 10.0% and holding all other assumptions constant, the WACC would have to increase by approximately 1.8 percentage points before the Company’s EMEA reporting unit would be considered impaired. In addition, holding EBITDA margins and all other assumptions constant, the Company’s compound annual revenue growth rate during the entire projection period would need to decline by approximately 3.0 percentage points before the Company’s EMEA reporting unit would be considered impaired. Similarly, holding revenue growth rates and all other assumptions constant, the Company’s average EBITDA margins throughout the entire projection period would need to decline by approximately 1.7 percentage points before the Company’s EMEA reporting unit would be considered impaired.</w:t>
      </w:r>
    </w:p>
    <w:p>
      <w:pPr>
        <w:spacing w:after="0" w:line="55"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Notwithstanding the results of the Company’s interim impairment assessment, if the Company is unable to successfully implement selling price increases aimed at more than offsetting raw material costs and ongoing inflationary pressures and the financial performance of the EMEA reporting unit declines further, or interest rates continue to rise and this leads to an increase in the cost of capital, then it is possible these financial, economic and geopolitical conditions could result in another triggering event for the EMEA reporting unit in the future and could lead to a potential impairment. In addition, if any of these financial, economic or geopolitical conditions has a more significant adverse effect on the Company, these could lead to a potential impairment of the Company’s goodwill or other indefinite-lived or long-lived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700"/>
          </w:cols>
          <w:pgMar w:left="1080" w:top="878" w:right="1119" w:bottom="1440" w:gutter="0" w:footer="0" w:header="0"/>
          <w:type w:val="continuous"/>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The Company presents EBITDA which is calculated as net income attributable to the Company before depreciation and amortization, interest expense, net, and taxes on income before equity in net (loss)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spacing w:after="0" w:line="53" w:lineRule="exact"/>
        <w:rPr>
          <w:sz w:val="20"/>
          <w:szCs w:val="20"/>
          <w:color w:val="auto"/>
        </w:rPr>
      </w:pPr>
    </w:p>
    <w:p>
      <w:pPr>
        <w:ind w:right="100" w:firstLine="324"/>
        <w:spacing w:after="0" w:line="280"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(loss)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spacing w:after="0" w:line="51"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vMerge w:val="restart"/>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44,609</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36,010</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105,915</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119,720</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Combination, restructuring and other</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acquisition-related expenses (a)</w:t>
            </w:r>
          </w:p>
        </w:tc>
        <w:tc>
          <w:tcPr>
            <w:tcW w:w="1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5,083</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7,421</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20,371</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Strategic planning and transformation expenses (b)</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4,545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Executive transition costs (c)</w:t>
            </w:r>
          </w:p>
        </w:tc>
        <w:tc>
          <w:tcPr>
            <w:tcW w:w="1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Russia-Ukraine conflict related expenses (d)</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Facility remediation costs, net (f)</w:t>
            </w:r>
          </w:p>
        </w:tc>
        <w:tc>
          <w:tcPr>
            <w:tcW w:w="1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Other charges (e)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6"/>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Non-GAAP operating income</w:t>
            </w: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tcBorders>
              <w:bottom w:val="single" w:sz="8" w:color="auto"/>
            </w:tcBorders>
            <w:shd w:val="clear" w:color="auto" w:fill="B7E5FF"/>
          </w:tcPr>
          <w:p>
            <w:pPr>
              <w:spacing w:after="0"/>
              <w:rPr>
                <w:sz w:val="20"/>
                <w:szCs w:val="20"/>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50,942</w:t>
            </w:r>
          </w:p>
        </w:tc>
        <w:tc>
          <w:tcPr>
            <w:tcW w:w="14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43,188</w:t>
            </w:r>
          </w:p>
        </w:tc>
        <w:tc>
          <w:tcPr>
            <w:tcW w:w="12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128,907</w:t>
            </w:r>
          </w:p>
        </w:tc>
        <w:tc>
          <w:tcPr>
            <w:tcW w:w="12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143,291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Non-GAAP operating margin (%) (m)</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720"/>
          </w:cols>
          <w:pgMar w:left="1080" w:top="878" w:right="1099" w:bottom="1440" w:gutter="0" w:footer="0" w:header="0"/>
          <w:type w:val="continuous"/>
        </w:sectPr>
      </w:pPr>
    </w:p>
    <w:bookmarkStart w:id="34" w:name="page35"/>
    <w:bookmarkEnd w:id="34"/>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EBITDA, Adjusted EBITDA, Adjusted EBITDA Margin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and Non-GAAP Net Income Reconciliations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9"/>
          </w:tcPr>
          <w:p>
            <w:pPr>
              <w:jc w:val="right"/>
              <w:ind w:right="56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7"/>
              </w:rPr>
              <w:t>September 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9"/>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9"/>
        </w:trPr>
        <w:tc>
          <w:tcPr>
            <w:tcW w:w="160" w:type="dxa"/>
            <w:vAlign w:val="bottom"/>
            <w:tcBorders>
              <w:bottom w:val="single" w:sz="8" w:color="B7E5FF"/>
            </w:tcBorders>
          </w:tcPr>
          <w:p>
            <w:pPr>
              <w:spacing w:after="0"/>
              <w:rPr>
                <w:sz w:val="19"/>
                <w:szCs w:val="19"/>
                <w:color w:val="auto"/>
              </w:rPr>
            </w:pPr>
          </w:p>
        </w:tc>
        <w:tc>
          <w:tcPr>
            <w:tcW w:w="47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B7E5FF"/>
            </w:tcBorders>
          </w:tcPr>
          <w:p>
            <w:pPr>
              <w:spacing w:after="0"/>
              <w:rPr>
                <w:sz w:val="19"/>
                <w:szCs w:val="19"/>
                <w:color w:val="auto"/>
              </w:rPr>
            </w:pPr>
          </w:p>
        </w:tc>
        <w:tc>
          <w:tcPr>
            <w:tcW w:w="120" w:type="dxa"/>
            <w:vAlign w:val="bottom"/>
            <w:tcBorders>
              <w:top w:val="single" w:sz="8" w:color="auto"/>
              <w:bottom w:val="single" w:sz="8" w:color="B7E5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B7E5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60" w:type="dxa"/>
            <w:vAlign w:val="bottom"/>
            <w:gridSpan w:val="3"/>
            <w:shd w:val="clear" w:color="auto" w:fill="B7E5FF"/>
          </w:tcPr>
          <w:p>
            <w:pPr>
              <w:spacing w:after="0" w:line="203" w:lineRule="exact"/>
              <w:rPr>
                <w:sz w:val="20"/>
                <w:szCs w:val="20"/>
                <w:color w:val="auto"/>
              </w:rPr>
            </w:pPr>
            <w:r>
              <w:rPr>
                <w:rFonts w:ascii="Arial" w:cs="Arial" w:eastAsia="Arial" w:hAnsi="Arial"/>
                <w:sz w:val="18"/>
                <w:szCs w:val="18"/>
                <w:color w:val="auto"/>
              </w:rPr>
              <w:t>Net income attributable to Quaker Chemical Corporation</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25,867</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31,058</w:t>
            </w:r>
          </w:p>
        </w:tc>
        <w:tc>
          <w:tcPr>
            <w:tcW w:w="80" w:type="dxa"/>
            <w:vAlign w:val="bottom"/>
            <w:shd w:val="clear" w:color="auto" w:fill="B7E5FF"/>
          </w:tcPr>
          <w:p>
            <w:pPr>
              <w:spacing w:after="0"/>
              <w:rPr>
                <w:sz w:val="17"/>
                <w:szCs w:val="17"/>
                <w:color w:val="auto"/>
              </w:rPr>
            </w:pPr>
          </w:p>
        </w:tc>
        <w:tc>
          <w:tcPr>
            <w:tcW w:w="40" w:type="dxa"/>
            <w:vAlign w:val="bottom"/>
            <w:shd w:val="clear" w:color="auto" w:fill="B7E5FF"/>
          </w:tcPr>
          <w:p>
            <w:pPr>
              <w:spacing w:after="0"/>
              <w:rPr>
                <w:sz w:val="17"/>
                <w:szCs w:val="17"/>
                <w:color w:val="auto"/>
              </w:rPr>
            </w:pPr>
          </w:p>
        </w:tc>
        <w:tc>
          <w:tcPr>
            <w:tcW w:w="220" w:type="dxa"/>
            <w:vAlign w:val="bottom"/>
            <w:gridSpan w:val="3"/>
            <w:shd w:val="clear" w:color="auto" w:fill="B7E5FF"/>
          </w:tcPr>
          <w:p>
            <w:pPr>
              <w:jc w:val="right"/>
              <w:ind w:right="120"/>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8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60,026</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7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103,243</w:t>
            </w:r>
          </w:p>
        </w:tc>
        <w:tc>
          <w:tcPr>
            <w:tcW w:w="80" w:type="dxa"/>
            <w:vAlign w:val="bottom"/>
            <w:shd w:val="clear" w:color="auto" w:fill="B7E5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 (a)(k)</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66,334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48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8,389</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5,637</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20,228</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16,725</w:t>
            </w:r>
          </w:p>
        </w:tc>
        <w:tc>
          <w:tcPr>
            <w:tcW w:w="80" w:type="dxa"/>
            <w:vAlign w:val="bottom"/>
            <w:shd w:val="clear" w:color="auto" w:fill="B7E5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Taxes on income before equity in net (loss) income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4800" w:type="dxa"/>
            <w:vAlign w:val="bottom"/>
            <w:tcBorders>
              <w:bottom w:val="single" w:sz="8" w:color="B7E5FF"/>
            </w:tcBorders>
            <w:gridSpan w:val="2"/>
            <w:shd w:val="clear" w:color="auto" w:fill="B7E5FF"/>
          </w:tcPr>
          <w:p>
            <w:pPr>
              <w:ind w:left="140"/>
              <w:spacing w:after="0"/>
              <w:rPr>
                <w:sz w:val="20"/>
                <w:szCs w:val="20"/>
                <w:color w:val="auto"/>
              </w:rPr>
            </w:pPr>
            <w:r>
              <w:rPr>
                <w:rFonts w:ascii="Arial" w:cs="Arial" w:eastAsia="Arial" w:hAnsi="Arial"/>
                <w:sz w:val="18"/>
                <w:szCs w:val="18"/>
                <w:color w:val="auto"/>
              </w:rPr>
              <w:t>of associated companies (l)</w:t>
            </w: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10,185</w:t>
            </w: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14,425</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26,702</w:t>
            </w:r>
          </w:p>
        </w:tc>
        <w:tc>
          <w:tcPr>
            <w:tcW w:w="80" w:type="dxa"/>
            <w:vAlign w:val="bottom"/>
            <w:tcBorders>
              <w:bottom w:val="single" w:sz="8" w:color="auto"/>
            </w:tcBorders>
            <w:shd w:val="clear" w:color="auto" w:fill="B7E5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59,032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156,170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213,004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Equity loss (income) in a captive insurance company (i)</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2,199</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8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(4,071)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Combination, restructuring and 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00" w:type="dxa"/>
            <w:vAlign w:val="bottom"/>
            <w:gridSpan w:val="2"/>
            <w:shd w:val="clear" w:color="auto" w:fill="B7E5FF"/>
          </w:tcPr>
          <w:p>
            <w:pPr>
              <w:ind w:left="140"/>
              <w:spacing w:after="0"/>
              <w:rPr>
                <w:sz w:val="20"/>
                <w:szCs w:val="20"/>
                <w:color w:val="auto"/>
              </w:rPr>
            </w:pPr>
            <w:r>
              <w:rPr>
                <w:rFonts w:ascii="Arial" w:cs="Arial" w:eastAsia="Arial" w:hAnsi="Arial"/>
                <w:sz w:val="18"/>
                <w:szCs w:val="18"/>
                <w:color w:val="auto"/>
              </w:rPr>
              <w:t>acquisition-related expenses (a)</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717</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4,906</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9,817</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14,265</w:t>
            </w:r>
          </w:p>
        </w:tc>
        <w:tc>
          <w:tcPr>
            <w:tcW w:w="80" w:type="dxa"/>
            <w:vAlign w:val="bottom"/>
            <w:shd w:val="clear" w:color="auto" w:fill="B7E5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Strategic planning and transformation expenses (b)</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48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Executive transition costs (c)</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913</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B7E5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Russia-Ukraine conflict related expenses (d)</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48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Facility remediation (recovery) costs, net (f)</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B7E5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Brazilian non-income tax credits (g)</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(13,293)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Loss on extinguishment of debt (h)</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6,763</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Borders>
              <w:bottom w:val="single" w:sz="8" w:color="B7E5FF"/>
            </w:tcBorders>
          </w:tcPr>
          <w:p>
            <w:pPr>
              <w:spacing w:after="0"/>
              <w:rPr>
                <w:sz w:val="19"/>
                <w:szCs w:val="19"/>
                <w:color w:val="auto"/>
              </w:rPr>
            </w:pPr>
          </w:p>
        </w:tc>
        <w:tc>
          <w:tcPr>
            <w:tcW w:w="480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Other charges (e)</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Adjusted EBITDA</w:t>
            </w:r>
          </w:p>
        </w:tc>
        <w:tc>
          <w:tcPr>
            <w:tcW w:w="2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70,291</w:t>
            </w:r>
          </w:p>
        </w:tc>
        <w:tc>
          <w:tcPr>
            <w:tcW w:w="20" w:type="dxa"/>
            <w:vAlign w:val="bottom"/>
            <w:shd w:val="clear" w:color="auto" w:fill="B7E5FF"/>
          </w:tcPr>
          <w:p>
            <w:pPr>
              <w:spacing w:after="0"/>
              <w:rPr>
                <w:sz w:val="20"/>
                <w:szCs w:val="20"/>
                <w:color w:val="auto"/>
              </w:rPr>
            </w:pPr>
          </w:p>
        </w:tc>
        <w:tc>
          <w:tcPr>
            <w:tcW w:w="120" w:type="dxa"/>
            <w:vAlign w:val="bottom"/>
            <w:shd w:val="clear" w:color="auto" w:fill="B7E5FF"/>
          </w:tcPr>
          <w:p>
            <w:pPr>
              <w:spacing w:after="0"/>
              <w:rPr>
                <w:sz w:val="20"/>
                <w:szCs w:val="20"/>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66,169</w:t>
            </w:r>
          </w:p>
        </w:tc>
        <w:tc>
          <w:tcPr>
            <w:tcW w:w="80" w:type="dxa"/>
            <w:vAlign w:val="bottom"/>
            <w:shd w:val="clear" w:color="auto" w:fill="B7E5FF"/>
          </w:tcPr>
          <w:p>
            <w:pPr>
              <w:spacing w:after="0"/>
              <w:rPr>
                <w:sz w:val="20"/>
                <w:szCs w:val="20"/>
                <w:color w:val="auto"/>
              </w:rPr>
            </w:pPr>
          </w:p>
        </w:tc>
        <w:tc>
          <w:tcPr>
            <w:tcW w:w="40" w:type="dxa"/>
            <w:vAlign w:val="bottom"/>
            <w:shd w:val="clear" w:color="auto" w:fill="B7E5FF"/>
          </w:tcPr>
          <w:p>
            <w:pPr>
              <w:spacing w:after="0"/>
              <w:rPr>
                <w:sz w:val="20"/>
                <w:szCs w:val="20"/>
                <w:color w:val="auto"/>
              </w:rPr>
            </w:pPr>
          </w:p>
        </w:tc>
        <w:tc>
          <w:tcPr>
            <w:tcW w:w="220" w:type="dxa"/>
            <w:vAlign w:val="bottom"/>
            <w:tcBorders>
              <w:bottom w:val="single" w:sz="8" w:color="auto"/>
            </w:tcBorders>
            <w:gridSpan w:val="3"/>
            <w:shd w:val="clear" w:color="auto" w:fill="B7E5FF"/>
          </w:tcPr>
          <w:p>
            <w:pPr>
              <w:jc w:val="right"/>
              <w:ind w:right="120"/>
              <w:spacing w:after="0"/>
              <w:rPr>
                <w:sz w:val="20"/>
                <w:szCs w:val="20"/>
                <w:color w:val="auto"/>
              </w:rPr>
            </w:pPr>
            <w:r>
              <w:rPr>
                <w:rFonts w:ascii="Arial" w:cs="Arial" w:eastAsia="Arial" w:hAnsi="Arial"/>
                <w:sz w:val="18"/>
                <w:szCs w:val="18"/>
                <w:color w:val="auto"/>
                <w:w w:val="79"/>
                <w:shd w:val="clear" w:color="auto" w:fill="B7E5FF"/>
              </w:rPr>
              <w:t>$</w:t>
            </w: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189,226</w:t>
            </w:r>
          </w:p>
        </w:tc>
        <w:tc>
          <w:tcPr>
            <w:tcW w:w="120" w:type="dxa"/>
            <w:vAlign w:val="bottom"/>
            <w:shd w:val="clear" w:color="auto" w:fill="B7E5FF"/>
          </w:tcPr>
          <w:p>
            <w:pPr>
              <w:spacing w:after="0"/>
              <w:rPr>
                <w:sz w:val="20"/>
                <w:szCs w:val="20"/>
                <w:color w:val="auto"/>
              </w:rPr>
            </w:pPr>
          </w:p>
        </w:tc>
        <w:tc>
          <w:tcPr>
            <w:tcW w:w="20" w:type="dxa"/>
            <w:vAlign w:val="bottom"/>
            <w:tcBorders>
              <w:bottom w:val="single" w:sz="8" w:color="auto"/>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20" w:type="dxa"/>
            <w:vAlign w:val="bottom"/>
            <w:tcBorders>
              <w:bottom w:val="single" w:sz="8" w:color="auto"/>
            </w:tcBorders>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spacing w:after="0"/>
              <w:rPr>
                <w:sz w:val="20"/>
                <w:szCs w:val="20"/>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213,374</w:t>
            </w:r>
          </w:p>
        </w:tc>
        <w:tc>
          <w:tcPr>
            <w:tcW w:w="80" w:type="dxa"/>
            <w:vAlign w:val="bottom"/>
            <w:tcBorders>
              <w:bottom w:val="single" w:sz="8" w:color="auto"/>
            </w:tcBorders>
            <w:shd w:val="clear" w:color="auto" w:fill="B7E5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Adjusted EBITDA margin (%) (m)</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8"/>
                <w:szCs w:val="18"/>
                <w:color w:val="auto"/>
              </w:rPr>
              <w:t>14.7%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8"/>
                <w:szCs w:val="18"/>
                <w:color w:val="auto"/>
              </w:rPr>
              <w:t>13.0%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16.2%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0" w:type="dxa"/>
            <w:vAlign w:val="bottom"/>
            <w:gridSpan w:val="2"/>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840" w:type="dxa"/>
            <w:vAlign w:val="bottom"/>
            <w:gridSpan w:val="2"/>
            <w:shd w:val="clear" w:color="auto" w:fill="B7E5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70,291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66,169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189,226</w:t>
            </w:r>
          </w:p>
        </w:tc>
        <w:tc>
          <w:tcPr>
            <w:tcW w:w="1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213,374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B7E5FF"/>
          </w:tcPr>
          <w:p>
            <w:pPr>
              <w:spacing w:after="0"/>
              <w:rPr>
                <w:sz w:val="21"/>
                <w:szCs w:val="21"/>
                <w:color w:val="auto"/>
              </w:rPr>
            </w:pPr>
          </w:p>
        </w:tc>
        <w:tc>
          <w:tcPr>
            <w:tcW w:w="480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Less: Depreciation and amortization - adjusted (a)</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19,908</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21,365</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61,491</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65,616</w:t>
            </w:r>
          </w:p>
        </w:tc>
        <w:tc>
          <w:tcPr>
            <w:tcW w:w="80" w:type="dxa"/>
            <w:vAlign w:val="bottom"/>
            <w:shd w:val="clear" w:color="auto" w:fill="B7E5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Less: Interest expense,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shd w:val="clear" w:color="auto" w:fill="B7E5FF"/>
          </w:tcPr>
          <w:p>
            <w:pPr>
              <w:spacing w:after="0"/>
              <w:rPr>
                <w:sz w:val="19"/>
                <w:szCs w:val="19"/>
                <w:color w:val="auto"/>
              </w:rPr>
            </w:pPr>
          </w:p>
        </w:tc>
        <w:tc>
          <w:tcPr>
            <w:tcW w:w="480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Less: Taxes on income before equity in net income</w:t>
            </w: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9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96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60" w:type="dxa"/>
            <w:vAlign w:val="bottom"/>
            <w:tcBorders>
              <w:bottom w:val="single" w:sz="8" w:color="B7E5FF"/>
            </w:tcBorders>
            <w:shd w:val="clear" w:color="auto" w:fill="B7E5FF"/>
          </w:tcPr>
          <w:p>
            <w:pPr>
              <w:spacing w:after="0"/>
              <w:rPr>
                <w:sz w:val="19"/>
                <w:szCs w:val="19"/>
                <w:color w:val="auto"/>
              </w:rPr>
            </w:pPr>
          </w:p>
        </w:tc>
        <w:tc>
          <w:tcPr>
            <w:tcW w:w="86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76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60" w:type="dxa"/>
            <w:vAlign w:val="bottom"/>
            <w:tcBorders>
              <w:bottom w:val="single" w:sz="8" w:color="B7E5FF"/>
            </w:tcBorders>
          </w:tcPr>
          <w:p>
            <w:pPr>
              <w:spacing w:after="0"/>
              <w:rPr>
                <w:sz w:val="21"/>
                <w:szCs w:val="21"/>
                <w:color w:val="auto"/>
              </w:rPr>
            </w:pPr>
          </w:p>
        </w:tc>
        <w:tc>
          <w:tcPr>
            <w:tcW w:w="480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of associated companies - adjusted (a)(l)</w:t>
            </w: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10,821</w:t>
            </w: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w:t>
            </w:r>
          </w:p>
        </w:tc>
        <w:tc>
          <w:tcPr>
            <w:tcW w:w="80" w:type="dxa"/>
            <w:vAlign w:val="bottom"/>
            <w:tcBorders>
              <w:bottom w:val="single" w:sz="8" w:color="B7E5FF"/>
            </w:tcBorders>
          </w:tcPr>
          <w:p>
            <w:pPr>
              <w:spacing w:after="0"/>
              <w:rPr>
                <w:sz w:val="21"/>
                <w:szCs w:val="21"/>
                <w:color w:val="auto"/>
              </w:rPr>
            </w:pPr>
          </w:p>
        </w:tc>
        <w:tc>
          <w:tcPr>
            <w:tcW w:w="40" w:type="dxa"/>
            <w:vAlign w:val="bottom"/>
            <w:tcBorders>
              <w:bottom w:val="single" w:sz="8" w:color="B7E5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27,189</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960" w:type="dxa"/>
            <w:vAlign w:val="bottom"/>
            <w:tcBorders>
              <w:bottom w:val="single" w:sz="8" w:color="B7E5FF"/>
            </w:tcBorders>
            <w:gridSpan w:val="3"/>
            <w:shd w:val="clear" w:color="auto" w:fill="B7E5FF"/>
          </w:tcPr>
          <w:p>
            <w:pPr>
              <w:spacing w:after="0" w:line="189" w:lineRule="exact"/>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31,173</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29,402</w:t>
            </w:r>
          </w:p>
        </w:tc>
        <w:tc>
          <w:tcPr>
            <w:tcW w:w="8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20" w:type="dxa"/>
            <w:vAlign w:val="bottom"/>
            <w:tcBorders>
              <w:bottom w:val="single" w:sz="8" w:color="B7E5FF"/>
            </w:tcBorders>
            <w:gridSpan w:val="3"/>
            <w:shd w:val="clear" w:color="auto" w:fill="B7E5FF"/>
          </w:tcPr>
          <w:p>
            <w:pPr>
              <w:jc w:val="right"/>
              <w:ind w:right="120"/>
              <w:spacing w:after="0" w:line="189" w:lineRule="exact"/>
              <w:rPr>
                <w:sz w:val="20"/>
                <w:szCs w:val="20"/>
                <w:color w:val="auto"/>
              </w:rPr>
            </w:pPr>
            <w:r>
              <w:rPr>
                <w:rFonts w:ascii="Arial" w:cs="Arial" w:eastAsia="Arial" w:hAnsi="Arial"/>
                <w:sz w:val="18"/>
                <w:szCs w:val="18"/>
                <w:color w:val="auto"/>
                <w:w w:val="79"/>
                <w:shd w:val="clear" w:color="auto" w:fill="B7E5FF"/>
              </w:rPr>
              <w:t>$</w:t>
            </w:r>
          </w:p>
        </w:tc>
        <w:tc>
          <w:tcPr>
            <w:tcW w:w="86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80,318</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760" w:type="dxa"/>
            <w:vAlign w:val="bottom"/>
            <w:tcBorders>
              <w:bottom w:val="single" w:sz="8" w:color="B7E5FF"/>
            </w:tcBorders>
            <w:shd w:val="clear" w:color="auto" w:fill="B7E5FF"/>
          </w:tcPr>
          <w:p>
            <w:pPr>
              <w:jc w:val="right"/>
              <w:spacing w:after="0" w:line="189" w:lineRule="exact"/>
              <w:rPr>
                <w:sz w:val="20"/>
                <w:szCs w:val="20"/>
                <w:color w:val="auto"/>
              </w:rPr>
            </w:pPr>
            <w:r>
              <w:rPr>
                <w:rFonts w:ascii="Arial" w:cs="Arial" w:eastAsia="Arial" w:hAnsi="Arial"/>
                <w:sz w:val="18"/>
                <w:szCs w:val="18"/>
                <w:color w:val="auto"/>
              </w:rPr>
              <w:t>99,756</w:t>
            </w:r>
          </w:p>
        </w:tc>
        <w:tc>
          <w:tcPr>
            <w:tcW w:w="80" w:type="dxa"/>
            <w:vAlign w:val="bottom"/>
            <w:tcBorders>
              <w:bottom w:val="single" w:sz="8" w:color="B7E5FF"/>
            </w:tcBorders>
            <w:shd w:val="clear" w:color="auto" w:fill="B7E5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60" w:type="dxa"/>
            <w:vAlign w:val="bottom"/>
            <w:gridSpan w:val="3"/>
          </w:tcPr>
          <w:p>
            <w:pPr>
              <w:ind w:left="16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9"/>
          </w:tcPr>
          <w:p>
            <w:pPr>
              <w:jc w:val="right"/>
              <w:ind w:right="4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9"/>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tcPr>
          <w:p>
            <w:pPr>
              <w:spacing w:after="0"/>
              <w:rPr>
                <w:sz w:val="19"/>
                <w:szCs w:val="19"/>
                <w:color w:val="auto"/>
              </w:rPr>
            </w:pPr>
          </w:p>
        </w:tc>
        <w:tc>
          <w:tcPr>
            <w:tcW w:w="47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B7E5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B7E5FF"/>
            </w:tcBorders>
          </w:tcPr>
          <w:p>
            <w:pPr>
              <w:spacing w:after="0"/>
              <w:rPr>
                <w:sz w:val="19"/>
                <w:szCs w:val="19"/>
                <w:color w:val="auto"/>
              </w:rPr>
            </w:pPr>
          </w:p>
        </w:tc>
        <w:tc>
          <w:tcPr>
            <w:tcW w:w="20" w:type="dxa"/>
            <w:vAlign w:val="bottom"/>
            <w:tcBorders>
              <w:top w:val="single" w:sz="8" w:color="auto"/>
              <w:bottom w:val="single" w:sz="8" w:color="B7E5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GAAP earnings per diluted share attributable to</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Equity loss (income) in a captive insurance company</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76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per diluted share (i)</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Combination, restructuring and other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acquisition-related expenses per diluted share (a)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0.22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Strategic planning and transformation expenses per</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diluted share (b)</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Executive transition costs per diluted share (c)</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9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4960" w:type="dxa"/>
            <w:vAlign w:val="bottom"/>
            <w:gridSpan w:val="3"/>
          </w:tcPr>
          <w:p>
            <w:pPr>
              <w:ind w:left="160"/>
              <w:spacing w:after="0"/>
              <w:rPr>
                <w:sz w:val="20"/>
                <w:szCs w:val="20"/>
                <w:color w:val="auto"/>
              </w:rPr>
            </w:pPr>
            <w:r>
              <w:rPr>
                <w:rFonts w:ascii="Arial" w:cs="Arial" w:eastAsia="Arial" w:hAnsi="Arial"/>
                <w:sz w:val="18"/>
                <w:szCs w:val="18"/>
                <w:color w:val="auto"/>
                <w:w w:val="97"/>
              </w:rPr>
              <w:t>Russia-Ukraine conflict related expenses per diluted share (d)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w w:val="98"/>
              </w:rPr>
              <w:t>Facility remediation (recovery) costs, net per diluted share (f)</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c>
          <w:tcPr>
            <w:tcW w:w="9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4960" w:type="dxa"/>
            <w:vAlign w:val="bottom"/>
            <w:gridSpan w:val="3"/>
          </w:tcPr>
          <w:p>
            <w:pPr>
              <w:ind w:left="160"/>
              <w:spacing w:after="0"/>
              <w:rPr>
                <w:sz w:val="20"/>
                <w:szCs w:val="20"/>
                <w:color w:val="auto"/>
              </w:rPr>
            </w:pPr>
            <w:r>
              <w:rPr>
                <w:rFonts w:ascii="Arial" w:cs="Arial" w:eastAsia="Arial" w:hAnsi="Arial"/>
                <w:sz w:val="18"/>
                <w:szCs w:val="18"/>
                <w:color w:val="auto"/>
              </w:rPr>
              <w:t>Brazilian non-income tax credits per diluted share (g)</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Loss on extinguishment of debt per diluted share (h)</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6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4960" w:type="dxa"/>
            <w:vAlign w:val="bottom"/>
            <w:gridSpan w:val="3"/>
          </w:tcPr>
          <w:p>
            <w:pPr>
              <w:ind w:left="160"/>
              <w:spacing w:after="0"/>
              <w:rPr>
                <w:sz w:val="20"/>
                <w:szCs w:val="20"/>
                <w:color w:val="auto"/>
              </w:rPr>
            </w:pPr>
            <w:r>
              <w:rPr>
                <w:rFonts w:ascii="Arial" w:cs="Arial" w:eastAsia="Arial" w:hAnsi="Arial"/>
                <w:sz w:val="18"/>
                <w:szCs w:val="18"/>
                <w:color w:val="auto"/>
              </w:rPr>
              <w:t>Other charges per diluted share (e)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Impact of certain discrete tax items per diluted share (j)</w:t>
            </w:r>
          </w:p>
        </w:tc>
        <w:tc>
          <w:tcPr>
            <w:tcW w:w="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(0.37)</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rPr>
              <w:t>(0.37)</w:t>
            </w: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gridSpan w:val="3"/>
            <w:shd w:val="clear" w:color="auto" w:fill="B7E5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6"/>
        </w:trPr>
        <w:tc>
          <w:tcPr>
            <w:tcW w:w="4960" w:type="dxa"/>
            <w:vAlign w:val="bottom"/>
            <w:gridSpan w:val="3"/>
          </w:tcPr>
          <w:p>
            <w:pPr>
              <w:ind w:left="20"/>
              <w:spacing w:after="0"/>
              <w:rPr>
                <w:sz w:val="20"/>
                <w:szCs w:val="20"/>
                <w:color w:val="auto"/>
              </w:rPr>
            </w:pPr>
            <w:r>
              <w:rPr>
                <w:rFonts w:ascii="Arial" w:cs="Arial" w:eastAsia="Arial" w:hAnsi="Arial"/>
                <w:sz w:val="18"/>
                <w:szCs w:val="18"/>
                <w:color w:val="auto"/>
              </w:rPr>
              <w:t>Non-GAAP earnings per diluted share (n)</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1080" w:top="878" w:right="939" w:bottom="1440" w:gutter="0" w:footer="0" w:header="0"/>
        </w:sectPr>
      </w:pPr>
    </w:p>
    <w:p>
      <w:pPr>
        <w:spacing w:after="0" w:line="13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880"/>
          </w:cols>
          <w:pgMar w:left="1080" w:top="878" w:right="9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33" w:lineRule="exact"/>
        <w:rPr>
          <w:sz w:val="20"/>
          <w:szCs w:val="20"/>
          <w:color w:val="auto"/>
        </w:rPr>
      </w:pPr>
    </w:p>
    <w:p>
      <w:pPr>
        <w:ind w:left="320" w:right="60" w:hanging="316"/>
        <w:spacing w:after="0" w:line="272"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Combination, restructuring and other acquisition-related expenses include certain legal, financial, and other advisory and consultant costs incurred in connection with the Combination integration activities including internal control readiness and remediation as well as costs incurred by the Company associated with the QH restructuring program, which was initiated in the third quarter of 2019 as part of the Company’s plan to realize cost synergies associated with the Combination. These amounts also include expense associated with other of the Company’s acquisitions, including certain legal, financial, and other advisory and consultant costs incurred in connection with due diligence as well as costs associated with selling inventory from acquired businesses which was adjusted to fair value as part of purchase accounting. These costs are not indicative of the future operating performance of the Company. Approximately $0.3 million and $0.5 million for the three and nine months ended September 30, 2022, respectively, and approximately $0.2 million and $0.7 million in the three and nine months ended September 30, 2021, respectively, of these pre-tax costs were considered non-deductible for the purpose of determining the Company’s effective tax rate, and, therefore, taxes on income before equity in net income of associated companies - adjusted reflects the impact of these items. During the nine months ended September 30, 2022, the Company recorded $2.4 million of other expense related to an indemnification asset, which is included in the caption “Combination, restructuring and other acquisition-related expenses” in the reconciliation of GAAP earnings per diluted share attributed to Quaker Chemical Corporation common shareholders to Non-GAAP earnings per diluted share as well as the reconciliation of net income attributable to Quaker Chemical Corporation to Adjusted EBITDA and Non-GAAP net income. During the three and nine months ended September 30, 2021, the Company recorded $0.2 million $0.7 million, respectively, of accelerated depreciation related to certain of the Company’s facilities, which is included in the caption “Combination, restructuring and other acquisition-related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During the nine months ended September 30, 2021, the Company recorded a $5.4 million gain on the sale of certain held-for-sale real property assets related to the Combination which is included in the caption “Combination, restructuring and other acquisition-related expenses” in the reconciliation of GAAP earnings per diluted share attributed to Quaker Chemical Corporation common shareholders to Non-GAAP earnings per diluted share as well as the reconciliation of net income attributable to Quaker Chemical Corporation to Adjusted EBITDA and Non-GAAP net income. During the three and nine months ended September 30, 2022, respectively, the Company recorded restructuring and related credits of $1.4 million and $0.6 million, respectively, and $0.9 million and net charges of $0.6 million during the three and nine months ended September 30, 2021, respectively. During the nine months ended September 30, 2021, the Company recorded $0.8 million related to the sale of inventory from acquired businesses which was adjusted to fair value. See Notes 2, 7, 10 and 11 of Notes to Condensed Consolidated Financial Statements, which appear in Item 1 of this Report.</w:t>
      </w:r>
    </w:p>
    <w:p>
      <w:pPr>
        <w:spacing w:after="0" w:line="278" w:lineRule="exact"/>
        <w:rPr>
          <w:rFonts w:ascii="Arial" w:cs="Arial" w:eastAsia="Arial" w:hAnsi="Arial"/>
          <w:sz w:val="16"/>
          <w:szCs w:val="16"/>
          <w:color w:val="auto"/>
        </w:rPr>
      </w:pPr>
    </w:p>
    <w:p>
      <w:pPr>
        <w:ind w:left="320" w:right="80" w:hanging="316"/>
        <w:spacing w:after="0" w:line="293"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Strategic planning and transformation expenses include certain consultant and advisory expenses for the Company’s long-term strategic planning, as well as process optimization and the next phase of the Company’s long-term integration to further optimize its footprint, processes and other functions. These costs are not indicative of the future operating performance of the Company.</w:t>
      </w:r>
    </w:p>
    <w:p>
      <w:pPr>
        <w:spacing w:after="0" w:line="55" w:lineRule="exact"/>
        <w:rPr>
          <w:rFonts w:ascii="Arial" w:cs="Arial" w:eastAsia="Arial" w:hAnsi="Arial"/>
          <w:sz w:val="16"/>
          <w:szCs w:val="16"/>
          <w:color w:val="auto"/>
        </w:rPr>
      </w:pPr>
    </w:p>
    <w:p>
      <w:pPr>
        <w:ind w:left="320" w:right="180" w:hanging="316"/>
        <w:spacing w:after="0" w:line="248"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Executive transition costs represent the costs related to the Company’s search, hiring and transition to a new CEO in connection with the executive transition that took place in 2021 as well as the search, hiring and transition for other officers during the first nine months of 2022. These expenses are one-time in nature and not indicative of the future operating performance of the Company.</w:t>
      </w:r>
    </w:p>
    <w:p>
      <w:pPr>
        <w:spacing w:after="0" w:line="75" w:lineRule="exact"/>
        <w:rPr>
          <w:rFonts w:ascii="Arial" w:cs="Arial" w:eastAsia="Arial" w:hAnsi="Arial"/>
          <w:sz w:val="18"/>
          <w:szCs w:val="18"/>
          <w:color w:val="auto"/>
        </w:rPr>
      </w:pPr>
    </w:p>
    <w:p>
      <w:pPr>
        <w:ind w:left="320" w:hanging="316"/>
        <w:spacing w:after="0" w:line="246"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Russia-Ukraine conflict related expenses represent the direct costs associated with the Company’s exit of operations in Russia during 2022, primarily for employee separation benefits, as well as costs associated with establishing specific reserves or changes to existing reserves for trade accounts receivable within the Company’s EMEA reportable segment due to the economic instability associated with certain customer accounts receivables which have been directly impacted by the current economic conflict between Russia and Ukraine or the Company’s decision to end operations in Russia. These expenses are not indicative of the future operating performance of the Company.</w:t>
      </w:r>
    </w:p>
    <w:p>
      <w:pPr>
        <w:spacing w:after="0" w:line="77" w:lineRule="exact"/>
        <w:rPr>
          <w:rFonts w:ascii="Arial" w:cs="Arial" w:eastAsia="Arial" w:hAnsi="Arial"/>
          <w:sz w:val="18"/>
          <w:szCs w:val="18"/>
          <w:color w:val="auto"/>
        </w:rPr>
      </w:pPr>
    </w:p>
    <w:p>
      <w:pPr>
        <w:ind w:left="320" w:right="100" w:hanging="316"/>
        <w:spacing w:after="0" w:line="283"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charges include charges incurred by an inactive subsidiary of the Company as a result of the termination of restrictions on insurance settlement reserves, non-service components of the Company’s pension and postretirement net periodic benefit income and the foreign currency remeasurement impacts associated with the Company’s affiliates whose local economies are designated as hyper-inflationary under U.S. GAAP. These expenses are not indicative of the future operating performance of the Company. See Notes 1 and 9 of Notes to Condensed Consolidated Financial Statements, which appear in Item 1 of this Report.</w:t>
      </w:r>
    </w:p>
    <w:p>
      <w:pPr>
        <w:spacing w:after="0" w:line="62" w:lineRule="exact"/>
        <w:rPr>
          <w:rFonts w:ascii="Arial" w:cs="Arial" w:eastAsia="Arial" w:hAnsi="Arial"/>
          <w:sz w:val="16"/>
          <w:szCs w:val="16"/>
          <w:color w:val="auto"/>
        </w:rPr>
      </w:pPr>
    </w:p>
    <w:p>
      <w:pPr>
        <w:ind w:left="320" w:hanging="316"/>
        <w:spacing w:after="0" w:line="268"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Facility remediation (recovery) costs, net presents the costs associated with remediation, cleaning and subsequent restoration costs associated with property damages to certain of the Company’s facilities, net of insurance recoveries received. These charges are non-recurring and are not indicative of the future operating performance of the Company. See Note 18 of Notes to Condensed Consolidated Financial Statements, which appears in Item 1 of this Report.</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700"/>
          </w:cols>
          <w:pgMar w:left="1080" w:top="878" w:right="1119" w:bottom="1440" w:gutter="0" w:footer="0" w:header="0"/>
          <w:type w:val="continuous"/>
        </w:sectPr>
      </w:pPr>
    </w:p>
    <w:bookmarkStart w:id="36" w:name="page37"/>
    <w:bookmarkEnd w:id="36"/>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16" w:right="40" w:hanging="316"/>
        <w:spacing w:after="0" w:line="287"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Brazilian non-income tax credits represent indirect tax credits related to certain of the Company’s Brazilian subsidiaries prevailing in a legal claim as well as the Brazilian Supreme Court ruling on these non-income tax matters. The 2021 impact to Non-GAAP earnings per diluted share reflects the tax only adjustment related to the Brazilian Supreme Court ruling on the taxability of interest income. The non-income tax credit is non-recurring and not indicative of the future operating performance of the Company. See Note 18 of Notes to Condensed Consolidated Financial Statements, which appears in Item 1 of this Report.</w:t>
      </w:r>
    </w:p>
    <w:p>
      <w:pPr>
        <w:spacing w:after="0" w:line="47" w:lineRule="exact"/>
        <w:rPr>
          <w:rFonts w:ascii="Arial" w:cs="Arial" w:eastAsia="Arial" w:hAnsi="Arial"/>
          <w:sz w:val="16"/>
          <w:szCs w:val="16"/>
          <w:color w:val="auto"/>
        </w:rPr>
      </w:pPr>
    </w:p>
    <w:p>
      <w:pPr>
        <w:ind w:left="316" w:right="140" w:hanging="316"/>
        <w:spacing w:after="0" w:line="245"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executing the Amended Credit Facility, the Company recorded a loss on extinguishment of debt of approximately $6.8 million which includes the write-off of certain previously unamortized deferred financing costs as well as a portion of the third-party and creditor debt issuance costs incurred to execute the Amended Credit Facility. These expenses are not indicative of the future operating performance of the Company. See Note 14 of Notes to Condensed Consolidated Financial Statements, which appears in Item 1 of this Report.</w:t>
      </w:r>
    </w:p>
    <w:p>
      <w:pPr>
        <w:spacing w:after="0" w:line="91" w:lineRule="exact"/>
        <w:rPr>
          <w:rFonts w:ascii="Arial" w:cs="Arial" w:eastAsia="Arial" w:hAnsi="Arial"/>
          <w:sz w:val="18"/>
          <w:szCs w:val="18"/>
          <w:color w:val="auto"/>
        </w:rPr>
      </w:pPr>
    </w:p>
    <w:p>
      <w:pPr>
        <w:ind w:left="316" w:right="20" w:hanging="316"/>
        <w:spacing w:after="0" w:line="245"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loss (income) in a captive insurance company represents the after-tax loss (income) attributable to the Company’s interest in Primex, Ltd. (“Primex”), a captive insurance company. The Company holds a 32% investment in and has significant influence over Primex, and therefore accounts for this interest under the equity method of accounting. The loss (income) attributable to Primex is not indicative of the future operating performance of the Company and is not considered core to the Company’s operations.</w:t>
      </w:r>
    </w:p>
    <w:p>
      <w:pPr>
        <w:spacing w:after="0" w:line="77" w:lineRule="exact"/>
        <w:rPr>
          <w:rFonts w:ascii="Arial" w:cs="Arial" w:eastAsia="Arial" w:hAnsi="Arial"/>
          <w:sz w:val="18"/>
          <w:szCs w:val="18"/>
          <w:color w:val="auto"/>
        </w:rPr>
      </w:pPr>
    </w:p>
    <w:p>
      <w:pPr>
        <w:ind w:left="316" w:hanging="316"/>
        <w:spacing w:after="0" w:line="283"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impacts of certain discrete tax items include changes in valuation allowances recorded on certain Brazilian branch foreign tax credits and the recording of deferred taxes on Brazilian branch income. Both of these discrete items related to tax law changes in the U.S. due to the issuance of final foreign tax credit regulations during the period. Additionally, the Company has discrete items related to the remeasurement of deferred taxes on the transfer of intellectual property and the release of the reserves for uncertain tax positions settled during the period and certain taxes, penalties, and interest due as a result of the settlements. See Note 11 of Notes to Condensed Consolidated Financial Statements, which appears in Item 1 of this Report.</w:t>
      </w:r>
    </w:p>
    <w:p>
      <w:pPr>
        <w:spacing w:after="0" w:line="48" w:lineRule="exact"/>
        <w:rPr>
          <w:rFonts w:ascii="Arial" w:cs="Arial" w:eastAsia="Arial" w:hAnsi="Arial"/>
          <w:sz w:val="16"/>
          <w:szCs w:val="16"/>
          <w:color w:val="auto"/>
        </w:rPr>
      </w:pPr>
    </w:p>
    <w:p>
      <w:pPr>
        <w:ind w:left="316" w:right="80" w:hanging="316"/>
        <w:spacing w:after="0" w:line="267"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Depreciation and amortization for the three and nine months ended September 30, 2022 includes approximately $0.3 million and $0.8 million, respectively, and for the three and nine months ended September 30, 2021 includes $0.3 million and $0.9 million, respectively, of amortization expense recorded within equity in net loss (income) of associated companies in the Company’s Condensed Consolidated Statements of income, which is attributable to the amortization of the fair value step up for the Company’s 50% interest in a joint venture in Korea as a result of required purchase accounting.</w:t>
      </w:r>
    </w:p>
    <w:p>
      <w:pPr>
        <w:spacing w:after="0" w:line="60" w:lineRule="exact"/>
        <w:rPr>
          <w:rFonts w:ascii="Arial" w:cs="Arial" w:eastAsia="Arial" w:hAnsi="Arial"/>
          <w:sz w:val="17"/>
          <w:szCs w:val="17"/>
          <w:color w:val="auto"/>
        </w:rPr>
      </w:pPr>
    </w:p>
    <w:p>
      <w:pPr>
        <w:ind w:left="316" w:right="20" w:hanging="316"/>
        <w:spacing w:after="0" w:line="272"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Taxes on income before equity in net loss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Combination, restructuring and other acquisition-related expenses described in (a) resulted in incremental taxes of approximately $0.2 million and $1.8 million for the three and nine months ended September 30, 2022, respectively, compared to $1.2 million and $3.4 million for the three and nine months ended September 30, 2021, respectively. Strategic planning and transformation expenses describes in (b) above resulted in incremental taxes of $1.0 million and $2.4 million for the three and nine months ended September 30, 2022, respectively. Executive transition costs described in (c) resulted in incremental taxes of $0.2 million and $0.5 million for the three and nine months ended September 30, 2022, respectively, compared to $0.1 million and $0.3 million for the three and nine months ended September 30, 2021, respectively. Russia-Ukraine conflict related expenses described in (d) resulted in incremental taxes of less than $0.1 million and $0.5 million for the three and nine months ended September 30, 2022, respectively. Other charges described in (e) resulted in a tax benefit of less than $0.1 million and $0.1 million for the three and nine months ended September 30, 2022, respectively, and incremental taxes of less than $0.1 million and $0.1 million in the three and nine months ended September 30, 2021. Facility remediation (recovery) costs, net described in (f) resulted in a tax benefit of $0.3 million in the three and nine months ended September 30, 2022, respectively and incremental taxes of $0.5 million in the three and nine months ended September 30, 2021. Brazilian non-income tax credits described in (g) resulted in incremental taxes of approximately $0.6 million and a tax benefit of $4.7 million during the three and nine months ended September 30, 2021, respectively. Loss on extinguishment of debt described in (h) resulted in incremental taxes of $1.6 million during the nine months ended September 30, 2022. The impact of certain discrete items described in (j) resulted in a tax benefit of $0.5 million and an incremental expense of $6.4 million for the three and nine months ended September 30, 2022, respectively, compared to a benefit of $6.5 million and $5.1 million for the three and nine months ended September 30, 2021, respectively.</w:t>
      </w:r>
    </w:p>
    <w:p>
      <w:pPr>
        <w:spacing w:after="0" w:line="70" w:lineRule="exact"/>
        <w:rPr>
          <w:rFonts w:ascii="Arial" w:cs="Arial" w:eastAsia="Arial" w:hAnsi="Arial"/>
          <w:sz w:val="16"/>
          <w:szCs w:val="16"/>
          <w:color w:val="auto"/>
        </w:rPr>
      </w:pPr>
    </w:p>
    <w:p>
      <w:pPr>
        <w:ind w:left="316" w:right="80" w:hanging="316"/>
        <w:spacing w:after="0" w:line="276"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50" w:lineRule="exact"/>
        <w:rPr>
          <w:rFonts w:ascii="Arial" w:cs="Arial" w:eastAsia="Arial" w:hAnsi="Arial"/>
          <w:sz w:val="18"/>
          <w:szCs w:val="18"/>
          <w:color w:val="auto"/>
        </w:rPr>
      </w:pPr>
    </w:p>
    <w:p>
      <w:pPr>
        <w:ind w:left="316" w:right="580" w:hanging="316"/>
        <w:spacing w:after="0" w:line="341"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non-GAAP net income attributable to the Company per weighted average diluted shares outstanding using the “two-class share method” to calculate such in each given period.</w:t>
      </w:r>
    </w:p>
    <w:p>
      <w:pPr>
        <w:sectPr>
          <w:pgSz w:w="11900" w:h="16838" w:orient="portrait"/>
          <w:cols w:equalWidth="0" w:num="1">
            <w:col w:w="9656"/>
          </w:cols>
          <w:pgMar w:left="1084" w:top="878" w:right="11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35"/>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656"/>
          </w:cols>
          <w:pgMar w:left="1084" w:top="878" w:right="115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had no material off-balance sheet commitments or obligations as of September 30, 2022. The Company’s off-balance sheet items outstanding as of September 30, 2022 includes approximately $5 million of total bank letters of credit and guarantees. The bank letters of credit and guarantees are not significant to the Company’s liquidity or capital resources. See Note 14 of Notes to Condensed Consolidated Financial Statements in Item 1 of this Report.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Third Quarter of 2022 with the Third Quarter of 2021</w:t>
      </w:r>
    </w:p>
    <w:p>
      <w:pPr>
        <w:spacing w:after="0" w:line="104"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Net sales were $492.2 million in the third quarter of 2022 compared to $449.1 million in the third quarter of 2021. The net sales increase of $43.1 million or 10% quarter-over-quarter reflects an increase in selling price and product mix of 25% and additional net sales from acquisitions of 1%, partially offset by a decline in organic sales volumes of approximately 9% and the unfavorable impact from foreign currency translation of 7%. The increase in selling price and product mix was primarily driven by price increases implemented to offset the significant increases in raw material and other input costs that began during 2021 and has continued in 2022. The decline in organic sales volumes was primarily attributable to softer end market conditions, particularly in Europe and Asia/Pacific, the wind-down of the tolling agreement for products previously divested related to the Combination and the impact of the ongoing war in Ukraine, partially offset by net new business wins, including the impact of the Company’s ongoing value-based pricing initiatives.</w:t>
      </w:r>
    </w:p>
    <w:p>
      <w:pPr>
        <w:spacing w:after="0" w:line="8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COGS were $331.5 million in the third quarter of 2022 compared to $303.9 million in the third quarter of 2021. The increase in COGS of $27.5 million or 9% was driven by the continued increases in the Company’s global raw material, manufacturing and supply chain and logistics costs compared to the prior year.</w:t>
      </w:r>
    </w:p>
    <w:p>
      <w:pPr>
        <w:spacing w:after="0" w:line="69"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Gross profit in the third quarter of 2022 increased $15.6 million or 11% from the third quarter of 2021. The Company’s reported gross margin in the third quarter of 2022 was 32.7%, an improvement compared to 32.3% in the third quarter of 2021 as increases in selling prices, due to the Company’s value based pricing initiatives, helped offset the significant increase in raw material and other input costs experienced throughout the third quarter of 2022.</w:t>
      </w:r>
    </w:p>
    <w:p>
      <w:pPr>
        <w:spacing w:after="0" w:line="76" w:lineRule="exact"/>
        <w:rPr>
          <w:sz w:val="20"/>
          <w:szCs w:val="20"/>
          <w:color w:val="auto"/>
        </w:rPr>
      </w:pPr>
    </w:p>
    <w:p>
      <w:pPr>
        <w:ind w:right="220" w:firstLine="324"/>
        <w:spacing w:after="0" w:line="268" w:lineRule="auto"/>
        <w:rPr>
          <w:sz w:val="20"/>
          <w:szCs w:val="20"/>
          <w:color w:val="auto"/>
        </w:rPr>
      </w:pPr>
      <w:r>
        <w:rPr>
          <w:rFonts w:ascii="Arial" w:cs="Arial" w:eastAsia="Arial" w:hAnsi="Arial"/>
          <w:sz w:val="17"/>
          <w:szCs w:val="17"/>
          <w:color w:val="auto"/>
        </w:rPr>
        <w:t>SG&amp;A in the third quarter of 2022 increased $11.2 million or 11% compared to the third quarter of 2021 due primarily to the impact of sales increases on direct selling costs, inflation-driven higher operating costs, costs associated with strategic planning and transformation initiatives (see the Non-GAAP Measures section of this Item, above), and additional SG&amp;A from recent acquisitions partially offset by lower SG&amp;A due to foreign currency translation compared to the prior year.</w:t>
      </w:r>
    </w:p>
    <w:p>
      <w:pPr>
        <w:spacing w:after="0" w:line="72"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During the third quarter of 2022, the Company incurred $2.1 million of Combination, integration and other acquisition-related operating expenses primarily for professional fees related to the Houghton integration and other acquisition-related activities. Comparatively, the Company incurred $5.8 million of expenses in the prior year third quarter, primarily due to various professional fees related to legal, financial and other advisory and consultant expenses for integration activities including internal control readiness and remediation. See the Non-GAAP Measures section of this Item, above.</w:t>
      </w:r>
    </w:p>
    <w:p>
      <w:pPr>
        <w:spacing w:after="0" w:line="5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Company initiated a restructuring program during the third quarter of 2019 as part of its global plan to realize cost synergies associated with the Combination. The Company incurred restructuring and related (credits) charges for reductions in headcount and site closures under this program, net of adjustments to initial estimates for severance of a credit of $1.4 million and $0.9 million during the third quarters of 2022 and 2021, respectively. See the Non-GAAP Measures section of this Item, above.</w:t>
      </w:r>
    </w:p>
    <w:p>
      <w:pPr>
        <w:spacing w:after="0" w:line="45" w:lineRule="exact"/>
        <w:rPr>
          <w:sz w:val="20"/>
          <w:szCs w:val="20"/>
          <w:color w:val="auto"/>
        </w:rPr>
      </w:pPr>
    </w:p>
    <w:p>
      <w:pPr>
        <w:ind w:right="100" w:firstLine="324"/>
        <w:spacing w:after="0" w:line="245" w:lineRule="auto"/>
        <w:rPr>
          <w:sz w:val="20"/>
          <w:szCs w:val="20"/>
          <w:color w:val="auto"/>
        </w:rPr>
      </w:pPr>
      <w:r>
        <w:rPr>
          <w:rFonts w:ascii="Arial" w:cs="Arial" w:eastAsia="Arial" w:hAnsi="Arial"/>
          <w:sz w:val="18"/>
          <w:szCs w:val="18"/>
          <w:color w:val="auto"/>
        </w:rPr>
        <w:t>Operating income in the third quarter of 2022 was $44.6 million compared to $36.0 million in the third quarter of 2021. Excluding non-recurring and non-core expenses that are not indicative of the future operating performance of the Company described in the Non-GAAP Measures section of this Item, above, the Company’s current quarter non-GAAP operating income increased to $50.9 million compared to $43.2 million in the prior year third quarter primarily due to the lower gross profit and higher SG&amp;A described above.</w:t>
      </w:r>
    </w:p>
    <w:p>
      <w:pPr>
        <w:spacing w:after="0" w:line="91"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The Company had other income, net, of $0.1 million in the third quarter of 2022 compared to $0.6 million in the third quarter of 2021. The third quarter of 2022 included a gain on insurance recoveries, see the Non-GAAP Measures section of this Item, above. In addition, the Company incurred foreign exchange transaction losses in the third quarter of 2022 compared to the foreign exchange transaction gains in the prior year quarter.</w:t>
      </w:r>
    </w:p>
    <w:p>
      <w:pPr>
        <w:spacing w:after="0" w:line="76"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Interest expense, net, increased $2.8 million compared to the third quarter of 2021 as a result of increases in the average borrowings outstanding in the third quarter of 2022 compared to the third quarter of 2021 coupled with an increase in interest rates quarter-over-quarter.</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700"/>
          </w:cols>
          <w:pgMar w:left="1080" w:top="878" w:right="1119" w:bottom="1440" w:gutter="0" w:footer="0" w:header="0"/>
          <w:type w:val="continuous"/>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The Company’s effective tax rates for the third quarters of 2022 and 2021 were 28.1% and 2.6%, respectively. The Company’s effective tax rate for the third quarter of 2022 was largely driven by a decline in forecasted profits and earnings mix, foreign tax inclusions, changes in the valuation allowance for foreign tax credits, a reduction in reserves for uncertain tax positions and withholding taxes. In addition, the Company incurred higher tax expense during the third quarter of 2022 primarily related to the Company recording earnings in one of its subsidiaries at a statutory tax rate of 25% while it awaits recertification of a concessionary 15% tax rate, which was available to the Company during all of 2021. Comparatively, the prior year quarter effective tax rate was primarily driven by a one-time deferred tax benefit related to an intercompany intangible asset transfer. Excluding the impact of non-core items in each quarter, described in the Non-GAAP Measures section of this Item, above, the Company estimates that its effective tax rates for its third quarters of 2022 and 2021 would have been approximately 26% and 25%, respectively.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including the high technology incentive at one of our subsidiaries based in China which is currently up for triennial renewal, the treatment of certain acquisition-related costs and the timing and amount of certain share-based compensation-related tax benefits, among other factors.</w:t>
      </w:r>
    </w:p>
    <w:p>
      <w:pPr>
        <w:spacing w:after="0" w:line="69"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Equity in net income of associated companies decreased $1.1 million in the third quarter of 2022 compared to the third quarter of 2021, primarily due to lower current year income from the Company’s interest in a captive insurance company due to lower market performance on equity investments and from the Company’s 50% interest in a joint venture in Korea due to overall market challenges. See the Non-GAAP Measures section of this Item, above.</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third quarters of 2022 and 2021.</w:t>
      </w:r>
    </w:p>
    <w:p>
      <w:pPr>
        <w:spacing w:after="0" w:line="129"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Foreign exchange unfavorably impacted the Company’s third quarter of 2022 results by approximately 7% driven by the impact from foreign currency translation on earnings as well as higher foreign exchange transaction losses in the current quarter as compared to the prior year third quarter.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First Nine Months of 2022 with the First Nine Months of 2021</w:t>
      </w:r>
    </w:p>
    <w:p>
      <w:pPr>
        <w:spacing w:after="0" w:line="10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6"/>
          <w:szCs w:val="16"/>
          <w:color w:val="auto"/>
        </w:rPr>
        <w:t>Net sales were $1,458.8 million in the first nine months of 2022 compared to $1,314.1 million in the first nine months of 2021. The net sales increase of $144.7 million or 11% year-over-year reflects increases in selling price and product mix of approximately 21% and additional net sales from acquisitions of 1% partially offset by a decline in organic sales volumes of approximately 6% and the unfavorable impact from foreign currency translation of 5%. The increase in selling price and product mix was primarily driven by price increases implemented to help offset the significant increases in raw material and other input costs that began during 2021 and continued in 2022. The decline in sales volumes was primarily attributable to the comparison to a strong first half of 2021, and primarily in the first quarter of 2021, where customers replenished their supply chains. Lower volumes were also due to softer end market conditions, particularly in Europe and Asia/Pacific, the wind-down of the tolling agreement for products previously divested related to the Combination and the impact of the ongoing war in Ukraine, partially offset by net new business wins, including the impact of the Company’s ongoing value-based pricing initiatives.</w:t>
      </w:r>
    </w:p>
    <w:p>
      <w:pPr>
        <w:spacing w:after="0" w:line="5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COGS were $1,002.4 million in the first nine months of 2022 compared to $858.3 million in the first nine months of 2021. The increase in COGS of $144.1 million or 17% was driven by the significant increase in the Company’s global raw material, manufacturing and supply chain and logistics costs compared to the prior year.</w:t>
      </w:r>
    </w:p>
    <w:p>
      <w:pPr>
        <w:spacing w:after="0" w:line="69" w:lineRule="exact"/>
        <w:rPr>
          <w:sz w:val="20"/>
          <w:szCs w:val="20"/>
          <w:color w:val="auto"/>
        </w:rPr>
      </w:pPr>
    </w:p>
    <w:p>
      <w:pPr>
        <w:ind w:right="260" w:firstLine="324"/>
        <w:spacing w:after="0" w:line="289" w:lineRule="auto"/>
        <w:rPr>
          <w:sz w:val="20"/>
          <w:szCs w:val="20"/>
          <w:color w:val="auto"/>
        </w:rPr>
      </w:pPr>
      <w:r>
        <w:rPr>
          <w:rFonts w:ascii="Arial" w:cs="Arial" w:eastAsia="Arial" w:hAnsi="Arial"/>
          <w:sz w:val="16"/>
          <w:szCs w:val="16"/>
          <w:color w:val="auto"/>
        </w:rPr>
        <w:t>Gross profit in the first nine months of 2022 increased $0.6 million or less than 1% from the first nine months of 2021. The Company’s reported gross margin in the first nine months of 2022 was 31.3% compared to 34.7% in the first nine months of 2021. The Company’s current year gross margin reflects a significant increase in raw material and other input costs and the impacts of constraints on the global supply chain, partially offset by the Company’s ongoing value-based pricing initiatives.</w:t>
      </w:r>
    </w:p>
    <w:p>
      <w:pPr>
        <w:spacing w:after="0" w:line="59"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SG&amp;A in the first nine months of 2022 increased $25.9 million or 8% compared to the first nine months of 2021 due primarily to the impact of sales increases on direct selling costs, inflation driven higher operating costs, costs associated with strategic planning and transformation initiatives (see the Non-GAAP Measures section of this Item, above), and additional SG&amp;A from recent acquisitions, partially offset by lower SG&amp;A due to foreign currency translation compared to the prior year. In addition, SG&amp;A was lower in the prior year period as a result of continued temporary cost saving measures the Company implemented in response to the onset of COVID-19.</w:t>
      </w:r>
    </w:p>
    <w:p>
      <w:pPr>
        <w:spacing w:after="0" w:line="3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7"/>
          <w:szCs w:val="17"/>
          <w:color w:val="auto"/>
        </w:rPr>
        <w:t>During the first nine months of 2022, the Company incurred $8.0 million of Combination, integration and other acquisition-related operating expenses primarily for professional fees related to the Houghton integration and other acquisition-related activities. Comparatively, the Company incurred $18.3 million of expenses in the prior year’s first nine months, primarily due to various professional fees related to legal, financial and other advisory and consultant expenses for integration activities including internal control readiness and remediation. See the Non-GAAP Measures section of this Item, above.</w:t>
      </w:r>
    </w:p>
    <w:p>
      <w:pPr>
        <w:sectPr>
          <w:pgSz w:w="11900" w:h="16838" w:orient="portrait"/>
          <w:cols w:equalWidth="0" w:num="1">
            <w:col w:w="9660"/>
          </w:cols>
          <w:pgMar w:left="1080" w:top="878" w:right="11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660"/>
          </w:cols>
          <w:pgMar w:left="1080" w:top="878" w:right="115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The Company initiated a restructuring program during the third quarter of 2019 as part of its global plan to realize cost synergies associated with the Combination. The Company incurred Restructuring and related credits for reductions in headcount and site closures under this program, net of adjustments to initial estimates for severance of $0.6 million during the first nine months of 2022 compared to Restructuring and related charges for reductions in headcount and site closures under this program, net of adjustments to initial estimates for severance of $0.6 million during the first nine months of 2021. See the Non-GAAP Measures section of this Item, above.</w:t>
      </w:r>
    </w:p>
    <w:p>
      <w:pPr>
        <w:spacing w:after="0" w:line="77" w:lineRule="exact"/>
        <w:rPr>
          <w:sz w:val="20"/>
          <w:szCs w:val="20"/>
          <w:color w:val="auto"/>
        </w:rPr>
      </w:pPr>
    </w:p>
    <w:p>
      <w:pPr>
        <w:ind w:right="340" w:firstLine="324"/>
        <w:spacing w:after="0" w:line="267" w:lineRule="auto"/>
        <w:rPr>
          <w:sz w:val="20"/>
          <w:szCs w:val="20"/>
          <w:color w:val="auto"/>
        </w:rPr>
      </w:pPr>
      <w:r>
        <w:rPr>
          <w:rFonts w:ascii="Arial" w:cs="Arial" w:eastAsia="Arial" w:hAnsi="Arial"/>
          <w:sz w:val="17"/>
          <w:szCs w:val="17"/>
          <w:color w:val="auto"/>
        </w:rPr>
        <w:t>Operating income in the first nine months of 2022 was $105.9 million compared to $119.7 million in the first nine months of 2021. Excluding non-recurring and non-core expenses that are not indicative of the future operating performance of the Company described in the Non-GAAP Measures section of this Item, above, the Company’s current year non-GAAP operating income decreased to $128.9 million for the first nine months of 2022 compared to $143.3 million in the prior year’s first nine months primarily due to the lower gross profit and higher SG&amp;A described above.</w:t>
      </w:r>
    </w:p>
    <w:p>
      <w:pPr>
        <w:spacing w:after="0" w:line="60"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Company had other expense, net, of $10.5 million in the first nine months of 2022 compared to other income, net of $19.3 million in the first nine months of 2021. The first nine months of 2022’s results include $6.8 million of loss on extinguishment of debt related to the Company’s refinancing the Original Credit Facility and also higher foreign currency transaction losses year-over-year, while the prior year’s first nine months of 2022 other income includes $14.4 million of non-income tax credits recorded by the Company’s Brazilian subsidiaries as well as a $4.8 million gain on the sale of certain held-for-sale real property assets.</w:t>
      </w:r>
    </w:p>
    <w:p>
      <w:pPr>
        <w:spacing w:after="0" w:line="63" w:lineRule="exact"/>
        <w:rPr>
          <w:sz w:val="20"/>
          <w:szCs w:val="20"/>
          <w:color w:val="auto"/>
        </w:rPr>
      </w:pPr>
    </w:p>
    <w:p>
      <w:pPr>
        <w:ind w:right="240" w:firstLine="324"/>
        <w:spacing w:after="0" w:line="247" w:lineRule="auto"/>
        <w:rPr>
          <w:sz w:val="20"/>
          <w:szCs w:val="20"/>
          <w:color w:val="auto"/>
        </w:rPr>
      </w:pPr>
      <w:r>
        <w:rPr>
          <w:rFonts w:ascii="Arial" w:cs="Arial" w:eastAsia="Arial" w:hAnsi="Arial"/>
          <w:sz w:val="18"/>
          <w:szCs w:val="18"/>
          <w:color w:val="auto"/>
        </w:rPr>
        <w:t>Interest expense, net, increased $3.5 million compared to the first nine months of 2021, due to an increase in the average borrowings outstanding in the first nine months of 2022 coupled with an increase in interest rates in the current year as compared to the prior year.</w:t>
      </w:r>
    </w:p>
    <w:p>
      <w:pPr>
        <w:spacing w:after="0" w:line="90"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The Company’s effective tax rates for the first nine months of 2022 and 2021 were 19.2% and 21.8%, respectively. The Company’s effective tax rate for the nine months ended September 30, 2022 was largely driven by a decline in forecasted profits and earnings mix, foreign tax inclusions, changes in the valuation allowance for foreign tax credits, the impact of audit settlements reached with Italian tax authorities, a reduction in reserves for uncertain tax positions and withholding taxes. In addition, the Company incurred higher tax expense during the nine months ended September 30, 2022 primarily related to the Company recording earnings in one of its subsidiaries at a statutory tax rate of 25% while it awaits recertification of a concessionary 15% tax rate, which was available to the Company during all of 2021. Comparatively, the prior year nine-month effective tax rate was impacted by certain U.S. tax law changes, the tax impact of certain non-income tax credits recorded by the Company’s Brazilian subsidiaries, and a deferred tax benefit related to an intercompany intangible asset transfer. Excluding the impact of non-core items in each period, described in the Non-GAAP Measures section of this Item, above, the Company estimates that its effective tax rates for the first nine months of 2022 and 2021 would have been approximately 26% and 25%, respectively.</w:t>
      </w:r>
    </w:p>
    <w:p>
      <w:pPr>
        <w:spacing w:after="0" w:line="57"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Equity in net income of associated companies decreased $8.3 million in the first nine months of 2022 compared to the first nine months of 2021, primarily due to lower current year income from the Company’s interest in a captive insurance company due to lower market performance on equity investments (see the Non-GAAP Measures section of this Item, above), as well as lower current year income from the Company’s 50% interest in a joint venture in Korea.</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first nine months of 2022 and 2021.</w:t>
      </w:r>
    </w:p>
    <w:p>
      <w:pPr>
        <w:spacing w:after="0" w:line="115"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Foreign exchange unfavorably impacted the Company’s first nine months of 2022 results by approximately 7% driven by the impact from foreign currency translation on earnings as well as higher foreign exchange transaction losses in the current year as compared to the prior year’s first nine months.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the Third Quarter of 2022 with the Third Quarter of 2021</w:t>
      </w:r>
    </w:p>
    <w:p>
      <w:pPr>
        <w:spacing w:after="0" w:line="13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7"/>
          <w:szCs w:val="17"/>
          <w:color w:val="auto"/>
        </w:rPr>
        <w:t>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92" w:lineRule="exact"/>
        <w:rPr>
          <w:sz w:val="20"/>
          <w:szCs w:val="20"/>
          <w:color w:val="auto"/>
        </w:rPr>
      </w:pPr>
    </w:p>
    <w:p>
      <w:pPr>
        <w:ind w:right="320" w:firstLine="324"/>
        <w:spacing w:after="0" w:line="260" w:lineRule="auto"/>
        <w:rPr>
          <w:sz w:val="20"/>
          <w:szCs w:val="20"/>
          <w:color w:val="auto"/>
        </w:rPr>
      </w:pPr>
      <w:r>
        <w:rPr>
          <w:rFonts w:ascii="Arial" w:cs="Arial" w:eastAsia="Arial" w:hAnsi="Arial"/>
          <w:sz w:val="17"/>
          <w:szCs w:val="17"/>
          <w:color w:val="auto"/>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Restructuring and related charges, and COGS related to acquired inventory sold, which is adjusted to fair value as part of purchase accounting, are not included in segment operating earnings. Other items not specifically identified with the Company’s reportable segments include interest expense, net, and other (expense) income, net.</w:t>
      </w:r>
    </w:p>
    <w:p>
      <w:pPr>
        <w:sectPr>
          <w:pgSz w:w="11900" w:h="16838" w:orient="portrait"/>
          <w:cols w:equalWidth="0" w:num="1">
            <w:col w:w="9700"/>
          </w:cols>
          <w:pgMar w:left="1080" w:top="878" w:right="11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700"/>
          </w:cols>
          <w:pgMar w:left="1080" w:top="878" w:right="1119" w:bottom="1440" w:gutter="0" w:footer="0" w:header="0"/>
          <w:type w:val="continuous"/>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7"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Americas represented approximately 38% of the Company’s consolidated net sales in the third quarter of 2022. The segment’s net sales were $186.5 million, an increase of $35.7 million or 24% compared to the third quarter of 2021. The increase in net sales was due to higher selling price and product mix of 30% and additional net sales from acquisition of 1%, partially offset by a decrease in organic sales volumes of 7%. The increase in selling price and product mix was primarily driven by price increases implemented to offset the significant increases in raw material and other input costs that began during 2021 and continued through the third quarter of 2022. The current quarter decline in organic sales volumes was primarily driven by the wind-down of the tolling agreement for products previously divested related to the Combination, the Company’s ongoing value-based pricing initiatives and lower volumes sold into the automotive industry due to the semiconductor supply constraints, partially offset by net new business wins. This segment’s operating earnings were $45.0 million, an increase of $13.7 million compared to the third quarter of 2021 primarily driven by higher net sales, which were partially offset by ongoing inflationary pressures on the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EMEA represented approximately 23% of the Company’s consolidated net sales in the third quarter of 2022. The segment’s net sales were $113.4 million, a decrease of $8.9 million, or 7%, compared to the third quarter of 2021. This was driven by higher selling price and product mix of 21% which was more than offset by the unfavorable impact of foreign currency translation of 18% and a decrease in sales volumes of 10%. The increase in selling price and product mix was primarily driven by price increases implemented to offset the significant increases in raw material and other input costs that began during 2021 and continued through the third quarter of 2022. The decline in sales volumes was primarily driven by the current geopolitical and macroeconomic pressures including the direct and indirect impacts of the ongoing war in Ukraine and the impact of the economic and other sanctions by other nations on Russia in response to the war, as well as lower volumes associated with the Company’s ongoing value-based pricing initiatives, the wind-down of the tolling agreement for products previously divested related to the Combination and softer economic conditions in the region. The significant and unfavorable foreign currency translation impact was primarily due to the strengthening of the U.S. dollar against the euro as this exchange rate averaged 1.01 in the third quarter of 2022 compared to 1.18 in the third quarter of 2021. This segment’s operating earnings were $9.9 million, a decrease of $10.3 million or 51% compared to the third quarter of 2021. The decrease in segment operating earnings was primarily a result of lower net sales and lower gross margins due to the significant inflationary pressures on the Company’s costs exceeding the impact of its value-based pricing actions. Operating earnings in EMEA were also negatively impacted by foreign currency translation.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Asia/Pacific represented approximately 19% of the Company’s consolidated net sales in the third quarter of 2022. The segment’s net sales were $91.2 million, a decrease of $7.4 million or 8% compared to the third quarter of 2021. The decrease in net sales was driven by lower organic sales volumes of 20% and an unfavorable impact from foreign currency translation of 6%, partially offset by higher selling price and product mix of 18%. The increase in selling price and product mix was primarily driven by price increases implemented to offset the significant increases in raw material and other input costs that began during 2021 and continued through the third quarter of 2022. The decline in organic sales volumes was primarily driven by softer market conditions, primarily in China, as a result of government imposed COVID-19 quarantines and related production disruptions implemented at the end of March 2022 and continued throughout the third quarter of 2022, partially offset by net new business. The unfavorable foreign exchange impact was primarily due to the strengthening of the U.S. dollar against the Chinese renminbi as this exchange rate averaged 6.85 in the third quarter of 2022 compared to 6.47 in the third quarter of 2021. This segment’s operating earnings were $23.3 million, an increase of $0.1 million compared to the third quarter of 2021 as lower net sales were offset by improved margins.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77"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Global Specialty Businesses represented approximately 21% of the Company’s consolidated net sales in the third quarter of 2022. The segment’s net sales were $101.1 million, an increase of $23.7 million or 31% compared to the third quarter of 2021. The increase in net sales was driven by higher selling price and product mix of 20%, an increase in organic sales volumes of 12% and additional net sales from acquisitions of 2%, partially offset by an unfavorable impact from foreign currency translation of 6%. The increase in selling price and product mix was primarily driven by price increases implemented to help offset the significant increases in raw material and other input costs that began during 2021 and continued through the third quarter of 2022. The increase in organic sales volumes was primarily attributable to a continued favorable demand environment for this segment’s products. The unfavorable foreign exchange impact was primarily due to the strengthening of the U.S. dollar against the euro as described in the EMEA section above. This segment’s operating earnings were $30.7 million, an increase of $10.1 million or 49% compared to the third quarter of 2021. The increase in segment operating earnings reflects the higher net sales and gross margins in the current year despite slightly higher raw materials costs due to continued inflationary pressures.</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680"/>
          </w:cols>
          <w:pgMar w:left="1080" w:top="878" w:right="11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52" w:lineRule="exact"/>
        <w:rPr>
          <w:sz w:val="20"/>
          <w:szCs w:val="20"/>
          <w:color w:val="auto"/>
        </w:rPr>
      </w:pPr>
    </w:p>
    <w:p>
      <w:pPr>
        <w:ind w:right="1640"/>
        <w:spacing w:after="0" w:line="352" w:lineRule="auto"/>
        <w:rPr>
          <w:sz w:val="20"/>
          <w:szCs w:val="20"/>
          <w:color w:val="auto"/>
        </w:rPr>
      </w:pPr>
      <w:r>
        <w:rPr>
          <w:rFonts w:ascii="Arial" w:cs="Arial" w:eastAsia="Arial" w:hAnsi="Arial"/>
          <w:sz w:val="18"/>
          <w:szCs w:val="18"/>
          <w:i w:val="1"/>
          <w:iCs w:val="1"/>
          <w:u w:val="single" w:color="auto"/>
          <w:color w:val="auto"/>
        </w:rPr>
        <w:t xml:space="preserve">Reportable Segments Review - Comparison of the First Nine months of 2022 with the First Nine months of 2021 </w:t>
      </w:r>
      <w:r>
        <w:rPr>
          <w:rFonts w:ascii="Arial" w:cs="Arial" w:eastAsia="Arial" w:hAnsi="Arial"/>
          <w:sz w:val="18"/>
          <w:szCs w:val="18"/>
          <w:i w:val="1"/>
          <w:iCs w:val="1"/>
          <w:color w:val="auto"/>
        </w:rPr>
        <w:t>Americas</w:t>
      </w:r>
    </w:p>
    <w:p>
      <w:pPr>
        <w:ind w:right="40" w:firstLine="324"/>
        <w:spacing w:after="0" w:line="259" w:lineRule="auto"/>
        <w:rPr>
          <w:sz w:val="20"/>
          <w:szCs w:val="20"/>
          <w:color w:val="auto"/>
        </w:rPr>
      </w:pPr>
      <w:r>
        <w:rPr>
          <w:rFonts w:ascii="Arial" w:cs="Arial" w:eastAsia="Arial" w:hAnsi="Arial"/>
          <w:sz w:val="17"/>
          <w:szCs w:val="17"/>
          <w:color w:val="auto"/>
        </w:rPr>
        <w:t>Americas represented approximately 35% of the Company’s consolidated net sales in the first nine months of 2022. The segment’s net sales were $513.4 million, an increase of $88.1 million or 21% compared to the first nine months of 2021. The increase in net sales was due to higher selling price and product mix of 27% and additional net sales from acquisitions of 1%, partially offset by a decrease in organic sales volumes of 7%. The increase in selling price and product mix was primarily driven by price increases implemented to help offset the significant increases in raw material and other input costs that began during 2021 and have continued into 2022. The decline in organic sales volumes was primarily driven by lower sales volumes into the automotive end market, the wind-down of the tolling agreement for products previously divested related to the Combination, the prior year period comparison which included a strong rebound from COVID-19 impacts and the Company’s ongoing value-based pricing initiatives, partially offset by net new business wins. This segment’s operating earnings were $108.0 million, an increase of $10.8 million or 11% compared to the first nine months of 2021. The increase in segment operating earnings was primarily a result of higher net sales which more than offset lower gross margins driven by inflationary pressures.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63"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EMEA represented approximately 25% of the Company’s consolidated net sales in the first nine months of 2022. The segment’s net sales were $362.1 million, a decrease of $3.4 million or 1% compared to the first nine months of 2021. The decrease in net sales was a result of higher selling price and product mix of 20% and additional net sales from acquisitions of 1%, more than offset by the unfavorable impact of foreign currency translation of 15% and a decrease in organic sales volumes of 7%. The increase in selling price and product mix was primarily driven by price increases implemented to help offset the significant increases in raw material and other input costs that began during 2021 and have continued into 2022. The decline in organic sales volumes was primarily driven by the current geopolitical and macroeconomic pressures including the direct and indirect impacts of the ongoing war in Ukraine and the impact of the economic and other sanctions by other nations on Russia in response to the war, lower volumes associated with the Company’s ongoing value-based pricing initiatives, the wind-down of the tolling agreement for products previously divested related to the Combination, the prior year period comparison which included a strong rebound from COVID-19 impacts, and softer economic conditions in the region in the current period, partially offset by net new business wins. The unfavorable foreign exchange impact was primarily due to the strengthening of the U.S. dollar against the euro as this exchange rate averaged 1.07 in the first nine months of 2022 compared to 1.20 in first nine months of 2021. This segment’s operating earnings were $39.9 million, a decrease of $28.9 million or 42% compared to the first nine months of 2021. The decrease in segment operating earnings was primarily a result of lower gross margins driven by significant inflationary pressures and the negative impact of foreign currency translation year-over-year.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77"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Asia/Pacific represented approximately 20% of the Company’s consolidated net sales in the first nine months of 2022. The segment’s net sales were $295.3 million, an increase of $8.3 million or 3% compared to the first nine months of 2021. The increase in net sales was driven by higher selling price and product mix of 15%, partially offset by lower organic sales volumes of 9% and the unfavorable impact of foreign currency translation of 3%. The increase in selling price and product mix was primarily driven by price increases implemented to help offset the significant increases in raw material and other input costs that began during 2021 and continued into 2022. The decline in organic sales volumes was primarily driven by softer end market conditions in China as a result of the government imposed COVID-19 quarantine and related production disruptions and the prior year comparison which included a strong rebound from COVID-19 impacts as customers replenished their supply chains, partially offset by net new business wins. This segment’s operating earnings were $67.5 million, a decrease of $6.5 million or 9% compared to the first nine months of 2021. The decrease in segment operating earnings was primarily a result of higher net sales, which was more than offset by lower gross margins due to significant inflationary pressures and the unfavorable impact of foreign currency translation.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90"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Global Specialty Businesses represented approximately 20% of the Company’s consolidated net sales in the first nine months of 2022. The segment’s net sales were $288.0 million, an increase of $51.6 million or 22% compared to the first nine months of 2021. The increase in net sales was driven by higher selling price and product mix of 15%, an increase in organic sales volumes of 8% and additional net sales from acquisitions of 3%, partially offset by the unfavorable impact from foreign currency translation of approximately 4%. The increase in selling price and product mix was primarily driven by price increases implemented to help offset the significant increases in raw material and other input costs that began during 2021 and continued into 2022. The increase in organic sales volumes was primarily attributable to a continued favorable demand environment for this segment’s products. The unfavorable foreign exchange impact was primarily due to the strengthening of the U.S. dollar against the euro described in the EMEA section above. This segment’s operating earnings were $83.6 million, an increase of $14.6 million or 21% compared to the first nine months of 2021. The increase in segment operating earnings reflects higher net sales and comparable gross margins, partially offset by the negative impact of foreign currency translation.</w:t>
      </w:r>
    </w:p>
    <w:p>
      <w:pPr>
        <w:sectPr>
          <w:pgSz w:w="11900" w:h="16838" w:orient="portrait"/>
          <w:cols w:equalWidth="0" w:num="1">
            <w:col w:w="9700"/>
          </w:cols>
          <w:pgMar w:left="1080" w:top="878" w:right="111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700"/>
          </w:cols>
          <w:pgMar w:left="1080" w:top="878" w:right="111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Our Future Results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and global supply chain constraints on the Company’s business, results of operations, and financial condition, our expectation that we will maintain sufficient liquidity, and statements regarding the impact of increased raw material costs and pricing initiatives on our current expectations about future events.</w:t>
      </w:r>
    </w:p>
    <w:p>
      <w:pPr>
        <w:spacing w:after="0" w:line="81" w:lineRule="exact"/>
        <w:rPr>
          <w:sz w:val="20"/>
          <w:szCs w:val="20"/>
          <w:color w:val="auto"/>
        </w:rPr>
      </w:pPr>
    </w:p>
    <w:p>
      <w:pPr>
        <w:ind w:right="840" w:firstLine="324"/>
        <w:spacing w:after="0" w:line="323"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18" w:lineRule="exact"/>
        <w:rPr>
          <w:sz w:val="20"/>
          <w:szCs w:val="20"/>
          <w:color w:val="auto"/>
        </w:rPr>
      </w:pPr>
    </w:p>
    <w:p>
      <w:pPr>
        <w:ind w:left="980" w:hanging="58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the Combination and other acquisitions;</w:t>
      </w:r>
    </w:p>
    <w:p>
      <w:pPr>
        <w:spacing w:after="0" w:line="22" w:lineRule="exact"/>
        <w:rPr>
          <w:rFonts w:ascii="Arial" w:cs="Arial" w:eastAsia="Arial" w:hAnsi="Arial"/>
          <w:sz w:val="18"/>
          <w:szCs w:val="18"/>
          <w:color w:val="auto"/>
        </w:rPr>
      </w:pPr>
    </w:p>
    <w:p>
      <w:pPr>
        <w:ind w:left="980" w:hanging="585"/>
        <w:spacing w:after="0" w:line="23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w:t>
      </w:r>
    </w:p>
    <w:p>
      <w:pPr>
        <w:ind w:left="980" w:right="460" w:hanging="585"/>
        <w:spacing w:after="0" w:line="24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extent of the projected impacts on our business as a result of the Ukrainian and Russian conflict and actions taken by various governments and governmental organizations in response;</w:t>
      </w:r>
    </w:p>
    <w:p>
      <w:pPr>
        <w:ind w:left="980" w:hanging="585"/>
        <w:spacing w:after="0" w:line="23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increases and the impacts of constraints and disruptions in the global supply chain;</w:t>
      </w:r>
    </w:p>
    <w:p>
      <w:pPr>
        <w:ind w:left="980" w:right="180" w:hanging="58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for a variety of macroeconomic events, including the possibility of global or regional recessions, inflation generally, cost increases in prices of raw materials such as oil and increasing interest rates, to impact the value of our assets or result in asset impairments;</w:t>
      </w:r>
    </w:p>
    <w:p>
      <w:pPr>
        <w:ind w:left="980" w:hanging="585"/>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and future results and plans including our sustainability goals; and</w:t>
      </w:r>
    </w:p>
    <w:p>
      <w:pPr>
        <w:ind w:left="980" w:right="420" w:hanging="585"/>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2021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91"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as well as inflationary pressures, including the potential for continued significant increases in raw material costs, supply chain disruptions, customer financial instability, rising interest rates and the possibility of economic recession, worldwide economic and political disruptions including the impacts of the military conflict between Russia and Ukraine, the economic and other sanctions imposed by other nations on Russia, suspensions of activities in Russia by many multinational companies and the potential expansion of military activity, foreign currency fluctuations, significant changes in applicable tax rates and regulations, future terrorist attacks and other acts of violence. Furthermore, the Company is subject to the same business cycles as those experienced by our customers in the steel, automobile, aircraft, industrial equipment, and durable goods industries. The ultimate impact of COVID-19 on our business will depend on, among other things, the extent and duration of the pandemic, the severity of the disease and the number of people infected with the virus including new variants, the continued uncertainty regarding global availability, administration, acceptance and long-term efficacy of vaccines, or other treatments for COVID-19 or its variants, the longer-term effects on the economy of the pandemic, including the resulting market volatility, and by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acquisitions and the integration of acquired businesses. Our forward-looking statements are subject to risks, uncertainties and assumptions about the</w:t>
      </w:r>
    </w:p>
    <w:p>
      <w:pPr>
        <w:sectPr>
          <w:pgSz w:w="11900" w:h="16838" w:orient="portrait"/>
          <w:cols w:equalWidth="0" w:num="1">
            <w:col w:w="9700"/>
          </w:cols>
          <w:pgMar w:left="1080" w:top="878" w:right="111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700"/>
          </w:cols>
          <w:pgMar w:left="1080" w:top="878" w:right="1119" w:bottom="1440" w:gutter="0" w:footer="0" w:header="0"/>
          <w:type w:val="continuous"/>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6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2021 Form 10-K and in our quarterly and other reports filed from time to time with the SEC. This discussion is provided as permitted by the Private Securities Litigation Reform Act of 1995.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Quaker Houghton on the Internet</w:t>
      </w:r>
    </w:p>
    <w:p>
      <w:pPr>
        <w:spacing w:after="0" w:line="108"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680"/>
          </w:cols>
          <w:pgMar w:left="1080" w:top="878" w:right="11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jc w:val="both"/>
        <w:ind w:right="60" w:firstLine="324"/>
        <w:spacing w:after="0" w:line="255" w:lineRule="auto"/>
        <w:rPr>
          <w:sz w:val="20"/>
          <w:szCs w:val="20"/>
          <w:color w:val="auto"/>
        </w:rPr>
      </w:pPr>
      <w:r>
        <w:rPr>
          <w:rFonts w:ascii="Arial" w:cs="Arial" w:eastAsia="Arial" w:hAnsi="Arial"/>
          <w:sz w:val="18"/>
          <w:szCs w:val="18"/>
          <w:color w:val="auto"/>
        </w:rPr>
        <w:t>We have evaluated the information required under this Item that was disclosed in Part II, Item 7A, of our Annual Report on Form 10-K for the year ended December 31, 2021, and we believe there has been no material change to that information, except the interest rate risk information noted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Company’s exposure to interest rate risk relates primarily to its outstanding borrowings under its credit facility. During June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2022, the Company entered into an amendment to its primary credit facility (the “Original Credit Facility”, or as amended,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“Amended Credit Facility”). See Note 14 of Notes to Condensed Consolidated Financial Statements, which appears in Item 1 of this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Report. As of September 30, 2022, borrowings under the Amended Credit Facility bear interest at either term SOFR or a base rate, in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each case, plus an applicable margin based upon the Company’s consolidated net leverage ratio, and, in the case of term SOFR,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spread adjustment equal to 0.10% per annum. As a result of the variable interest rates applicable under the Amended Credit Facility, if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interest rates rise significantly, the cost of debt to the Company will increase. This can have an adverse effect on the Company,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depending on the extent of the Company’s borrowings outstanding throughout a given year. As of September 30, 2022,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had outstanding borrowings under the Amended Credit Facility of approximately $941.2 million. The interest rate applicable 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outstanding borrowings under the Amended Credit Facility was approximately 3.8% as of September 30, 2022. As of December 31,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2021, the Company had outstanding borrowings under the Original Credit Facility of approximately $889.6 million. The variable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interest rate incurred on the outstanding borrowings under the Original Credit Facility during the year ended December 31, 2021 was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1.6%. If interest rates had changed by 10% during 2021, the Company’s interest expense for the period ended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on its credit facilities, including the Original Credit Facility borrowings outstanding post-closing of the</w:t>
      </w:r>
    </w:p>
    <w:p>
      <w:pPr>
        <w:spacing w:after="0"/>
        <w:rPr>
          <w:sz w:val="20"/>
          <w:szCs w:val="20"/>
          <w:color w:val="auto"/>
        </w:rPr>
      </w:pPr>
      <w:r>
        <w:rPr>
          <w:rFonts w:ascii="Arial" w:cs="Arial" w:eastAsia="Arial" w:hAnsi="Arial"/>
          <w:sz w:val="16"/>
          <w:szCs w:val="16"/>
          <w:color w:val="auto"/>
        </w:rPr>
        <w:t>Combination, would have correspondingly increased or decreased by approximately $1 million. Likewise, if interest rates had changed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by 10% during the nine month period ended September 30, 2022, the Company’s interest expense for the nine month period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on its credit facilities, including the Amended Credit Facility borrowings outstanding, would have</w:t>
      </w:r>
    </w:p>
    <w:p>
      <w:pPr>
        <w:spacing w:after="0"/>
        <w:rPr>
          <w:sz w:val="20"/>
          <w:szCs w:val="20"/>
          <w:color w:val="auto"/>
        </w:rPr>
      </w:pPr>
      <w:r>
        <w:rPr>
          <w:rFonts w:ascii="Arial" w:cs="Arial" w:eastAsia="Arial" w:hAnsi="Arial"/>
          <w:sz w:val="16"/>
          <w:szCs w:val="16"/>
          <w:color w:val="auto"/>
        </w:rPr>
        <w:t>correspondingly increased or decreased by approximately $2.2 million. The Original Credit Facility required the Company to fix its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variable interest rates on at least 20% of its total term loans. In order to satisfy this requirement as well as to manage the Company’s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exposure to variable interest rate risk associated with the Original Credit Facility, in November 2019, the Company entered into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$170.0 million notional amounts of three year interest rate swaps at a base rate of 1.64% plus an applicable margin as provided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Original Credit Facility, based on the Company’s consolidated net leverage ratio. At the time the Company entered into the swaps,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the aggregate interest rate on the swaps, including the fixed base rate plus an applicable margin, was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October 2022, the Company’s interest rate swap contracts expired. Upon expiration, the Company is entitled to a cash payment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from the counterparties, which is materially consistent with the fair value as of September 30, 2022. The Amended Credit Facility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does not require the Company to fix variable interest rates on any portion of its borrowings.</w:t>
      </w:r>
    </w:p>
    <w:p>
      <w:pPr>
        <w:sectPr>
          <w:pgSz w:w="11900" w:h="16838" w:orient="portrait"/>
          <w:cols w:equalWidth="0" w:num="1">
            <w:col w:w="9700"/>
          </w:cols>
          <w:pgMar w:left="1080" w:top="1094"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700"/>
          </w:cols>
          <w:pgMar w:left="1080" w:top="1094" w:right="11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8"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w:t>
      </w:r>
    </w:p>
    <w:p>
      <w:pPr>
        <w:spacing w:after="0" w:line="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have concluded that, as of September 30, 2022, the end of the period covered by this Report, our disclosure controls and procedures (as defined in Rule 13a-15(e) under the Exchange Act) were effective.</w:t>
      </w:r>
    </w:p>
    <w:p>
      <w:pPr>
        <w:spacing w:after="0" w:line="50" w:lineRule="exact"/>
        <w:rPr>
          <w:sz w:val="20"/>
          <w:szCs w:val="20"/>
          <w:color w:val="auto"/>
        </w:rPr>
      </w:pPr>
    </w:p>
    <w:p>
      <w:pPr>
        <w:ind w:right="640" w:firstLine="324"/>
        <w:spacing w:after="0" w:line="24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As required by Rule 13a-15(d) under the Exchange Act,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has evaluated our internal control over financial reporting to determine whether any changes to our internal control over financial reporting occurred during the quarter ended September 30, 2022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September 30, 2022.</w:t>
      </w:r>
    </w:p>
    <w:p>
      <w:pPr>
        <w:sectPr>
          <w:pgSz w:w="11900" w:h="16838" w:orient="portrait"/>
          <w:cols w:equalWidth="0" w:num="1">
            <w:col w:w="9600"/>
          </w:cols>
          <w:pgMar w:left="1080" w:top="1094"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600"/>
          </w:cols>
          <w:pgMar w:left="1080" w:top="1094" w:right="1219" w:bottom="1440" w:gutter="0" w:footer="0" w:header="0"/>
          <w:type w:val="continuous"/>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Incorporated by reference is the information in Note 18 of the Notes to the Condensed Consolidated Financial Statements in Part I, Item 1,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2021 Form 10-K. There have been no material changes to the risk factors described therein.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right="200" w:firstLine="324"/>
        <w:spacing w:after="0" w:line="276"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period covered by this Report: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(d)</w:t>
            </w:r>
          </w:p>
        </w:tc>
      </w:tr>
      <w:tr>
        <w:trPr>
          <w:trHeight w:val="243"/>
        </w:trPr>
        <w:tc>
          <w:tcPr>
            <w:tcW w:w="2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39"/>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34"/>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Total Number</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May Yet be</w:t>
            </w:r>
          </w:p>
        </w:tc>
      </w:tr>
      <w:tr>
        <w:trPr>
          <w:trHeight w:val="239"/>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20"/>
        </w:trPr>
        <w:tc>
          <w:tcPr>
            <w:tcW w:w="25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Period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 (2)</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23"/>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July 1 - July 31</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86"/>
              </w:rPr>
              <w:t>258</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135.19</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August 1 - August 31</w:t>
            </w:r>
          </w:p>
        </w:tc>
        <w:tc>
          <w:tcPr>
            <w:tcW w:w="14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3"/>
              </w:rPr>
              <w:t>2,853</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160.22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30"/>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September 1 - September 30</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6"/>
              </w:rPr>
              <w:t>473</w:t>
            </w: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165.52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36"/>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3"/>
              </w:rPr>
              <w:t>3,584</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159.12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340" w:hanging="33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w:t>
      </w:r>
    </w:p>
    <w:p>
      <w:pPr>
        <w:spacing w:after="0" w:line="69" w:lineRule="exact"/>
        <w:rPr>
          <w:rFonts w:ascii="Arial" w:cs="Arial" w:eastAsia="Arial" w:hAnsi="Arial"/>
          <w:sz w:val="18"/>
          <w:szCs w:val="18"/>
          <w:color w:val="auto"/>
        </w:rPr>
      </w:pPr>
    </w:p>
    <w:p>
      <w:pPr>
        <w:ind w:left="660" w:right="460" w:hanging="332"/>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spacing w:after="0" w:line="34" w:lineRule="exact"/>
        <w:rPr>
          <w:rFonts w:ascii="Arial" w:cs="Arial" w:eastAsia="Arial" w:hAnsi="Arial"/>
          <w:sz w:val="16"/>
          <w:szCs w:val="16"/>
          <w:color w:val="auto"/>
        </w:rPr>
      </w:pPr>
    </w:p>
    <w:p>
      <w:pPr>
        <w:ind w:left="660" w:right="120" w:hanging="332"/>
        <w:spacing w:after="0" w:line="28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September 30, 2022.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the Payment of Dividends</w:t>
      </w:r>
    </w:p>
    <w:p>
      <w:pPr>
        <w:spacing w:after="0" w:line="10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Amended Credit Facility has certain limitations on the payment of dividends and other so-called restricted payments. See Note 14 of Notes to Condensed Consolidated Financial Statements, in Part I, Item 1, of this Report.</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720"/>
          </w:cols>
          <w:pgMar w:left="1080" w:top="1094" w:right="10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7"/>
              </w:rPr>
              <w:t>(a) Exhibits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Arial" w:cs="Arial" w:eastAsia="Arial" w:hAnsi="Arial"/>
                <w:sz w:val="18"/>
                <w:szCs w:val="18"/>
                <w:color w:val="auto"/>
              </w:rPr>
              <w:t>3.1</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line="202"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Amended and Restated Articles of Incorporation (as amended through July 24, 2019). Incorporated by reference to</w:t>
              </w:r>
            </w:hyperlink>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80" w:type="dxa"/>
            <w:vAlign w:val="bottom"/>
            <w:gridSpan w:val="12"/>
          </w:tcPr>
          <w:p>
            <w:pPr>
              <w:spacing w:after="0" w:line="182"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Exhibit 3.1 as filed by the Registrant with its quarterly report on Form</w:t>
              </w:r>
            </w:hyperlink>
          </w:p>
        </w:tc>
        <w:tc>
          <w:tcPr>
            <w:tcW w:w="20" w:type="dxa"/>
            <w:vAlign w:val="bottom"/>
            <w:vMerge w:val="continue"/>
          </w:tcPr>
          <w:p>
            <w:pPr>
              <w:spacing w:after="0"/>
              <w:rPr>
                <w:sz w:val="15"/>
                <w:szCs w:val="15"/>
                <w:color w:val="auto"/>
              </w:rPr>
            </w:pPr>
          </w:p>
        </w:tc>
        <w:tc>
          <w:tcPr>
            <w:tcW w:w="1120" w:type="dxa"/>
            <w:vAlign w:val="bottom"/>
            <w:gridSpan w:val="5"/>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10-Q filed on</w:t>
              </w:r>
            </w:hyperlink>
          </w:p>
        </w:tc>
        <w:tc>
          <w:tcPr>
            <w:tcW w:w="2080" w:type="dxa"/>
            <w:vAlign w:val="bottom"/>
            <w:gridSpan w:val="6"/>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August 1, 2019.</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Restated By-laws (effective May 6, 2015, as amended through March 27, 2020). Incorporated by reference to Exhibit</w:t>
              </w:r>
            </w:hyperlink>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920" w:type="dxa"/>
            <w:vAlign w:val="bottom"/>
            <w:gridSpan w:val="2"/>
          </w:tcPr>
          <w:p>
            <w:pPr>
              <w:spacing w:after="0" w:line="182"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3.2 as filed by the Registrant within its quarterly report</w:t>
              </w:r>
            </w:hyperlink>
          </w:p>
        </w:tc>
        <w:tc>
          <w:tcPr>
            <w:tcW w:w="20" w:type="dxa"/>
            <w:vAlign w:val="bottom"/>
            <w:vMerge w:val="continue"/>
          </w:tcPr>
          <w:p>
            <w:pPr>
              <w:spacing w:after="0"/>
              <w:rPr>
                <w:sz w:val="15"/>
                <w:szCs w:val="15"/>
                <w:color w:val="auto"/>
              </w:rPr>
            </w:pPr>
          </w:p>
        </w:tc>
        <w:tc>
          <w:tcPr>
            <w:tcW w:w="4560" w:type="dxa"/>
            <w:vAlign w:val="bottom"/>
            <w:gridSpan w:val="23"/>
          </w:tcPr>
          <w:p>
            <w:pPr>
              <w:ind w:left="40"/>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on Form 10-Q filed on May 11, 2020.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0000FF"/>
                <w:w w:val="91"/>
              </w:rPr>
              <w:t>Certification of Chief Executive Officer of the Company pursuant to Rule 13a-14(a) of the Securities Exchange Act of</w:t>
            </w:r>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2"/>
              </w:rPr>
              <w:t>1934.*</w:t>
            </w:r>
          </w:p>
        </w:tc>
        <w:tc>
          <w:tcPr>
            <w:tcW w:w="3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0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0000FF"/>
                <w:w w:val="92"/>
              </w:rPr>
              <w:t>Certification of Chief Financial Officer of the Company pursuant to Rule 13a-14(a) of the Securities Exchange Act of</w:t>
            </w: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2"/>
              </w:rPr>
              <w:t>1934.*</w:t>
            </w:r>
          </w:p>
        </w:tc>
        <w:tc>
          <w:tcPr>
            <w:tcW w:w="3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Certification of Chief Executive Officer of the Company</w:t>
            </w:r>
          </w:p>
        </w:tc>
        <w:tc>
          <w:tcPr>
            <w:tcW w:w="20" w:type="dxa"/>
            <w:vAlign w:val="bottom"/>
          </w:tcPr>
          <w:p>
            <w:pPr>
              <w:spacing w:after="0"/>
              <w:rPr>
                <w:sz w:val="22"/>
                <w:szCs w:val="22"/>
                <w:color w:val="auto"/>
              </w:rPr>
            </w:pPr>
          </w:p>
        </w:tc>
        <w:tc>
          <w:tcPr>
            <w:tcW w:w="28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Pursuant to 18 U.S. C. Section 1350.**</w:t>
            </w:r>
          </w:p>
        </w:tc>
        <w:tc>
          <w:tcPr>
            <w:tcW w:w="15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9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Chief Financial Officer of the Company Pursuant to</w:t>
            </w:r>
          </w:p>
        </w:tc>
        <w:tc>
          <w:tcPr>
            <w:tcW w:w="40" w:type="dxa"/>
            <w:vAlign w:val="bottom"/>
          </w:tcPr>
          <w:p>
            <w:pPr>
              <w:spacing w:after="0"/>
              <w:rPr>
                <w:sz w:val="21"/>
                <w:szCs w:val="21"/>
                <w:color w:val="auto"/>
              </w:rPr>
            </w:pPr>
          </w:p>
        </w:tc>
        <w:tc>
          <w:tcPr>
            <w:tcW w:w="19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18 U.S. C. Section 1350.**</w:t>
            </w:r>
          </w:p>
        </w:tc>
        <w:tc>
          <w:tcPr>
            <w:tcW w:w="16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auto"/>
              </w:rPr>
              <w:t>Inline XBRL Taxonomy Schema Document*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2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101.INS)*</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rPr>
          <w:sz w:val="20"/>
          <w:szCs w:val="20"/>
          <w:color w:val="auto"/>
        </w:rPr>
      </w:pPr>
      <w:r>
        <w:rPr>
          <w:rFonts w:ascii="Arial" w:cs="Arial" w:eastAsia="Arial" w:hAnsi="Arial"/>
          <w:sz w:val="18"/>
          <w:szCs w:val="18"/>
          <w:color w:val="auto"/>
        </w:rPr>
        <w:t>† Management contract or compensatory plan.</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right="140" w:firstLine="8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QUAKER CHEMICAL CORPORATION</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4620" w:type="dxa"/>
            <w:vAlign w:val="bottom"/>
          </w:tcPr>
          <w:p>
            <w:pPr>
              <w:ind w:left="11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70"/>
        </w:trPr>
        <w:tc>
          <w:tcPr>
            <w:tcW w:w="5200" w:type="dxa"/>
            <w:vAlign w:val="bottom"/>
            <w:vMerge w:val="restart"/>
          </w:tcPr>
          <w:p>
            <w:pPr>
              <w:spacing w:after="0"/>
              <w:rPr>
                <w:sz w:val="20"/>
                <w:szCs w:val="20"/>
                <w:color w:val="auto"/>
              </w:rPr>
            </w:pPr>
            <w:r>
              <w:rPr>
                <w:rFonts w:ascii="Arial" w:cs="Arial" w:eastAsia="Arial" w:hAnsi="Arial"/>
                <w:sz w:val="18"/>
                <w:szCs w:val="18"/>
                <w:color w:val="auto"/>
              </w:rPr>
              <w:t>Date: November 3, 2022</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Shane W. Hostetter</w:t>
            </w:r>
          </w:p>
        </w:tc>
        <w:tc>
          <w:tcPr>
            <w:tcW w:w="0" w:type="dxa"/>
            <w:vAlign w:val="bottom"/>
          </w:tcPr>
          <w:p>
            <w:pPr>
              <w:spacing w:after="0"/>
              <w:rPr>
                <w:sz w:val="1"/>
                <w:szCs w:val="1"/>
                <w:color w:val="auto"/>
              </w:rPr>
            </w:pPr>
          </w:p>
        </w:tc>
      </w:tr>
      <w:tr>
        <w:trPr>
          <w:trHeight w:val="178"/>
        </w:trPr>
        <w:tc>
          <w:tcPr>
            <w:tcW w:w="5200" w:type="dxa"/>
            <w:vAlign w:val="bottom"/>
            <w:vMerge w:val="continue"/>
          </w:tcPr>
          <w:p>
            <w:pPr>
              <w:spacing w:after="0"/>
              <w:rPr>
                <w:sz w:val="15"/>
                <w:szCs w:val="15"/>
                <w:color w:val="auto"/>
              </w:rPr>
            </w:pPr>
          </w:p>
        </w:tc>
        <w:tc>
          <w:tcPr>
            <w:tcW w:w="462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1"/>
              </w:rPr>
              <w:t>Shane W. Hostetter, Senior Vice President, Chief Financial</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w w:val="93"/>
              </w:rPr>
              <w:t>Officer (officer duly authorized on behalf of, and principal</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financial officer of,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20"/>
          </w:cols>
          <w:pgMar w:left="1080" w:top="109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820"/>
          </w:cols>
          <w:pgMar w:left="1080" w:top="1094" w:right="999" w:bottom="1440" w:gutter="0" w:footer="0" w:header="0"/>
          <w:type w:val="continuous"/>
        </w:sectPr>
      </w:pPr>
    </w:p>
    <w:bookmarkStart w:id="48" w:name="page49"/>
    <w:bookmarkEnd w:id="48"/>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65" w:lineRule="auto"/>
        <w:rPr>
          <w:sz w:val="20"/>
          <w:szCs w:val="20"/>
          <w:color w:val="auto"/>
        </w:rPr>
      </w:pPr>
      <w:r>
        <w:rPr>
          <w:rFonts w:ascii="Arial" w:cs="Arial" w:eastAsia="Arial" w:hAnsi="Arial"/>
          <w:sz w:val="18"/>
          <w:szCs w:val="18"/>
          <w:b w:val="1"/>
          <w:bCs w:val="1"/>
          <w:color w:val="auto"/>
        </w:rPr>
        <w:t>CERTIFICATION OF CHIEF EXECUTIVE OFFICER OF THE COMPANY PURSUANT TO RULE 13a-14(a) OF THE SECURITIES EXCHANGE ACT OF 1934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Andrew E. Tometich , certify that:</w:t>
      </w:r>
    </w:p>
    <w:p>
      <w:pPr>
        <w:spacing w:after="0" w:line="198" w:lineRule="exact"/>
        <w:rPr>
          <w:sz w:val="20"/>
          <w:szCs w:val="20"/>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Quaker Chemical Corporation;</w:t>
      </w:r>
    </w:p>
    <w:p>
      <w:pPr>
        <w:spacing w:after="0" w:line="279" w:lineRule="exact"/>
        <w:rPr>
          <w:rFonts w:ascii="Arial" w:cs="Arial" w:eastAsia="Arial" w:hAnsi="Arial"/>
          <w:sz w:val="18"/>
          <w:szCs w:val="18"/>
          <w:color w:val="auto"/>
        </w:rPr>
      </w:pPr>
    </w:p>
    <w:p>
      <w:pPr>
        <w:ind w:left="400" w:hanging="396"/>
        <w:spacing w:after="0" w:line="24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5" w:lineRule="exact"/>
        <w:rPr>
          <w:rFonts w:ascii="Arial" w:cs="Arial" w:eastAsia="Arial" w:hAnsi="Arial"/>
          <w:sz w:val="18"/>
          <w:szCs w:val="18"/>
          <w:color w:val="auto"/>
        </w:rPr>
      </w:pPr>
    </w:p>
    <w:p>
      <w:pPr>
        <w:ind w:left="1280" w:right="100" w:hanging="488"/>
        <w:spacing w:after="0" w:line="248" w:lineRule="auto"/>
        <w:tabs>
          <w:tab w:leader="none" w:pos="128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80" w:right="160" w:hanging="496"/>
        <w:spacing w:after="0" w:line="248" w:lineRule="auto"/>
        <w:tabs>
          <w:tab w:leader="none" w:pos="128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60" w:right="200" w:hanging="478"/>
        <w:spacing w:after="0" w:line="247"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260" w:right="340" w:hanging="484"/>
        <w:spacing w:after="0" w:line="248"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400" w:right="20" w:hanging="396"/>
        <w:spacing w:after="0" w:line="255"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8"/>
          <w:szCs w:val="18"/>
          <w:color w:val="auto"/>
        </w:rPr>
      </w:pPr>
    </w:p>
    <w:p>
      <w:pPr>
        <w:ind w:left="1280" w:right="340" w:hanging="488"/>
        <w:spacing w:after="0" w:line="247" w:lineRule="auto"/>
        <w:tabs>
          <w:tab w:leader="none" w:pos="1280"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1280" w:right="200" w:hanging="496"/>
        <w:spacing w:after="0" w:line="261" w:lineRule="auto"/>
        <w:tabs>
          <w:tab w:leader="none" w:pos="128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November 3, 2022</w:t>
      </w:r>
    </w:p>
    <w:p>
      <w:pPr>
        <w:spacing w:after="0" w:line="21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Andrew E. Tometich</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Andrew E. Tometich</w:t>
      </w:r>
    </w:p>
    <w:p>
      <w:pPr>
        <w:ind w:left="64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00"/>
          </w:cols>
          <w:pgMar w:left="1080" w:top="1094" w:right="10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00"/>
          </w:cols>
          <w:pgMar w:left="1080" w:top="1094" w:right="1019" w:bottom="1440" w:gutter="0" w:footer="0" w:header="0"/>
          <w:type w:val="continuous"/>
        </w:sectPr>
      </w:pPr>
    </w:p>
    <w:bookmarkStart w:id="49" w:name="page50"/>
    <w:bookmarkEnd w:id="49"/>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65" w:lineRule="auto"/>
        <w:rPr>
          <w:sz w:val="20"/>
          <w:szCs w:val="20"/>
          <w:color w:val="auto"/>
        </w:rPr>
      </w:pPr>
      <w:r>
        <w:rPr>
          <w:rFonts w:ascii="Arial" w:cs="Arial" w:eastAsia="Arial" w:hAnsi="Arial"/>
          <w:sz w:val="18"/>
          <w:szCs w:val="18"/>
          <w:b w:val="1"/>
          <w:bCs w:val="1"/>
          <w:color w:val="auto"/>
        </w:rPr>
        <w:t>CERTIFICATION OF CHIEF FINANCIAL OFFICER OF THE COMPANY PURSUANT TO RULE 13a-14(a) OF THE SECURITIES EXCHANGE ACT OF 1934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Shane W. Hostetter, certify that:</w:t>
      </w:r>
    </w:p>
    <w:p>
      <w:pPr>
        <w:spacing w:after="0" w:line="198" w:lineRule="exact"/>
        <w:rPr>
          <w:sz w:val="20"/>
          <w:szCs w:val="20"/>
          <w:color w:val="auto"/>
        </w:rPr>
      </w:pPr>
    </w:p>
    <w:p>
      <w:pPr>
        <w:ind w:left="420" w:hanging="4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Quaker Chemical Corporation;</w:t>
      </w:r>
    </w:p>
    <w:p>
      <w:pPr>
        <w:spacing w:after="0" w:line="279" w:lineRule="exact"/>
        <w:rPr>
          <w:rFonts w:ascii="Arial" w:cs="Arial" w:eastAsia="Arial" w:hAnsi="Arial"/>
          <w:sz w:val="18"/>
          <w:szCs w:val="18"/>
          <w:color w:val="auto"/>
        </w:rPr>
      </w:pPr>
    </w:p>
    <w:p>
      <w:pPr>
        <w:ind w:left="400" w:hanging="396"/>
        <w:spacing w:after="0" w:line="24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5" w:lineRule="exact"/>
        <w:rPr>
          <w:rFonts w:ascii="Arial" w:cs="Arial" w:eastAsia="Arial" w:hAnsi="Arial"/>
          <w:sz w:val="18"/>
          <w:szCs w:val="18"/>
          <w:color w:val="auto"/>
        </w:rPr>
      </w:pPr>
    </w:p>
    <w:p>
      <w:pPr>
        <w:ind w:left="1280" w:right="100" w:hanging="488"/>
        <w:spacing w:after="0" w:line="248" w:lineRule="auto"/>
        <w:tabs>
          <w:tab w:leader="none" w:pos="1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80" w:right="160" w:hanging="496"/>
        <w:spacing w:after="0" w:line="248" w:lineRule="auto"/>
        <w:tabs>
          <w:tab w:leader="none" w:pos="1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60" w:right="200" w:hanging="478"/>
        <w:spacing w:after="0" w:line="247"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260" w:right="340" w:hanging="484"/>
        <w:spacing w:after="0" w:line="248"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400" w:right="20" w:hanging="396"/>
        <w:spacing w:after="0" w:line="255"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8"/>
          <w:szCs w:val="18"/>
          <w:color w:val="auto"/>
        </w:rPr>
      </w:pPr>
    </w:p>
    <w:p>
      <w:pPr>
        <w:ind w:left="1280" w:right="340" w:hanging="488"/>
        <w:spacing w:after="0" w:line="247" w:lineRule="auto"/>
        <w:tabs>
          <w:tab w:leader="none" w:pos="1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1280" w:right="200" w:hanging="496"/>
        <w:spacing w:after="0" w:line="261" w:lineRule="auto"/>
        <w:tabs>
          <w:tab w:leader="none" w:pos="1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November 3, 2022</w:t>
      </w:r>
    </w:p>
    <w:p>
      <w:pPr>
        <w:spacing w:after="0" w:line="21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Shane W. Hostetter</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Shane W. Hostetter</w:t>
      </w:r>
    </w:p>
    <w:p>
      <w:pPr>
        <w:ind w:left="6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00"/>
          </w:cols>
          <w:pgMar w:left="1080" w:top="1094" w:right="10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00"/>
          </w:cols>
          <w:pgMar w:left="1080" w:top="1094" w:right="101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undersigned hereby certifies that the Form 10-Q Quarterly Report of Quaker Chemical Corporation (the “Company”) for the quarterly period ended September 30,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69"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Dated: November 3, 2022</w:t>
      </w:r>
      <w:r>
        <w:rPr>
          <w:sz w:val="20"/>
          <w:szCs w:val="20"/>
          <w:color w:val="auto"/>
        </w:rPr>
        <w:tab/>
      </w:r>
      <w:r>
        <w:rPr>
          <w:rFonts w:ascii="Arial" w:cs="Arial" w:eastAsia="Arial" w:hAnsi="Arial"/>
          <w:sz w:val="16"/>
          <w:szCs w:val="16"/>
          <w:color w:val="auto"/>
        </w:rPr>
        <w:t>/s/ Andrew E. Tometich</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Andrew E. Tometich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Executive Officer of Quaker Chemical Corporation</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undersigned hereby certifies that the Form 10-Q Quarterly Report of Quaker Chemical Corporation (the “Company”) for the quarterly period ended September 30,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69"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Dated: November 3, 2022</w:t>
      </w:r>
      <w:r>
        <w:rPr>
          <w:sz w:val="20"/>
          <w:szCs w:val="20"/>
          <w:color w:val="auto"/>
        </w:rPr>
        <w:tab/>
      </w:r>
      <w:r>
        <w:rPr>
          <w:rFonts w:ascii="Arial" w:cs="Arial" w:eastAsia="Arial" w:hAnsi="Arial"/>
          <w:sz w:val="15"/>
          <w:szCs w:val="15"/>
          <w:color w:val="auto"/>
        </w:rPr>
        <w:t>/s/ Shane W. Hostetter</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Shane W. Hostetter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 of Quaker Chemical Corporation</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7"/>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6" Type="http://schemas.openxmlformats.org/officeDocument/2006/relationships/hyperlink" Target="http://www.sec.gov/Archives/edgar/data/81362/000008136219000013/exhibit31.htm" TargetMode="External"/><Relationship Id="rId57" Type="http://schemas.openxmlformats.org/officeDocument/2006/relationships/hyperlink" Target="http://www.sec.gov/Archives/edgar/data/81362/000008136220000005/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2022-11-03T17:22:11Z</dcterms:created>
  <dcterms:modified xsi:type="dcterms:W3CDTF">2022-11-03T17:22:11Z</dcterms:modified>
</cp:coreProperties>
</file>