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 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6"/>
        </w:rPr>
        <w:t xml:space="preserve">For the transition period from </w:t>
      </w:r>
      <w:r>
        <w:rPr>
          <w:color w:val="000000"/>
          <w:u w:val="single"/>
        </w:rPr>
        <w:t>            </w:t>
      </w:r>
      <w:r>
        <w:rPr>
          <w:color w:val="000000"/>
        </w:rPr>
        <w:t xml:space="preserve"> </w:t>
      </w:r>
      <w:r>
        <w:rPr>
          <w:rFonts w:ascii="Times New Roman;serif" w:hAnsi="Times New Roman;serif"/>
          <w:b/>
          <w:color w:val="000000"/>
          <w:sz w:val="16"/>
        </w:rPr>
        <w:t xml:space="preserve">to </w:t>
      </w:r>
      <w:r>
        <w:rPr>
          <w:color w:val="000000"/>
          <w:u w:val="single"/>
        </w:rPr>
        <w:t>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Commission file number 001-12019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40"/>
        </w:rPr>
      </w:pPr>
      <w:r>
        <w:rPr>
          <w:rFonts w:ascii="Times New Roman;serif" w:hAnsi="Times New Roman;serif"/>
          <w:b/>
          <w:color w:val="000000"/>
          <w:sz w:val="40"/>
        </w:rPr>
        <w:t>QUAKER CHEMICAL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center"/>
        <w:tblInd w:w="0" w:type="dxa"/>
        <w:tblLayout w:type="fixed"/>
        <w:tblCellMar>
          <w:top w:w="28" w:type="dxa"/>
          <w:left w:w="28" w:type="dxa"/>
          <w:bottom w:w="28" w:type="dxa"/>
          <w:right w:w="28" w:type="dxa"/>
        </w:tblCellMar>
      </w:tblPr>
      <w:tblGrid>
        <w:gridCol w:w="1356"/>
        <w:gridCol w:w="1193"/>
        <w:gridCol w:w="1200"/>
        <w:gridCol w:w="657"/>
        <w:gridCol w:w="657"/>
        <w:gridCol w:w="935"/>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Pennsylvania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23-0993790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bl>
    <w:tbl>
      <w:tblPr>
        <w:tblW w:w="3568" w:type="dxa"/>
        <w:jc w:val="center"/>
        <w:tblInd w:w="0" w:type="dxa"/>
        <w:tblLayout w:type="fixed"/>
        <w:tblCellMar>
          <w:top w:w="28" w:type="dxa"/>
          <w:left w:w="28" w:type="dxa"/>
          <w:bottom w:w="28" w:type="dxa"/>
          <w:right w:w="28" w:type="dxa"/>
        </w:tblCellMar>
      </w:tblPr>
      <w:tblGrid>
        <w:gridCol w:w="879"/>
        <w:gridCol w:w="773"/>
        <w:gridCol w:w="777"/>
        <w:gridCol w:w="333"/>
        <w:gridCol w:w="333"/>
        <w:gridCol w:w="47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901 E. Hector Street,</w:t>
            </w:r>
          </w:p>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Conshohocken, Pennsylvania</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19428 – 2380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610-832-4000</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Former name, former address and former fiscal year,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63" w:type="dxa"/>
        <w:jc w:val="center"/>
        <w:tblInd w:w="0" w:type="dxa"/>
        <w:tblLayout w:type="fixed"/>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erif" w:hAnsi="Times New Roman;serif"/>
          <w:b w:val="false"/>
          <w:color w:val="000000"/>
          <w:sz w:val="16"/>
        </w:rPr>
        <w:t>No  </w:t>
      </w:r>
      <w:r>
        <w:rPr>
          <w:rFonts w:ascii="Wingdings;sans-serif" w:hAnsi="Wingdings;sans-serif"/>
          <w:b/>
          <w:color w:val="000000"/>
          <w:sz w:val="16"/>
        </w:rPr>
        <w:t>x</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5941" w:type="dxa"/>
        <w:jc w:val="center"/>
        <w:tblInd w:w="0" w:type="dxa"/>
        <w:tblLayout w:type="fixed"/>
        <w:tblCellMar>
          <w:top w:w="28" w:type="dxa"/>
          <w:left w:w="28" w:type="dxa"/>
          <w:bottom w:w="28" w:type="dxa"/>
          <w:right w:w="28" w:type="dxa"/>
        </w:tblCellMar>
      </w:tblPr>
      <w:tblGrid>
        <w:gridCol w:w="1805"/>
        <w:gridCol w:w="1585"/>
        <w:gridCol w:w="1590"/>
        <w:gridCol w:w="281"/>
        <w:gridCol w:w="281"/>
        <w:gridCol w:w="399"/>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Number of Shares of Common Stock Outstanding on July 27, 2026</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17,207,702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13"/>
        <w:gridCol w:w="2913"/>
        <w:gridCol w:w="2920"/>
        <w:gridCol w:w="180"/>
        <w:gridCol w:w="180"/>
        <w:gridCol w:w="25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center"/>
              <w:rPr/>
            </w:pPr>
            <w:r>
              <w:rPr/>
              <w:t>Page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0">
              <w:r>
                <w:rPr>
                  <w:rStyle w:val="InternetLink"/>
                  <w:rFonts w:ascii="Times New Roman;serif" w:hAnsi="Times New Roman;serif"/>
                  <w:b/>
                  <w:strike w:val="false"/>
                  <w:dstrike w:val="false"/>
                  <w:color w:val="0000FF"/>
                  <w:sz w:val="20"/>
                  <w:u w:val="none"/>
                  <w:effect w:val="none"/>
                </w:rPr>
                <w:t>PART 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0">
              <w:r>
                <w:rPr>
                  <w:rStyle w:val="InternetLink"/>
                  <w:rFonts w:ascii="Times New Roman;serif" w:hAnsi="Times New Roman;serif"/>
                  <w:b/>
                  <w:color w:val="0000FF"/>
                  <w:sz w:val="20"/>
                  <w:u w:val="single"/>
                </w:rPr>
                <w:t>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10">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3">
              <w:r>
                <w:rPr>
                  <w:rStyle w:val="InternetLink"/>
                  <w:rFonts w:ascii="Times New Roman;serif" w:hAnsi="Times New Roman;serif"/>
                  <w:b/>
                  <w:strike w:val="false"/>
                  <w:dstrike w:val="false"/>
                  <w:color w:val="0000FF"/>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13">
              <w:r>
                <w:rPr>
                  <w:rStyle w:val="InternetLink"/>
                  <w:rFonts w:ascii="Times New Roman;serif" w:hAnsi="Times New Roman;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13">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16">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000FF"/>
                <w:sz w:val="20"/>
                <w:u w:val="single"/>
              </w:rPr>
              <w:t>Three and Six</w:t>
            </w:r>
            <w:hyperlink w:anchor="i8abbe3c954dc409b897985411ed909bb_16">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June 30, 2026</w:t>
            </w:r>
            <w:hyperlink w:anchor="i8abbe3c954dc409b897985411ed909bb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16">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19">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FF"/>
                <w:sz w:val="20"/>
                <w:u w:val="single"/>
              </w:rPr>
              <w:t>Three and Six</w:t>
            </w:r>
            <w:hyperlink w:anchor="i8abbe3c954dc409b897985411ed909bb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June 30, 2026</w:t>
            </w:r>
            <w:hyperlink w:anchor="i8abbe3c954dc409b897985411ed909bb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19">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2">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FF"/>
                <w:sz w:val="20"/>
                <w:u w:val="single"/>
              </w:rPr>
              <w:t xml:space="preserve">June 30, 2026 </w:t>
            </w:r>
            <w:hyperlink w:anchor="i8abbe3c954dc409b897985411ed909bb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December 31, 2025</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2">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FF"/>
                <w:sz w:val="20"/>
                <w:u w:val="single"/>
              </w:rPr>
              <w:t>Six Months Ended June 30, 2026</w:t>
            </w:r>
            <w:hyperlink w:anchor="i8abbe3c954dc409b897985411ed909bb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5">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8">
              <w:r>
                <w:rPr>
                  <w:rStyle w:val="InternetLink"/>
                  <w:rFonts w:ascii="Times New Roman;serif" w:hAnsi="Times New Roman;serif"/>
                  <w:b w:val="false"/>
                  <w:color w:val="000080"/>
                  <w:sz w:val="20"/>
                  <w:u w:val="single"/>
                </w:rPr>
                <w:t xml:space="preserve">Condensed Consolidated Statements of Changes in Equity for the </w:t>
              </w:r>
            </w:hyperlink>
            <w:r>
              <w:rPr>
                <w:rFonts w:ascii="Times New Roman;serif" w:hAnsi="Times New Roman;serif"/>
                <w:b w:val="false"/>
                <w:color w:val="0000FF"/>
                <w:sz w:val="20"/>
                <w:u w:val="single"/>
              </w:rPr>
              <w:t>Three and Six</w:t>
            </w:r>
            <w:hyperlink w:anchor="i8abbe3c954dc409b897985411ed909bb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 xml:space="preserve">June 30, 2026 </w:t>
            </w:r>
            <w:hyperlink w:anchor="i8abbe3c954dc409b897985411ed909bb_28">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8">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31">
              <w:r>
                <w:rPr>
                  <w:rStyle w:val="InternetLink"/>
                  <w:rFonts w:ascii="Times New Roman;serif" w:hAnsi="Times New Roman;serif"/>
                  <w:b w:val="false"/>
                  <w:color w:val="0000FF"/>
                  <w:sz w:val="20"/>
                  <w:u w:val="single"/>
                </w:rPr>
                <w:t>Notes to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31">
              <w:r>
                <w:rPr>
                  <w:rStyle w:val="InternetLink"/>
                  <w:rFonts w:ascii="Times New Roman;serif" w:hAnsi="Times New Roman;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44">
              <w:r>
                <w:rPr>
                  <w:rStyle w:val="InternetLink"/>
                  <w:rFonts w:ascii="Times New Roman;serif" w:hAnsi="Times New Roman;serif"/>
                  <w:b/>
                  <w:strike w:val="false"/>
                  <w:dstrike w:val="false"/>
                  <w:color w:val="0000FF"/>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16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166">
              <w:r>
                <w:rPr>
                  <w:rStyle w:val="InternetLink"/>
                  <w:rFonts w:ascii="Times New Roman;serif" w:hAnsi="Times New Roman;serif"/>
                  <w:b w:val="false"/>
                  <w:color w:val="0000FF"/>
                  <w:sz w:val="20"/>
                  <w:u w:val="single"/>
                </w:rPr>
                <w:t>27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26">
              <w:r>
                <w:rPr>
                  <w:rStyle w:val="InternetLink"/>
                  <w:rFonts w:ascii="Times New Roman;serif" w:hAnsi="Times New Roman;serif"/>
                  <w:b/>
                  <w:strike w:val="false"/>
                  <w:dstrike w:val="false"/>
                  <w:color w:val="0000FF"/>
                  <w:sz w:val="20"/>
                  <w:u w:val="none"/>
                  <w:effect w:val="non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26">
              <w:r>
                <w:rPr>
                  <w:rStyle w:val="InternetLink"/>
                  <w:rFonts w:ascii="Times New Roman;serif" w:hAnsi="Times New Roman;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26">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32">
              <w:r>
                <w:rPr>
                  <w:rStyle w:val="InternetLink"/>
                  <w:rFonts w:ascii="Times New Roman;serif" w:hAnsi="Times New Roman;serif"/>
                  <w:b/>
                  <w:strike w:val="false"/>
                  <w:dstrike w:val="false"/>
                  <w:color w:val="0000FF"/>
                  <w:sz w:val="20"/>
                  <w:u w:val="none"/>
                  <w:effect w:val="non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32">
              <w:r>
                <w:rPr>
                  <w:rStyle w:val="InternetLink"/>
                  <w:rFonts w:ascii="Times New Roman;serif" w:hAnsi="Times New Roman;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32">
              <w:r>
                <w:rPr>
                  <w:rStyle w:val="InternetLink"/>
                  <w:rFonts w:ascii="Times New Roman;serif" w:hAnsi="Times New Roman;serif"/>
                  <w:b w:val="false"/>
                  <w:color w:val="0000FF"/>
                  <w:sz w:val="20"/>
                  <w:u w:val="single"/>
                </w:rPr>
                <w:t>43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35">
              <w:r>
                <w:rPr>
                  <w:rStyle w:val="InternetLink"/>
                  <w:rFonts w:ascii="Times New Roman;serif" w:hAnsi="Times New Roman;serif"/>
                  <w:b/>
                  <w:strike w:val="false"/>
                  <w:dstrike w:val="false"/>
                  <w:color w:val="0000FF"/>
                  <w:sz w:val="20"/>
                  <w:u w:val="none"/>
                  <w:effect w:val="none"/>
                </w:rPr>
                <w:t>PART II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35">
              <w:r>
                <w:rPr>
                  <w:rStyle w:val="InternetLink"/>
                  <w:rFonts w:ascii="Times New Roman;serif" w:hAnsi="Times New Roman;serif"/>
                  <w:b/>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38">
              <w:r>
                <w:rPr>
                  <w:rStyle w:val="InternetLink"/>
                  <w:rFonts w:ascii="Times New Roman;serif" w:hAnsi="Times New Roman;serif"/>
                  <w:b/>
                  <w:strike w:val="false"/>
                  <w:dstrike w:val="false"/>
                  <w:color w:val="0000FF"/>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38">
              <w:r>
                <w:rPr>
                  <w:rStyle w:val="InternetLink"/>
                  <w:rFonts w:ascii="Times New Roman;serif" w:hAnsi="Times New Roman;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38">
              <w:r>
                <w:rPr>
                  <w:rStyle w:val="InternetLink"/>
                  <w:rFonts w:ascii="Times New Roman;serif" w:hAnsi="Times New Roman;serif"/>
                  <w:b w:val="false"/>
                  <w:color w:val="0000FF"/>
                  <w:sz w:val="20"/>
                  <w:u w:val="single"/>
                </w:rPr>
                <w:t>44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41">
              <w:r>
                <w:rPr>
                  <w:rStyle w:val="InternetLink"/>
                  <w:rFonts w:ascii="Times New Roman;serif" w:hAnsi="Times New Roman;serif"/>
                  <w:b/>
                  <w:strike w:val="false"/>
                  <w:dstrike w:val="false"/>
                  <w:color w:val="0000FF"/>
                  <w:sz w:val="20"/>
                  <w:u w:val="none"/>
                  <w:effect w:val="non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41">
              <w:r>
                <w:rPr>
                  <w:rStyle w:val="InternetLink"/>
                  <w:rFonts w:ascii="Times New Roman;serif" w:hAnsi="Times New Roman;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41">
              <w:r>
                <w:rPr>
                  <w:rStyle w:val="InternetLink"/>
                  <w:rFonts w:ascii="Times New Roman;serif" w:hAnsi="Times New Roman;serif"/>
                  <w:b w:val="false"/>
                  <w:color w:val="0000FF"/>
                  <w:sz w:val="20"/>
                  <w:u w:val="single"/>
                </w:rPr>
                <w:t>44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66">
              <w:r>
                <w:rPr>
                  <w:rStyle w:val="InternetLink"/>
                  <w:rFonts w:ascii="Times New Roman;serif" w:hAnsi="Times New Roman;serif"/>
                  <w:b/>
                  <w:strike w:val="false"/>
                  <w:dstrike w:val="false"/>
                  <w:color w:val="0000FF"/>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44">
              <w:r>
                <w:rPr>
                  <w:rStyle w:val="InternetLink"/>
                  <w:rFonts w:ascii="Times New Roman;serif" w:hAnsi="Times New Roman;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44">
              <w:r>
                <w:rPr>
                  <w:rStyle w:val="InternetLink"/>
                  <w:rFonts w:ascii="Times New Roman;serif" w:hAnsi="Times New Roman;serif"/>
                  <w:b w:val="false"/>
                  <w:color w:val="0000FF"/>
                  <w:sz w:val="20"/>
                  <w:u w:val="single"/>
                </w:rPr>
                <w:t>45</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FF"/>
                <w:sz w:val="20"/>
              </w:rPr>
            </w:pPr>
            <w:r>
              <w:rPr>
                <w:rFonts w:ascii="Times New Roman;serif" w:hAnsi="Times New Roman;serif"/>
                <w:b/>
                <w:color w:val="0000FF"/>
                <w:sz w:val="20"/>
              </w:rPr>
              <w:t>Item 5.</w:t>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47">
              <w:r>
                <w:rPr>
                  <w:rStyle w:val="InternetLink"/>
                  <w:rFonts w:ascii="Times New Roman;serif" w:hAnsi="Times New Roman;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47">
              <w:r>
                <w:rPr>
                  <w:rStyle w:val="InternetLink"/>
                  <w:rFonts w:ascii="Times New Roman;serif" w:hAnsi="Times New Roman;serif"/>
                  <w:b w:val="false"/>
                  <w:color w:val="0000FF"/>
                  <w:sz w:val="20"/>
                  <w:u w:val="single"/>
                </w:rPr>
                <w:t>45</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50">
              <w:r>
                <w:rPr>
                  <w:rStyle w:val="InternetLink"/>
                  <w:rFonts w:ascii="Times New Roman;serif" w:hAnsi="Times New Roman;serif"/>
                  <w:b/>
                  <w:strike w:val="false"/>
                  <w:dstrike w:val="false"/>
                  <w:color w:val="0000FF"/>
                  <w:sz w:val="20"/>
                  <w:u w:val="none"/>
                  <w:effect w:val="non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50">
              <w:r>
                <w:rPr>
                  <w:rStyle w:val="InternetLink"/>
                  <w:rFonts w:ascii="Times New Roman;serif" w:hAnsi="Times New Roman;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50">
              <w:r>
                <w:rPr>
                  <w:rStyle w:val="InternetLink"/>
                  <w:rFonts w:ascii="Times New Roman;serif" w:hAnsi="Times New Roman;serif"/>
                  <w:b w:val="false"/>
                  <w:color w:val="0000FF"/>
                  <w:sz w:val="20"/>
                  <w:u w:val="single"/>
                </w:rPr>
                <w:t>46</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abbe3c954dc409b897985411ed909bb_253">
              <w:r>
                <w:rPr>
                  <w:rStyle w:val="InternetLink"/>
                  <w:rFonts w:ascii="Times New Roman;serif" w:hAnsi="Times New Roman;serif"/>
                  <w:b/>
                  <w:color w:val="0000FF"/>
                  <w:sz w:val="20"/>
                  <w:u w:val="single"/>
                </w:rPr>
                <w:t>Signatures</w:t>
              </w:r>
            </w:hyperlink>
            <w:r>
              <w:rPr>
                <w:rFonts w:ascii="Times New Roman;serif" w:hAnsi="Times New Roman;serif"/>
                <w:b/>
                <w:i/>
                <w:color w:val="0000FF"/>
                <w:sz w:val="20"/>
                <w:u w:val="single"/>
              </w:rPr>
              <w:t>.</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8abbe3c954dc409b897985411ed909bb_253">
              <w:r>
                <w:rPr>
                  <w:rStyle w:val="InternetLink"/>
                  <w:rFonts w:ascii="Times New Roman;serif" w:hAnsi="Times New Roman;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672"/>
        <w:gridCol w:w="1374"/>
        <w:gridCol w:w="139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expense - See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1824"/>
        <w:gridCol w:w="1555"/>
        <w:gridCol w:w="1518"/>
        <w:gridCol w:w="211"/>
        <w:gridCol w:w="721"/>
        <w:gridCol w:w="109"/>
        <w:gridCol w:w="109"/>
        <w:gridCol w:w="109"/>
        <w:gridCol w:w="109"/>
        <w:gridCol w:w="211"/>
        <w:gridCol w:w="779"/>
        <w:gridCol w:w="109"/>
        <w:gridCol w:w="109"/>
        <w:gridCol w:w="109"/>
        <w:gridCol w:w="109"/>
        <w:gridCol w:w="211"/>
        <w:gridCol w:w="721"/>
        <w:gridCol w:w="109"/>
        <w:gridCol w:w="109"/>
        <w:gridCol w:w="109"/>
        <w:gridCol w:w="109"/>
        <w:gridCol w:w="211"/>
        <w:gridCol w:w="779"/>
        <w:gridCol w:w="156"/>
      </w:tblGrid>
      <w:tr>
        <w:trPr/>
        <w:tc>
          <w:tcPr>
            <w:tcW w:w="182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income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par value)</w:t>
      </w:r>
    </w:p>
    <w:tbl>
      <w:tblPr>
        <w:tblW w:w="8883" w:type="dxa"/>
        <w:jc w:val="center"/>
        <w:tblInd w:w="0" w:type="dxa"/>
        <w:tblLayout w:type="fixed"/>
        <w:tblCellMar>
          <w:top w:w="28" w:type="dxa"/>
          <w:left w:w="28" w:type="dxa"/>
          <w:bottom w:w="28" w:type="dxa"/>
          <w:right w:w="28" w:type="dxa"/>
        </w:tblCellMar>
      </w:tblPr>
      <w:tblGrid>
        <w:gridCol w:w="2177"/>
        <w:gridCol w:w="1909"/>
        <w:gridCol w:w="1913"/>
        <w:gridCol w:w="354"/>
        <w:gridCol w:w="408"/>
        <w:gridCol w:w="418"/>
        <w:gridCol w:w="109"/>
        <w:gridCol w:w="109"/>
        <w:gridCol w:w="109"/>
        <w:gridCol w:w="506"/>
        <w:gridCol w:w="359"/>
        <w:gridCol w:w="512"/>
      </w:tblGrid>
      <w:tr>
        <w:trPr/>
        <w:tc>
          <w:tcPr>
            <w:tcW w:w="217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179,829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417,157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Raw materials and supplies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124,751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Work-in-process and finished goods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141,025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58,428</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921,190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at cost</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604,787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Less: Accumulated depreciation</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(291,364)</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Property, plant and equipment, net</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501,720</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873,540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associated companies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106,915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2,851,116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2,797,936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w:t>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35,657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198,929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41,192</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pension and postretirement benefits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380,156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22,759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140,814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accrued pension and postretirement benefits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1,421,437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authorized 30,000,000 shares; issued and outstanding</w:t>
            </w:r>
          </w:p>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30, 2026 – 17,212,963 shares; December 31, 2025 – 17,331,779 shares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874,826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596,616</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(115,661)</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Quaker shareholders’ equity</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1,373,113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1,376,499</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2,851,116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2,797,936</w:t>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61"/>
        <w:gridCol w:w="2381"/>
        <w:gridCol w:w="2397"/>
        <w:gridCol w:w="211"/>
        <w:gridCol w:w="826"/>
        <w:gridCol w:w="109"/>
        <w:gridCol w:w="109"/>
        <w:gridCol w:w="109"/>
        <w:gridCol w:w="109"/>
        <w:gridCol w:w="211"/>
        <w:gridCol w:w="826"/>
        <w:gridCol w:w="156"/>
      </w:tblGrid>
      <w:tr>
        <w:trPr/>
        <w:tc>
          <w:tcPr>
            <w:tcW w:w="276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(53,646)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Equity in undistributed earnings of associated companies, net of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88,840 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step-up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Loss (gain) on disposal of property, plant and equipment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(5,228)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(11,826)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(15,946)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38,522 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(164,078)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disposition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(180,720)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(629,685)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on revolving credit facilities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revolving credit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(356,305)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other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Financing-related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(32,693)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stock related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147,554 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(decrease) 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13,038 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the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188,880 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155,093 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201,918 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Supplemental cash flow disclosures: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Non-cash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Accrued purchases of property, plant and equipment, net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w:t>
      </w:r>
    </w:p>
    <w:tbl>
      <w:tblPr>
        <w:tblW w:w="10512" w:type="dxa"/>
        <w:jc w:val="center"/>
        <w:tblInd w:w="0" w:type="dxa"/>
        <w:tblLayout w:type="fixed"/>
        <w:tblCellMar>
          <w:top w:w="28" w:type="dxa"/>
          <w:left w:w="28" w:type="dxa"/>
          <w:bottom w:w="28" w:type="dxa"/>
          <w:right w:w="28" w:type="dxa"/>
        </w:tblCellMar>
      </w:tblPr>
      <w:tblGrid>
        <w:gridCol w:w="758"/>
        <w:gridCol w:w="311"/>
        <w:gridCol w:w="31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59"/>
        <w:gridCol w:w="1032"/>
        <w:gridCol w:w="135"/>
        <w:gridCol w:w="109"/>
        <w:gridCol w:w="109"/>
        <w:gridCol w:w="109"/>
        <w:gridCol w:w="314"/>
        <w:gridCol w:w="918"/>
        <w:gridCol w:w="164"/>
        <w:gridCol w:w="109"/>
        <w:gridCol w:w="109"/>
        <w:gridCol w:w="109"/>
        <w:gridCol w:w="211"/>
        <w:gridCol w:w="976"/>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(175,655)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from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purchased under share repurchase program, net of excise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(115,181)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($0.508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1,379,151 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($0.508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 net of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855,896 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(121,488)</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1,380,599 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5446" w:type="dxa"/>
        <w:jc w:val="left"/>
        <w:tblInd w:w="0" w:type="dxa"/>
        <w:tblLayout w:type="fixed"/>
        <w:tblCellMar>
          <w:top w:w="28" w:type="dxa"/>
          <w:left w:w="28" w:type="dxa"/>
          <w:bottom w:w="28" w:type="dxa"/>
          <w:right w:w="28" w:type="dxa"/>
        </w:tblCellMar>
      </w:tblPr>
      <w:tblGrid>
        <w:gridCol w:w="277"/>
        <w:gridCol w:w="242"/>
        <w:gridCol w:w="246"/>
        <w:gridCol w:w="1369"/>
        <w:gridCol w:w="1369"/>
        <w:gridCol w:w="1372"/>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232">
              <w:r>
                <w:rPr>
                  <w:rStyle w:val="InternetLink"/>
                  <w:rFonts w:ascii="Times New Roman;serif" w:hAnsi="Times New Roman;serif"/>
                  <w:b/>
                  <w:strike w:val="false"/>
                  <w:dstrike w:val="false"/>
                  <w:color w:val="000000"/>
                  <w:sz w:val="20"/>
                  <w:u w:val="none"/>
                  <w:effect w:val="none"/>
                </w:rPr>
                <w:t>Note 1</w:t>
              </w:r>
            </w:hyperlink>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37">
              <w:r>
                <w:rPr>
                  <w:rStyle w:val="InternetLink"/>
                  <w:rFonts w:ascii="Times New Roman;serif" w:hAnsi="Times New Roman;serif"/>
                  <w:b w:val="false"/>
                  <w:color w:val="0000FF"/>
                  <w:sz w:val="20"/>
                  <w:u w:val="single"/>
                </w:rPr>
                <w:t>Basis of Presentation and Description of Business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8abbe3c954dc409b897985411ed909bb_37">
              <w:r>
                <w:rPr>
                  <w:rStyle w:val="InternetLink"/>
                  <w:rFonts w:ascii="Times New Roman;serif" w:hAnsi="Times New Roman;serif"/>
                  <w:b w:val="false"/>
                  <w:color w:val="0000FF"/>
                  <w:sz w:val="20"/>
                  <w:u w:val="single"/>
                </w:rPr>
                <w:t>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40">
              <w:r>
                <w:rPr>
                  <w:rStyle w:val="InternetLink"/>
                  <w:rFonts w:ascii="Times New Roman;serif" w:hAnsi="Times New Roman;serif"/>
                  <w:b w:val="false"/>
                  <w:color w:val="0000FF"/>
                  <w:sz w:val="20"/>
                  <w:u w:val="single"/>
                </w:rPr>
                <w:t>Business Acquisitions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40">
              <w:r>
                <w:rPr>
                  <w:rStyle w:val="InternetLink"/>
                  <w:rFonts w:ascii="Times New Roman;serif" w:hAnsi="Times New Roman;serif"/>
                  <w:b w:val="false"/>
                  <w:color w:val="0000FF"/>
                  <w:sz w:val="20"/>
                  <w:u w:val="single"/>
                </w:rPr>
                <w:t>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49">
              <w:r>
                <w:rPr>
                  <w:rStyle w:val="InternetLink"/>
                  <w:rFonts w:ascii="Times New Roman;serif" w:hAnsi="Times New Roman;serif"/>
                  <w:b w:val="false"/>
                  <w:color w:val="0000FF"/>
                  <w:sz w:val="20"/>
                  <w:u w:val="single"/>
                </w:rPr>
                <w:t>Recently Issued Accounting Standards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49">
              <w:r>
                <w:rPr>
                  <w:rStyle w:val="InternetLink"/>
                  <w:rFonts w:ascii="Times New Roman;serif" w:hAnsi="Times New Roman;serif"/>
                  <w:b w:val="false"/>
                  <w:color w:val="0000FF"/>
                  <w:sz w:val="20"/>
                  <w:u w:val="single"/>
                </w:rPr>
                <w:t>11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55">
              <w:r>
                <w:rPr>
                  <w:rStyle w:val="InternetLink"/>
                  <w:rFonts w:ascii="Times New Roman;serif" w:hAnsi="Times New Roman;serif"/>
                  <w:b w:val="false"/>
                  <w:color w:val="0000FF"/>
                  <w:sz w:val="20"/>
                  <w:u w:val="single"/>
                </w:rPr>
                <w:t>Business Segments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55">
              <w:r>
                <w:rPr>
                  <w:rStyle w:val="InternetLink"/>
                  <w:rFonts w:ascii="Times New Roman;serif" w:hAnsi="Times New Roman;serif"/>
                  <w:b w:val="false"/>
                  <w:color w:val="0000FF"/>
                  <w:sz w:val="20"/>
                  <w:u w:val="single"/>
                </w:rPr>
                <w:t>11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61">
              <w:r>
                <w:rPr>
                  <w:rStyle w:val="InternetLink"/>
                  <w:rFonts w:ascii="Times New Roman;serif" w:hAnsi="Times New Roman;serif"/>
                  <w:b w:val="false"/>
                  <w:color w:val="0000FF"/>
                  <w:sz w:val="20"/>
                  <w:u w:val="single"/>
                </w:rPr>
                <w:t>Net Sales and Revenue Recognition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61">
              <w:r>
                <w:rPr>
                  <w:rStyle w:val="InternetLink"/>
                  <w:rFonts w:ascii="Times New Roman;serif" w:hAnsi="Times New Roman;serif"/>
                  <w:b w:val="false"/>
                  <w:color w:val="0000FF"/>
                  <w:sz w:val="20"/>
                  <w:u w:val="singl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73">
              <w:r>
                <w:rPr>
                  <w:rStyle w:val="InternetLink"/>
                  <w:rFonts w:ascii="Times New Roman;serif" w:hAnsi="Times New Roman;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73">
              <w:r>
                <w:rPr>
                  <w:rStyle w:val="InternetLink"/>
                  <w:rFonts w:ascii="Times New Roman;serif" w:hAnsi="Times New Roman;serif"/>
                  <w:b w:val="false"/>
                  <w:color w:val="0000FF"/>
                  <w:sz w:val="20"/>
                  <w:u w:val="single"/>
                </w:rPr>
                <w:t>14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76">
              <w:r>
                <w:rPr>
                  <w:rStyle w:val="InternetLink"/>
                  <w:rFonts w:ascii="Times New Roman;serif" w:hAnsi="Times New Roman;serif"/>
                  <w:b w:val="false"/>
                  <w:color w:val="0000FF"/>
                  <w:sz w:val="20"/>
                  <w:u w:val="single"/>
                </w:rPr>
                <w:t>Restructuring and Related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76">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79">
              <w:r>
                <w:rPr>
                  <w:rStyle w:val="InternetLink"/>
                  <w:rFonts w:ascii="Times New Roman;serif" w:hAnsi="Times New Roman;serif"/>
                  <w:b w:val="false"/>
                  <w:color w:val="0000FF"/>
                  <w:sz w:val="20"/>
                  <w:u w:val="single"/>
                </w:rPr>
                <w:t>Share-Based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79">
              <w:r>
                <w:rPr>
                  <w:rStyle w:val="InternetLink"/>
                  <w:rFonts w:ascii="Times New Roman;serif" w:hAnsi="Times New Roman;serif"/>
                  <w:b w:val="false"/>
                  <w:color w:val="0000FF"/>
                  <w:sz w:val="20"/>
                  <w:u w:val="singl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88">
              <w:r>
                <w:rPr>
                  <w:rStyle w:val="InternetLink"/>
                  <w:rFonts w:ascii="Times New Roman;serif" w:hAnsi="Times New Roman;serif"/>
                  <w:b w:val="false"/>
                  <w:color w:val="0000FF"/>
                  <w:sz w:val="20"/>
                  <w:u w:val="single"/>
                </w:rPr>
                <w:t>Pension and Other Postretirement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88">
              <w:r>
                <w:rPr>
                  <w:rStyle w:val="InternetLink"/>
                  <w:rFonts w:ascii="Times New Roman;serif" w:hAnsi="Times New Roman;serif"/>
                  <w:b w:val="false"/>
                  <w:color w:val="0000FF"/>
                  <w:sz w:val="20"/>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91">
              <w:r>
                <w:rPr>
                  <w:rStyle w:val="InternetLink"/>
                  <w:rFonts w:ascii="Times New Roman;serif" w:hAnsi="Times New Roman;serif"/>
                  <w:b w:val="false"/>
                  <w:color w:val="000080"/>
                  <w:sz w:val="20"/>
                  <w:u w:val="single"/>
                </w:rPr>
                <w:t xml:space="preserve">Other </w:t>
              </w:r>
            </w:hyperlink>
            <w:hyperlink w:anchor="i8abbe3c954dc409b897985411ed909bb_91">
              <w:r>
                <w:rPr>
                  <w:rStyle w:val="InternetLink"/>
                  <w:rFonts w:ascii="Times New Roman;serif" w:hAnsi="Times New Roman;serif"/>
                  <w:b w:val="false"/>
                  <w:color w:val="000080"/>
                  <w:sz w:val="20"/>
                  <w:u w:val="single"/>
                </w:rPr>
                <w:t xml:space="preserve">Income </w:t>
              </w:r>
            </w:hyperlink>
            <w:hyperlink w:anchor="i8abbe3c954dc409b897985411ed909bb_91">
              <w:r>
                <w:rPr>
                  <w:rStyle w:val="InternetLink"/>
                  <w:rFonts w:ascii="Times New Roman;serif" w:hAnsi="Times New Roman;serif"/>
                  <w:b w:val="false"/>
                  <w:color w:val="000080"/>
                  <w:sz w:val="20"/>
                  <w:u w:val="single"/>
                </w:rPr>
                <w:t>(</w:t>
              </w:r>
            </w:hyperlink>
            <w:hyperlink w:anchor="i8abbe3c954dc409b897985411ed909bb_91">
              <w:r>
                <w:rPr>
                  <w:rStyle w:val="InternetLink"/>
                  <w:rFonts w:ascii="Times New Roman;serif" w:hAnsi="Times New Roman;serif"/>
                  <w:b w:val="false"/>
                  <w:color w:val="000080"/>
                  <w:sz w:val="20"/>
                  <w:u w:val="single"/>
                </w:rPr>
                <w:t>Expense</w:t>
              </w:r>
            </w:hyperlink>
            <w:hyperlink w:anchor="i8abbe3c954dc409b897985411ed909bb_91">
              <w:r>
                <w:rPr>
                  <w:rStyle w:val="InternetLink"/>
                  <w:rFonts w:ascii="Times New Roman;serif" w:hAnsi="Times New Roman;serif"/>
                  <w:b w:val="false"/>
                  <w:color w:val="000080"/>
                  <w:sz w:val="20"/>
                  <w:u w:val="single"/>
                </w:rPr>
                <w:t>)</w:t>
              </w:r>
            </w:hyperlink>
            <w:hyperlink w:anchor="i8abbe3c954dc409b897985411ed909bb_91">
              <w:r>
                <w:rPr>
                  <w:rStyle w:val="InternetLink"/>
                  <w:rFonts w:ascii="Times New Roman;serif" w:hAnsi="Times New Roman;serif"/>
                  <w:b w:val="false"/>
                  <w:color w:val="000080"/>
                  <w:sz w:val="20"/>
                  <w:u w:val="single"/>
                </w:rPr>
                <w:t>, net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91">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94">
              <w:r>
                <w:rPr>
                  <w:rStyle w:val="InternetLink"/>
                  <w:rFonts w:ascii="Times New Roman;serif" w:hAnsi="Times New Roman;serif"/>
                  <w:b w:val="false"/>
                  <w:color w:val="0000FF"/>
                  <w:sz w:val="20"/>
                  <w:u w:val="singl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94">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12">
              <w:r>
                <w:rPr>
                  <w:rStyle w:val="InternetLink"/>
                  <w:rFonts w:ascii="Times New Roman;serif" w:hAnsi="Times New Roman;serif"/>
                  <w:b w:val="false"/>
                  <w:color w:val="0000FF"/>
                  <w:sz w:val="20"/>
                  <w:u w:val="single"/>
                </w:rPr>
                <w:t>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12">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15">
              <w:r>
                <w:rPr>
                  <w:rStyle w:val="InternetLink"/>
                  <w:rFonts w:ascii="Times New Roman;serif" w:hAnsi="Times New Roman;serif"/>
                  <w:b w:val="false"/>
                  <w:color w:val="0000FF"/>
                  <w:sz w:val="20"/>
                  <w:u w:val="single"/>
                </w:rPr>
                <w:t>Goodwill and 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15">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21">
              <w:r>
                <w:rPr>
                  <w:rStyle w:val="InternetLink"/>
                  <w:rFonts w:ascii="Times New Roman;serif" w:hAnsi="Times New Roman;serif"/>
                  <w:b w:val="false"/>
                  <w:color w:val="0000FF"/>
                  <w:sz w:val="20"/>
                  <w:u w:val="single"/>
                </w:rPr>
                <w:t>Debt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21">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45">
              <w:r>
                <w:rPr>
                  <w:rStyle w:val="InternetLink"/>
                  <w:rFonts w:ascii="Times New Roman;serif" w:hAnsi="Times New Roman;serif"/>
                  <w:b w:val="false"/>
                  <w:color w:val="0000FF"/>
                  <w:sz w:val="20"/>
                  <w:u w:val="single"/>
                </w:rPr>
                <w:t>Accumulated Other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45">
              <w:r>
                <w:rPr>
                  <w:rStyle w:val="InternetLink"/>
                  <w:rFonts w:ascii="Times New Roman;serif" w:hAnsi="Times New Roman;serif"/>
                  <w:b w:val="false"/>
                  <w:color w:val="0000FF"/>
                  <w:sz w:val="20"/>
                  <w:u w:val="single"/>
                </w:rPr>
                <w:t>23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51">
              <w:r>
                <w:rPr>
                  <w:rStyle w:val="InternetLink"/>
                  <w:rFonts w:ascii="Times New Roman;serif" w:hAnsi="Times New Roman;serif"/>
                  <w:b w:val="false"/>
                  <w:color w:val="0000FF"/>
                  <w:sz w:val="20"/>
                  <w:u w:val="singl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51">
              <w:r>
                <w:rPr>
                  <w:rStyle w:val="InternetLink"/>
                  <w:rFonts w:ascii="Times New Roman;serif" w:hAnsi="Times New Roman;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54">
              <w:r>
                <w:rPr>
                  <w:rStyle w:val="InternetLink"/>
                  <w:rFonts w:ascii="Times New Roman;serif" w:hAnsi="Times New Roman;serif"/>
                  <w:b w:val="false"/>
                  <w:color w:val="0000FF"/>
                  <w:sz w:val="20"/>
                  <w:u w:val="single"/>
                </w:rPr>
                <w:t>Hedging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54">
              <w:r>
                <w:rPr>
                  <w:rStyle w:val="InternetLink"/>
                  <w:rFonts w:ascii="Times New Roman;serif" w:hAnsi="Times New Roman;serif"/>
                  <w:b w:val="false"/>
                  <w:color w:val="0000FF"/>
                  <w:sz w:val="20"/>
                  <w:u w:val="single"/>
                </w:rPr>
                <w:t>24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bbe3c954dc409b897985411ed909bb_157">
              <w:r>
                <w:rPr>
                  <w:rStyle w:val="InternetLink"/>
                  <w:rFonts w:ascii="Times New Roman;serif" w:hAnsi="Times New Roman;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abbe3c954dc409b897985411ed909bb_157">
              <w:r>
                <w:rPr>
                  <w:rStyle w:val="InternetLink"/>
                  <w:rFonts w:ascii="Times New Roman;serif" w:hAnsi="Times New Roman;serif"/>
                  <w:b w:val="false"/>
                  <w:color w:val="0000FF"/>
                  <w:sz w:val="20"/>
                  <w:u w:val="single"/>
                </w:rPr>
                <w:t>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 – Basis of Presentation and Description of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these Notes to Condensed Consolidated Financial Statements of this Quarterly Report on Form 10-Q for the period ended June 30, 2026 (the “Report”), the terms “Quaker Houghton,” the “Company,” “we,” and “our” refer to Quaker Chemical Corporation (doing business as Quaker Houghton), its subsidiaries, and associated companies, unless the context otherwise requires.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six months ended June 30, 2026 are not necessarily indicative of the results to be expected for the full year. These financial statements should be read in conjunction with the Company’s Annual Report filed on Form 10-K for the year ended December 31, 2025 (the “2025 Form 10-K”).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Revision of Previously Issued Financial Statements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identified an error in the historical presentation of borrowings and payments on revolving credit facilities that did not qualify for net presentation in its previously issued Consolidated Statements of Cash Flows. The Company determined that the errors, which had no impact on total cash flows provided by (used in) financing activities, were not material to any prior annual or interim periods. The Company will revise its Consolidated Statements of Cash Flows for the years ended December 31, 2025 and 2024 and for the impacted quarterly periods when the impacted periods are presented as comparative periods in future filings.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revised amounts related to borrowings and repayments on revolving credit facilities within the Company's Consolidated Statements of Cash Flows for the relevant historical periods are as follows: </w:t>
      </w:r>
    </w:p>
    <w:tbl>
      <w:tblPr>
        <w:tblW w:w="10205" w:type="dxa"/>
        <w:jc w:val="center"/>
        <w:tblInd w:w="0" w:type="dxa"/>
        <w:tblLayout w:type="fixed"/>
        <w:tblCellMar>
          <w:top w:w="28" w:type="dxa"/>
          <w:left w:w="28" w:type="dxa"/>
          <w:bottom w:w="28" w:type="dxa"/>
          <w:right w:w="28" w:type="dxa"/>
        </w:tblCellMar>
      </w:tblPr>
      <w:tblGrid>
        <w:gridCol w:w="912"/>
        <w:gridCol w:w="688"/>
        <w:gridCol w:w="691"/>
        <w:gridCol w:w="527"/>
        <w:gridCol w:w="1803"/>
        <w:gridCol w:w="274"/>
        <w:gridCol w:w="506"/>
        <w:gridCol w:w="1730"/>
        <w:gridCol w:w="263"/>
        <w:gridCol w:w="109"/>
        <w:gridCol w:w="109"/>
        <w:gridCol w:w="109"/>
        <w:gridCol w:w="455"/>
        <w:gridCol w:w="1691"/>
        <w:gridCol w:w="338"/>
      </w:tblGrid>
      <w:tr>
        <w:trPr/>
        <w:tc>
          <w:tcPr>
            <w:tcW w:w="91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 Ended</w:t>
            </w:r>
          </w:p>
        </w:tc>
        <w:tc>
          <w:tcPr>
            <w:tcW w:w="2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Borrowings on revolving credit facilities, net</w:t>
              <w:br/>
              <w:t> (as Previously Reported)</w:t>
            </w:r>
          </w:p>
        </w:tc>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Borrowings on Revolving Credit Facilities</w:t>
              <w:br/>
              <w:t> (As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Payments on Revolving Credit Facilities </w:t>
              <w:br/>
              <w:t xml:space="preserve">(As Revised) </w:t>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2604"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(67,000)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168,938 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328,201 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(159,263)</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382,299 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(208,057)</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(329,847)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(164,769)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(534,096)</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Description of Business</w:t>
      </w:r>
    </w:p>
    <w:p>
      <w:pPr>
        <w:pStyle w:val="TextBody"/>
        <w:bidi w:val="0"/>
        <w:spacing w:lineRule="auto" w:line="288" w:before="0" w:after="120"/>
        <w:jc w:val="both"/>
        <w:rPr/>
      </w:pPr>
      <w:r>
        <w:rPr>
          <w:rFonts w:ascii="Times New Roman;serif" w:hAnsi="Times New Roman;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erif" w:hAnsi="Times New Roman;serif"/>
          <w:b w:val="false"/>
          <w:color w:val="000000"/>
          <w:sz w:val="13"/>
        </w:rPr>
        <w:t>TM</w:t>
      </w:r>
      <w:r>
        <w:rPr>
          <w:rFonts w:ascii="Times New Roman;serif" w:hAnsi="Times New Roman;serif"/>
          <w:b w:val="false"/>
          <w:color w:val="000000"/>
          <w:sz w:val="20"/>
        </w:rPr>
        <w:t>, for various heavy industrial and manufacturing applications sold in its three reportable segments: (i) Americas; (ii) Europe, Middle East and Africa (“EMEA”); and (iii) Asia/Pacific.</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Hyper-inflationary economies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Argentina’s and Türkiye’s economies were considered hyper-inflationary under U.S. GAAP effective July 1, 2018 and April 1, 2022, respectively. As of and for the three and six months ended June 30, 2026, the Company’s Argentine and Turkish subsidiaries together represented approximately 1% and 2% of the Company’s consolidated total assets and net sales, respectively. During the three and six months ended June 30, 2026, the Company recorded $0.6 million and $0.8 million of remeasurement losses associated with the applicable currency conversions, respectively. Comparatively, during the three and six months ended June 30, 2025, the Company recorded $0.7 million and $1.2 million of remeasurement losses associated with the applicable currency conversions, respectively. These losses were recorded within Other income (expense),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2 – Business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Previous Acquisitions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Dipsol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acquired 100% of the outstanding equity interests of Dipsol Chemicals Co., Ltd. and its subsidiaries,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the Company’s Credit Facility. In connection with the acquisition of Dipsol, the Company entered into foreign currency forward contracts, which resulted in a $187.0 million cash payment in April 2025 and a $0.6 million foreign exchange gain and a $1.4 million foreign exchange loss, respectively, during the three and six months ended June 30,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Dipsol also provides significant cross-selling opportunities and enhances the Company’s ability to meet the needs of our customers across the globe.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of Dipsol assets acquired and liabilities assumed as of the acquisition date:</w:t>
      </w:r>
    </w:p>
    <w:tbl>
      <w:tblPr>
        <w:tblW w:w="6999" w:type="dxa"/>
        <w:jc w:val="center"/>
        <w:tblInd w:w="0" w:type="dxa"/>
        <w:tblLayout w:type="fixed"/>
        <w:tblCellMar>
          <w:top w:w="28" w:type="dxa"/>
          <w:left w:w="28" w:type="dxa"/>
          <w:bottom w:w="28" w:type="dxa"/>
          <w:right w:w="28" w:type="dxa"/>
        </w:tblCellMar>
      </w:tblPr>
      <w:tblGrid>
        <w:gridCol w:w="1505"/>
        <w:gridCol w:w="1321"/>
        <w:gridCol w:w="1329"/>
        <w:gridCol w:w="109"/>
        <w:gridCol w:w="109"/>
        <w:gridCol w:w="109"/>
        <w:gridCol w:w="109"/>
        <w:gridCol w:w="109"/>
        <w:gridCol w:w="395"/>
        <w:gridCol w:w="1546"/>
        <w:gridCol w:w="204"/>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Dipsol Assets Acquired and Liabilities Assumed </w:t>
            </w:r>
          </w:p>
          <w:p>
            <w:pPr>
              <w:pStyle w:val="TableContents"/>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Estimated Fair Value</w:t>
            </w:r>
            <w:r>
              <w:rPr>
                <w:color w:val="000000"/>
              </w:rPr>
              <w:t xml:space="preserve"> </w:t>
            </w:r>
            <w:r>
              <w:rPr>
                <w:rFonts w:ascii="Times New Roman;serif" w:hAnsi="Times New Roman;serif"/>
                <w:b/>
                <w:color w:val="000000"/>
                <w:sz w:val="13"/>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185,612 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Company recorded approximately $0.2 million of measurement period adjustments during the year ended December 31, 2025 to reflect changes in net working capital and tax balances. All measurement period adjustments were offset against goodwill. </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finalized the allocation of the purchase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allocated $55.0 million of the purchase price to intangible assets across the Americas, EMEA, and Asia/Pacific segments. Customer relationships, product technologies, and trademarks are being amortized over 14 years, 8 years, and 13 years, respectively. The following table presents the intangible assets recognized for each reportable segment:</w:t>
      </w:r>
    </w:p>
    <w:tbl>
      <w:tblPr>
        <w:tblW w:w="7309" w:type="dxa"/>
        <w:jc w:val="center"/>
        <w:tblInd w:w="0" w:type="dxa"/>
        <w:tblLayout w:type="fixed"/>
        <w:tblCellMar>
          <w:top w:w="28" w:type="dxa"/>
          <w:left w:w="28" w:type="dxa"/>
          <w:bottom w:w="28" w:type="dxa"/>
          <w:right w:w="28" w:type="dxa"/>
        </w:tblCellMar>
      </w:tblPr>
      <w:tblGrid>
        <w:gridCol w:w="749"/>
        <w:gridCol w:w="659"/>
        <w:gridCol w:w="661"/>
        <w:gridCol w:w="109"/>
        <w:gridCol w:w="109"/>
        <w:gridCol w:w="109"/>
        <w:gridCol w:w="211"/>
        <w:gridCol w:w="616"/>
        <w:gridCol w:w="109"/>
        <w:gridCol w:w="109"/>
        <w:gridCol w:w="109"/>
        <w:gridCol w:w="109"/>
        <w:gridCol w:w="211"/>
        <w:gridCol w:w="466"/>
        <w:gridCol w:w="109"/>
        <w:gridCol w:w="109"/>
        <w:gridCol w:w="109"/>
        <w:gridCol w:w="109"/>
        <w:gridCol w:w="228"/>
        <w:gridCol w:w="779"/>
        <w:gridCol w:w="117"/>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51,300 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$53.1 million of goodwill, which is comprised of $46.9 million in the Asia/Pacific segment, $5.8 million in the Americas segment, and $0.4 million in the EMEA segment. The goodwill is not deductible for tax purposes. The goodwill is primarily attributable to expected synergies.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sales from Dipsol included in the Condensed Consolidated Statement of Operations for the three and six months ended June 30, 2026 are $22.2 million and $41.3 million, respectively. Comparatively, total sales from Dipsol included in the Condensed Consolidated Statement of Operations for the three and six months ended June 30, 2025 were $20.9 million.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Natech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acquired 100% of the outstanding equity interests of Natech, Ltd., (“Natech”) for approximately $6.5 million, which includes an initial cash payment of $6.0 million and a deferred payment of $0.5 million, subject to routine and customary post-closing adjustments, including an adjustment for working capital.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During the third quarter of 2025, the Company settled the working capital adjustment for an immaterial amount. During the first quarter of 2026, the Company finalized the allocation of the purchase price.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CSI</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100% of the outstanding equity interests of Chemical Solutions &amp; Innovations (Pty) Ltd. (“CSI”), for approximately $3.9 million, subject to routine and customary post-closing adjustments, including an adjustment for working capital.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During the third quarter of 2025, the Company settled the working capital adjustment for an immaterial amount. During the fourth quarter of 2025, the Company finalized the allocation of the purchase price.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Dipsol, Natech, and CSI subsequent to the acquisition dates are included in the unaudited Condensed Consolidated Statements of Operations for the three and six months ended June 30,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$0.2 million and $0.9 million, respectively, of acquisition-related expenses including legal, financial, consulting and other costs, compared to $0.8 million and $4.1 million, respectively, during the three and six months ended June 30, 2025. These costs are included in Selling, general and administrative expenses (“SG&amp;A”) in the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pro forma and other information is not presented, as the operations of the acquired assets and businesses are not considered material to the overall operations of the Company for the periods presented.</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3 –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Income Statement- Reporting Comprehensive Income- Expense Disaggregation Disclosures (Subtopic 220-40): Disaggregation of Income Statement Expenses</w:t>
      </w:r>
      <w:r>
        <w:rPr>
          <w:color w:val="000000"/>
        </w:rPr>
        <w:t xml:space="preserve"> </w:t>
      </w:r>
      <w:r>
        <w:rPr>
          <w:rFonts w:ascii="Times New Roman;serif" w:hAnsi="Times New Roman;serif"/>
          <w:b w:val="false"/>
          <w:color w:val="000000"/>
          <w:sz w:val="20"/>
        </w:rPr>
        <w:t>in November 2024</w:t>
      </w:r>
      <w:r>
        <w:rPr>
          <w:rFonts w:ascii="Times New Roman;serif" w:hAnsi="Times New Roman;serif"/>
          <w:b w:val="false"/>
          <w:i/>
          <w:color w:val="000000"/>
          <w:sz w:val="20"/>
        </w:rPr>
        <w:t xml:space="preserve">. </w:t>
      </w:r>
      <w:r>
        <w:rPr>
          <w:rFonts w:ascii="Times New Roman;serif" w:hAnsi="Times New Roman;serif"/>
          <w:b w:val="false"/>
          <w:color w:val="000000"/>
          <w:sz w:val="20"/>
        </w:rPr>
        <w:t>This ASU requires PBEs to disclose, in interim and annual reporting periods, additional 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Goodwill and Other-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in September 2025. This ASU removes all references to prescriptive and sequential software development stages and will now require PBEs to start capitalizing software costs when management has authorized and committed to funding the software project and it is probable that the project will be completed and the software will be used to perform the function intended. The ASU also specifies that the disclosures in Subtopic 360-10, Property, Plant, and Equipment- Overall are required for all capitalized internal-use software costs. ASU 2025-06 is effective for fiscal years beginning after December 15, 2027, with early adoption permitted. The Company is currently evaluating the disclosure requirements of this standard and the impact on its condensed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FASB issued ASU 2025-11, Interim Reporting (Topic 270): Narrow-Scope Improvements in December 2025. This ASU amends Topic 270, by improving the navigability of the required interim disclosures and clarifying when that guidance is applicable. The amendments also provide additional guidance on what disclosures should be provided in interim reporting periods. Additionally, the amendment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disclosure requirements of this standard and the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4 – Business Segments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segments, which are consistent with its reportable segments, reflect the structure of the Company’s internal organization and the manner by which the Chief Operating Decision Maker (“CODM”), which is the Company’s Chief Executive Officer, allocates resources and assesses performance.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for the Company’s operating segments based on segment operating earnings. 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asset information is not regularly provided to or reviewed by the CODM. Therefore, the Company does not disclose segment asset information for each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performance of the Company’s reportable segments for the three and six months ended June 30, 2026 and 2025:</w:t>
      </w:r>
    </w:p>
    <w:tbl>
      <w:tblPr>
        <w:tblW w:w="8973" w:type="dxa"/>
        <w:jc w:val="left"/>
        <w:tblInd w:w="0" w:type="dxa"/>
        <w:tblLayout w:type="fixed"/>
        <w:tblCellMar>
          <w:top w:w="28" w:type="dxa"/>
          <w:left w:w="28" w:type="dxa"/>
          <w:bottom w:w="28" w:type="dxa"/>
          <w:right w:w="28" w:type="dxa"/>
        </w:tblCellMar>
      </w:tblPr>
      <w:tblGrid>
        <w:gridCol w:w="1124"/>
        <w:gridCol w:w="988"/>
        <w:gridCol w:w="99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14" w:type="dxa"/>
        <w:jc w:val="left"/>
        <w:tblInd w:w="0" w:type="dxa"/>
        <w:tblLayout w:type="fixed"/>
        <w:tblCellMar>
          <w:top w:w="28" w:type="dxa"/>
          <w:left w:w="28" w:type="dxa"/>
          <w:bottom w:w="28" w:type="dxa"/>
          <w:right w:w="28" w:type="dxa"/>
        </w:tblCellMar>
      </w:tblPr>
      <w:tblGrid>
        <w:gridCol w:w="1124"/>
        <w:gridCol w:w="988"/>
        <w:gridCol w:w="99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 (4)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 (4)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220,471 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Net sales relate to external customers only. All intersegment sales are eliminated in consolidation.</w:t>
      </w:r>
    </w:p>
    <w:p>
      <w:pPr>
        <w:pStyle w:val="TextBody"/>
        <w:bidi w:val="0"/>
        <w:spacing w:lineRule="auto" w:line="288" w:before="0" w:after="12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Product costs include the costs of raw materials and are recorded in Cost of goods sold in the Company’s Condensed Consolidated Statements of Operations.</w:t>
      </w:r>
    </w:p>
    <w:p>
      <w:pPr>
        <w:pStyle w:val="TextBody"/>
        <w:bidi w:val="0"/>
        <w:spacing w:lineRule="auto" w:line="288" w:before="0" w:after="12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Other segment items include overhead costs of operating the Company’s production facilities and providing chemical management services to customers and direct SG&amp;A costs.</w:t>
      </w:r>
    </w:p>
    <w:p>
      <w:pPr>
        <w:pStyle w:val="TextBody"/>
        <w:bidi w:val="0"/>
        <w:spacing w:lineRule="auto" w:line="288" w:before="0" w:after="12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Product costs includes the $6.0 million amortization of the fair value step-up in Dipsol's inventories as a result of the acquisition during the three and six months ended June 30, 2025, which is comprised of approximately $2.6 million in the Americas segment, $3.0 million in the Asia/Pacific segment, and $0.4 million in the EMEA segment.</w:t>
      </w:r>
    </w:p>
    <w:p>
      <w:pPr>
        <w:pStyle w:val="TextBody"/>
        <w:bidi w:val="0"/>
        <w:spacing w:lineRule="auto" w:line="288" w:before="0" w:after="12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Product costs includes a $3.6 million gain related to immaterial out-of-period adjustments for inventory during the three and six months ended June 30, 2025, which is comprised of approximately $1.4 million in the Americas segment and $2.2 million in the EMEA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segment operating earnings to income (loss) before taxes and equity in net income of associated companies in the Company’s Condensed Consolidated Statements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40"/>
        <w:gridCol w:w="1309"/>
        <w:gridCol w:w="1316"/>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09"/>
        <w:gridCol w:w="109"/>
        <w:gridCol w:w="109"/>
        <w:gridCol w:w="155"/>
      </w:tblGrid>
      <w:tr>
        <w:trPr/>
        <w:tc>
          <w:tcPr>
            <w:tcW w:w="164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and administrative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assets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Company’s reportable segments’ depreciation for the three and six months ended June 30, 2026 and 2025:</w:t>
      </w:r>
    </w:p>
    <w:tbl>
      <w:tblPr>
        <w:tblW w:w="8486"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5 – Net Sales and Revenue Recognition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are realized from the sale of process fluids and services to manufacturers of steel, aluminum, automotive, aerospace, industrial and agricultural equipment, and durable goods. As previously disclosed in the Company’s 2025 Form 10-K, the Company’s five largest customers combined (each composed of multiple subsidiaries or divisions with semiautonomous purchasing authority) accounted for approximately 11% of consolidated net sales for 2025, with its largest customer accounting for approximately 3% of consolidated net sales.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contract assets recorded on its Condensed Consolidated Balance Sheets as of June 30, 2026 or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$4.2 million and $3.6 million of deferred revenue as of June 30, 2026 and December 31, 2025, respectively. For the six months ended June 30, 2026, the Company satisfied materially all of the associated performance obligations and recognized into revenue materially all advance payments received and recorded as of December 31,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net sales by segment and customer industry.</w:t>
      </w: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532,550 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7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483,400 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624,236 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926,314 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certain facilities, vehicles, and machinery and equipment with remaining lease terms up to 15 years. Operating lease expense is recognized on a straight-line basis over the lease term. In addition, the Company has certain land use leases with remaining lease terms up to 89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variable lease costs, sublease income, or finance leases for the three and six months ended June 30, 2026 and 2025. The components of the Company’s lease expense are as follows:</w:t>
      </w:r>
    </w:p>
    <w:tbl>
      <w:tblPr>
        <w:tblW w:w="6899"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1969"/>
        <w:gridCol w:w="1728"/>
        <w:gridCol w:w="173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6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lease liabilities activity: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is as follows:</w:t>
      </w:r>
    </w:p>
    <w:tbl>
      <w:tblPr>
        <w:tblW w:w="6734" w:type="dxa"/>
        <w:jc w:val="center"/>
        <w:tblInd w:w="0" w:type="dxa"/>
        <w:tblLayout w:type="fixed"/>
        <w:tblCellMar>
          <w:top w:w="28" w:type="dxa"/>
          <w:left w:w="28" w:type="dxa"/>
          <w:bottom w:w="28" w:type="dxa"/>
          <w:right w:w="28" w:type="dxa"/>
        </w:tblCellMar>
      </w:tblPr>
      <w:tblGrid>
        <w:gridCol w:w="1411"/>
        <w:gridCol w:w="1242"/>
        <w:gridCol w:w="1247"/>
        <w:gridCol w:w="211"/>
        <w:gridCol w:w="721"/>
        <w:gridCol w:w="271"/>
        <w:gridCol w:w="109"/>
        <w:gridCol w:w="109"/>
        <w:gridCol w:w="109"/>
        <w:gridCol w:w="220"/>
        <w:gridCol w:w="754"/>
        <w:gridCol w:w="330"/>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June 30, 2026 were as follows:</w:t>
      </w:r>
    </w:p>
    <w:tbl>
      <w:tblPr>
        <w:tblW w:w="5330" w:type="dxa"/>
        <w:jc w:val="center"/>
        <w:tblInd w:w="0" w:type="dxa"/>
        <w:tblLayout w:type="fixed"/>
        <w:tblCellMar>
          <w:top w:w="28" w:type="dxa"/>
          <w:left w:w="28" w:type="dxa"/>
          <w:bottom w:w="28" w:type="dxa"/>
          <w:right w:w="28" w:type="dxa"/>
        </w:tblCellMar>
      </w:tblPr>
      <w:tblGrid>
        <w:gridCol w:w="1535"/>
        <w:gridCol w:w="1351"/>
        <w:gridCol w:w="1358"/>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2031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Present value of lease liabilities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 ended December 31, 2024, the Company entered into a new lease agreement for office and laboratory space in Radnor, Pennsylvania for the purpose of relocating its global headquarters. The lease for one portion of the laboratory space commenced during the second quarter of 2026 with a present value of operating lease liabilities of $19.0 million as of June 30, 2026. The lease for the remaining portions of laboratory and office space is expected to commence upon the completion of the lessor-owned leasehold improvements, which is expected to be in the fourth quarter of 2026 or the first quarter of 2027. The cumulative future lease commitment for the remaining laboratory and office space that has not yet commenced is $48.8 million. The future lease commitments relating to the leases that have not yet commenced were not included in the operating lease liabilities balance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 Restructuring and Related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restructuring liabilities that represent nonrecurring charges in connection with simplifying certain organizational structures and operations. Restructuring costs incurred during the three and six months ended June 30, 2026 and 2025 include employee severance and asset-related and facility closure costs, including non-cash asset write-offs, which are recorded in Restructuring and related charges, net in the Company’s Condensed Consolidated Statements of Operations. Restructuring activity primarily consists of the following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2026 Global Business Transformation Program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Costs relating to employee termination benefits costs and asset related charges are expected to be recognized in Restructuring and related charges, net in the Company’s Condensed Consolidated Statements of Operations. Costs relating to other transformation initiatives described above are expected to be recognized within SG&amp;A and Cost of goods sold in the Company’s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2026 program included approximately 100 headcount reductions globally. The Company recorded $4.5 million and $8.9 million of restructuring and related charges relating to the program during the three and six months ended June 30, 2026, respectively.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2022 Global Cost and Optimization Program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initiated a global cost and optimization program (the “2022 program”) to improve its cost structure and drive a more profitable and productive organization. As of June 30, 2026, the 2022 program included restructuring and associated severance costs to reduce headcount by approximately 440 positions globally. In addition, the Company took actions to optimize its facility footprint under this program. These actions are expected to be substantially complete by the end of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$3.6 million and $6.6 million of restructuring and related charges relating to the 2022 program during the three and six months ended June 30, 2026, respectively. Comparatively, the Company recorded $8.8 million and $23.4 million of restructuring and related charges relating to the 2022 program during the three and six months ended June 30, 2025,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the Company’s accrual for its ongoing restructuring plans and facility closure actions are as follows:</w:t>
      </w:r>
    </w:p>
    <w:tbl>
      <w:tblPr>
        <w:tblW w:w="8607" w:type="dxa"/>
        <w:jc w:val="center"/>
        <w:tblInd w:w="0" w:type="dxa"/>
        <w:tblLayout w:type="fixed"/>
        <w:tblCellMar>
          <w:top w:w="28" w:type="dxa"/>
          <w:left w:w="28" w:type="dxa"/>
          <w:bottom w:w="28" w:type="dxa"/>
          <w:right w:w="28" w:type="dxa"/>
        </w:tblCellMar>
      </w:tblPr>
      <w:tblGrid>
        <w:gridCol w:w="1482"/>
        <w:gridCol w:w="1305"/>
        <w:gridCol w:w="1308"/>
        <w:gridCol w:w="663"/>
        <w:gridCol w:w="343"/>
        <w:gridCol w:w="344"/>
        <w:gridCol w:w="109"/>
        <w:gridCol w:w="109"/>
        <w:gridCol w:w="109"/>
        <w:gridCol w:w="663"/>
        <w:gridCol w:w="343"/>
        <w:gridCol w:w="344"/>
        <w:gridCol w:w="109"/>
        <w:gridCol w:w="109"/>
        <w:gridCol w:w="109"/>
        <w:gridCol w:w="412"/>
        <w:gridCol w:w="383"/>
        <w:gridCol w:w="363"/>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2022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2025</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and facility closure charges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(11,340)</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against the reserve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June 30, 2026</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8,807</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plans for the closure of certain manufacturing and non-manufacturing facilities, the Company has made available for sale certain facilities and properties. As of June 30, 2026, the Company classified properties in the Americas segment with an aggregate book value of approximately $1.2 million as held-for-sale. These assets are recorded in Prepaid expenses and other current assets in the Company’s Condensed Consolidated Balance Sheets. The Company expects to complete the sale of these properties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 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$3.7 million and $6.9 million, respectively, of share-based compensation expense in its Condensed Consolidated Statements of Operations for each of the three and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remaining unrecognized compensation expense related to non-vested restricted shares was fully recognized.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both"/>
        <w:rPr/>
      </w:pPr>
      <w:r>
        <w:rPr>
          <w:rFonts w:ascii="Times New Roman;serif" w:hAnsi="Times New Roman;serif"/>
          <w:b w:val="false"/>
          <w:color w:val="000000"/>
          <w:sz w:val="20"/>
        </w:rPr>
        <w:t>During the six months ended June 30, 2026, the Company granted 76,884 restricted stock units under its LTIP</w:t>
      </w:r>
      <w:r>
        <w:rPr>
          <w:rFonts w:ascii="Times New Roman;serif" w:hAnsi="Times New Roman;serif"/>
          <w:b w:val="false"/>
          <w:color w:val="000000"/>
          <w:sz w:val="20"/>
          <w:shd w:fill="FFFFFF" w:val="clear"/>
        </w:rPr>
        <w:t xml:space="preserve">, which are subject to time-based vesting, generally over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to three years.</w:t>
      </w:r>
      <w:r>
        <w:rPr>
          <w:color w:val="000000"/>
        </w:rPr>
        <w:t xml:space="preserve"> </w:t>
      </w:r>
      <w:r>
        <w:rPr>
          <w:rFonts w:ascii="Times New Roman;serif" w:hAnsi="Times New Roman;serif"/>
          <w:b w:val="false"/>
          <w:color w:val="000000"/>
          <w:sz w:val="20"/>
        </w:rPr>
        <w:t>The fair value of these grants is based on the closing price of the Company’s common stock on the date of grant. As of June 30, 2026, unrecognized compensation expense related to non-vested restricted stock units was $11.7 million, to be recognized over a weighted average remaining period of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120"/>
        <w:jc w:val="both"/>
        <w:rPr/>
      </w:pPr>
      <w:r>
        <w:rPr>
          <w:rFonts w:ascii="Times New Roman;serif" w:hAnsi="Times New Roman;serif"/>
          <w:b w:val="false"/>
          <w:color w:val="000000"/>
          <w:sz w:val="20"/>
        </w:rPr>
        <w:t xml:space="preserve">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w:t>
      </w:r>
      <w:r>
        <w:rPr>
          <w:rFonts w:ascii="Times New Roman;serif" w:hAnsi="Times New Roman;serif"/>
          <w:b w:val="false"/>
          <w:color w:val="000000"/>
          <w:sz w:val="20"/>
          <w:shd w:fill="FFFFFF" w:val="clear"/>
        </w:rPr>
        <w:t>three years</w:t>
      </w:r>
      <w:r>
        <w:rPr>
          <w:color w:val="000000"/>
        </w:rPr>
        <w:t xml:space="preserve"> </w:t>
      </w:r>
      <w:r>
        <w:rPr>
          <w:rFonts w:ascii="Times New Roman;serif" w:hAnsi="Times New Roman;serif"/>
          <w:b w:val="false"/>
          <w:color w:val="000000"/>
          <w:sz w:val="20"/>
        </w:rPr>
        <w:t>and the measurement period of the market-based and performance-based objectives is generally from January 1 of the year of grant through December 31 of the year prior to issuance of the shares.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mentioned above, a portion of the Company’s PSUs are subject to the achievement of the Company’s TSR relative to the performance of a selected peer group. For PSUs subject to relative TSR performance granted in 2026, the Company’s peer group was the S&amp;P Composite 1500 Chemicals index.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Compensation expense for PSUs is measured based on the grant date fair value and is recognized on a straight-line vesting method basis over the applicable vesting period. During the six months ended June 30, 2026, the Company granted 29,313 PSUs with a ROIC condition. The fair value of these grants is based on the closing trading price of the Company’s common stock on the date of grant. During the six months ended June 30, 2026, the Company granted 29,202 PSUs with a relative TSR condition. These PSUs are valued using a Monte Carlo simulation on the grant date and had a grant-date fair value of $109.28 per unit, which was developed based on the assumptions set forth in the table below:</w:t>
      </w:r>
    </w:p>
    <w:tbl>
      <w:tblPr>
        <w:tblW w:w="2655" w:type="dxa"/>
        <w:jc w:val="center"/>
        <w:tblInd w:w="0" w:type="dxa"/>
        <w:tblLayout w:type="fixed"/>
        <w:tblCellMar>
          <w:top w:w="28" w:type="dxa"/>
          <w:left w:w="28" w:type="dxa"/>
          <w:bottom w:w="28" w:type="dxa"/>
          <w:right w:w="28" w:type="dxa"/>
        </w:tblCellMar>
      </w:tblPr>
      <w:tblGrid>
        <w:gridCol w:w="679"/>
        <w:gridCol w:w="596"/>
        <w:gridCol w:w="600"/>
        <w:gridCol w:w="228"/>
        <w:gridCol w:w="228"/>
        <w:gridCol w:w="32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br/>
              <w:t xml:space="preserve">Grants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$8.2 million of total unrecognized compensation cost related to PSUs, which the Company expects to recognize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 Pension and Other Postretirement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(income) are as follows:</w:t>
      </w:r>
    </w:p>
    <w:tbl>
      <w:tblPr>
        <w:tblW w:w="10205" w:type="dxa"/>
        <w:jc w:val="center"/>
        <w:tblInd w:w="0" w:type="dxa"/>
        <w:tblLayout w:type="fixed"/>
        <w:tblCellMar>
          <w:top w:w="28" w:type="dxa"/>
          <w:left w:w="28" w:type="dxa"/>
          <w:bottom w:w="28" w:type="dxa"/>
          <w:right w:w="28" w:type="dxa"/>
        </w:tblCellMar>
      </w:tblPr>
      <w:tblGrid>
        <w:gridCol w:w="733"/>
        <w:gridCol w:w="376"/>
        <w:gridCol w:w="355"/>
        <w:gridCol w:w="211"/>
        <w:gridCol w:w="467"/>
        <w:gridCol w:w="109"/>
        <w:gridCol w:w="109"/>
        <w:gridCol w:w="109"/>
        <w:gridCol w:w="109"/>
        <w:gridCol w:w="354"/>
        <w:gridCol w:w="286"/>
        <w:gridCol w:w="213"/>
        <w:gridCol w:w="109"/>
        <w:gridCol w:w="109"/>
        <w:gridCol w:w="109"/>
        <w:gridCol w:w="230"/>
        <w:gridCol w:w="312"/>
        <w:gridCol w:w="119"/>
        <w:gridCol w:w="119"/>
        <w:gridCol w:w="119"/>
        <w:gridCol w:w="119"/>
        <w:gridCol w:w="230"/>
        <w:gridCol w:w="451"/>
        <w:gridCol w:w="119"/>
        <w:gridCol w:w="109"/>
        <w:gridCol w:w="109"/>
        <w:gridCol w:w="109"/>
        <w:gridCol w:w="211"/>
        <w:gridCol w:w="467"/>
        <w:gridCol w:w="109"/>
        <w:gridCol w:w="109"/>
        <w:gridCol w:w="109"/>
        <w:gridCol w:w="109"/>
        <w:gridCol w:w="354"/>
        <w:gridCol w:w="325"/>
        <w:gridCol w:w="246"/>
        <w:gridCol w:w="109"/>
        <w:gridCol w:w="109"/>
        <w:gridCol w:w="109"/>
        <w:gridCol w:w="226"/>
        <w:gridCol w:w="419"/>
        <w:gridCol w:w="117"/>
        <w:gridCol w:w="117"/>
        <w:gridCol w:w="117"/>
        <w:gridCol w:w="117"/>
        <w:gridCol w:w="226"/>
        <w:gridCol w:w="419"/>
        <w:gridCol w:w="178"/>
      </w:tblGrid>
      <w:tr>
        <w:trPr/>
        <w:tc>
          <w:tcPr>
            <w:tcW w:w="7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 amortization</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Employer Contributions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$1.5 million of contributions have been made to the Company’s U.S. and foreign pension plans. Contributions to other postretirement benefit plans were less than $0.1 million. Taking into consideration current minimum cash contribution requirements, the Company currently expects to make full year cash contributions of approximately $4.4 million to its U.S. and foreign pension plans and approximately $0.2 million to its other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Note 10 – Other Income (Expense), net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Other income (expense), net are as follows:</w:t>
      </w:r>
    </w:p>
    <w:tbl>
      <w:tblPr>
        <w:tblW w:w="10205" w:type="dxa"/>
        <w:jc w:val="center"/>
        <w:tblInd w:w="0" w:type="dxa"/>
        <w:tblLayout w:type="fixed"/>
        <w:tblCellMar>
          <w:top w:w="28" w:type="dxa"/>
          <w:left w:w="28" w:type="dxa"/>
          <w:bottom w:w="28" w:type="dxa"/>
          <w:right w:w="28" w:type="dxa"/>
        </w:tblCellMar>
      </w:tblPr>
      <w:tblGrid>
        <w:gridCol w:w="2057"/>
        <w:gridCol w:w="1778"/>
        <w:gridCol w:w="1788"/>
        <w:gridCol w:w="211"/>
        <w:gridCol w:w="466"/>
        <w:gridCol w:w="109"/>
        <w:gridCol w:w="109"/>
        <w:gridCol w:w="109"/>
        <w:gridCol w:w="109"/>
        <w:gridCol w:w="211"/>
        <w:gridCol w:w="534"/>
        <w:gridCol w:w="109"/>
        <w:gridCol w:w="109"/>
        <w:gridCol w:w="109"/>
        <w:gridCol w:w="109"/>
        <w:gridCol w:w="221"/>
        <w:gridCol w:w="490"/>
        <w:gridCol w:w="114"/>
        <w:gridCol w:w="114"/>
        <w:gridCol w:w="114"/>
        <w:gridCol w:w="114"/>
        <w:gridCol w:w="388"/>
        <w:gridCol w:w="441"/>
        <w:gridCol w:w="292"/>
      </w:tblGrid>
      <w:tr>
        <w:trPr/>
        <w:tc>
          <w:tcPr>
            <w:tcW w:w="205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 refunds and other related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disposals of property, plant, equipment and other assets, net</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w:t>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(4,601)</w:t>
            </w:r>
          </w:p>
        </w:tc>
        <w:tc>
          <w:tcPr>
            <w:tcW w:w="29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costs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reimbursement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r>
      <w:tr>
        <w:trPr/>
        <w:tc>
          <w:tcPr>
            <w:tcW w:w="5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r>
      <w:tr>
        <w:trPr/>
        <w:tc>
          <w:tcPr>
            <w:tcW w:w="5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r>
    </w:tbl>
    <w:p>
      <w:pPr>
        <w:pStyle w:val="TextBody"/>
        <w:bidi w:val="0"/>
        <w:spacing w:lineRule="auto" w:line="288" w:before="0" w:after="120"/>
        <w:jc w:val="both"/>
        <w:rPr/>
      </w:pPr>
      <w:r>
        <w:rPr>
          <w:rFonts w:ascii="Times New Roman;serif" w:hAnsi="Times New Roman;serif"/>
          <w:b w:val="false"/>
          <w:color w:val="000000"/>
          <w:sz w:val="20"/>
        </w:rPr>
        <w:t xml:space="preserve">During the second quarter of 2026, the Company recorded Debt modification and extinguishment costs of approximately $1.7 million which includes the write-off of certain previously unamortized deferred financing costs as well as a portion of the third-party costs incurred to execute an amendment to the Company’s primary credit facility. See Note 14, </w:t>
      </w:r>
      <w:r>
        <w:rPr>
          <w:rFonts w:ascii="Times New Roman;serif" w:hAnsi="Times New Roman;serif"/>
          <w:b w:val="false"/>
          <w:i/>
          <w:color w:val="000000"/>
          <w:sz w:val="20"/>
        </w:rPr>
        <w:t>Debt</w:t>
      </w:r>
      <w:r>
        <w:rPr>
          <w:rFonts w:ascii="Times New Roman;serif" w:hAnsi="Times New Roman;serif"/>
          <w:b w:val="false"/>
          <w:color w:val="000000"/>
          <w:sz w:val="20"/>
        </w:rPr>
        <w:t>, for more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(Loss) gain on disposals of property, plant, equipment and other assets, net includes the gain of $2.2 million recognized for the sale of certain property previously classified as held for sale during the six months ended June 30, 2025. </w:t>
      </w:r>
    </w:p>
    <w:p>
      <w:pPr>
        <w:pStyle w:val="TextBody"/>
        <w:bidi w:val="0"/>
        <w:spacing w:lineRule="auto" w:line="288" w:before="0" w:after="120"/>
        <w:jc w:val="both"/>
        <w:rPr/>
      </w:pPr>
      <w:r>
        <w:rPr>
          <w:rFonts w:ascii="Times New Roman;serif" w:hAnsi="Times New Roman;serif"/>
          <w:b w:val="false"/>
          <w:color w:val="000000"/>
          <w:sz w:val="20"/>
        </w:rPr>
        <w:t xml:space="preserve">Foreign exchange gains (losses), net includes a $0.6 million foreign exchange gain and a $1.4 million foreign exchange loss, respectively, during the three and six months ended June 30, 2025 relating to the change in fair value of the foreign exchange forward contracts entered into in connection with the acquisition of Dipsol.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 liability claim reimbursement reflects insurance recoveries relating to a previous payment by the Company in connection with a product liability dispute with a customer.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11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for the three and six months ended June 30, 2026 were 35.9% and 33.4%, respectively, compared to (8.3)% and (26.8)%, respectively, for the three and six months ended June 30, 2025. The Company’s effective tax rate for the three and six months ended June 30, 2026 was largely driven by our mix of pre-tax earnings and withholding taxes. Comparatively, the effective tax rate for the three months ended June 30, 2025 was largely driven by our mix of pre-tax earnings, goodwill impairment and withholding taxes offset by return to provision adjustments and net favorable reductions in uncertain tax positions, while the effective tax rate for the six months ended June 30, 2025 was largely driven by our mix of pre-tax earnings, goodwill impairment, return to provision adjustments and withholding taxes offset by net favorable reductions in uncertain tax positions.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12 – Earnings Per Share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earnings per share calculations:</w:t>
      </w:r>
    </w:p>
    <w:tbl>
      <w:tblPr>
        <w:tblW w:w="10205" w:type="dxa"/>
        <w:jc w:val="center"/>
        <w:tblInd w:w="0" w:type="dxa"/>
        <w:tblLayout w:type="fixed"/>
        <w:tblCellMar>
          <w:top w:w="28" w:type="dxa"/>
          <w:left w:w="28" w:type="dxa"/>
          <w:bottom w:w="28" w:type="dxa"/>
          <w:right w:w="28" w:type="dxa"/>
        </w:tblCellMar>
      </w:tblPr>
      <w:tblGrid>
        <w:gridCol w:w="1783"/>
        <w:gridCol w:w="1540"/>
        <w:gridCol w:w="1551"/>
        <w:gridCol w:w="211"/>
        <w:gridCol w:w="721"/>
        <w:gridCol w:w="109"/>
        <w:gridCol w:w="109"/>
        <w:gridCol w:w="109"/>
        <w:gridCol w:w="109"/>
        <w:gridCol w:w="211"/>
        <w:gridCol w:w="790"/>
        <w:gridCol w:w="109"/>
        <w:gridCol w:w="109"/>
        <w:gridCol w:w="109"/>
        <w:gridCol w:w="109"/>
        <w:gridCol w:w="211"/>
        <w:gridCol w:w="721"/>
        <w:gridCol w:w="109"/>
        <w:gridCol w:w="109"/>
        <w:gridCol w:w="109"/>
        <w:gridCol w:w="109"/>
        <w:gridCol w:w="211"/>
        <w:gridCol w:w="790"/>
        <w:gridCol w:w="157"/>
      </w:tblGrid>
      <w:tr>
        <w:trPr/>
        <w:tc>
          <w:tcPr>
            <w:tcW w:w="178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17,109,417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17,572,447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17,217,771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17,605,920</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loss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17,109,417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17,572,447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17,217,771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17,605,920</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24,621</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17,199,666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17,592,971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17,630,541</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stock options, restricted stock units, and PSUs are not included in the diluted earnings per share calculation when the effect would be anti-dilutive. The number of anti-dilutive shares were 28,040 and 39,405, respectively, for the three and six months ended June 30, 2026, compared to 60,117 and 67,575, respectively,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 Goodwill and Other Intangible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six months ended June 30, 2026 were as follows:</w:t>
      </w:r>
    </w:p>
    <w:tbl>
      <w:tblPr>
        <w:tblW w:w="8317" w:type="dxa"/>
        <w:jc w:val="center"/>
        <w:tblInd w:w="0" w:type="dxa"/>
        <w:tblLayout w:type="fixed"/>
        <w:tblCellMar>
          <w:top w:w="28" w:type="dxa"/>
          <w:left w:w="28" w:type="dxa"/>
          <w:bottom w:w="28" w:type="dxa"/>
          <w:right w:w="28" w:type="dxa"/>
        </w:tblCellMar>
      </w:tblPr>
      <w:tblGrid>
        <w:gridCol w:w="1052"/>
        <w:gridCol w:w="927"/>
        <w:gridCol w:w="930"/>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5977" w:type="dxa"/>
        <w:jc w:val="center"/>
        <w:tblInd w:w="0" w:type="dxa"/>
        <w:tblLayout w:type="fixed"/>
        <w:tblCellMar>
          <w:top w:w="28" w:type="dxa"/>
          <w:left w:w="28" w:type="dxa"/>
          <w:bottom w:w="28" w:type="dxa"/>
          <w:right w:w="28" w:type="dxa"/>
        </w:tblCellMar>
      </w:tblPr>
      <w:tblGrid>
        <w:gridCol w:w="1054"/>
        <w:gridCol w:w="925"/>
        <w:gridCol w:w="931"/>
        <w:gridCol w:w="218"/>
        <w:gridCol w:w="854"/>
        <w:gridCol w:w="112"/>
        <w:gridCol w:w="109"/>
        <w:gridCol w:w="109"/>
        <w:gridCol w:w="109"/>
        <w:gridCol w:w="218"/>
        <w:gridCol w:w="854"/>
        <w:gridCol w:w="112"/>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692,547 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Accumulated impairment losses </w:t>
            </w:r>
            <w:r>
              <w:rPr>
                <w:rFonts w:ascii="Times New Roman;serif" w:hAnsi="Times New Roman;serif"/>
                <w:b w:val="false"/>
                <w:color w:val="000000"/>
                <w:sz w:val="13"/>
              </w:rPr>
              <w:t>(1)</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impairment losses are attributable to the non-cash impairment charges of $88.8 million and $93.0 million to write down the carrying value of the EMEA reporting unit during the second quarter of 2025 and the fourth quarter of 2022, respectively. These amounts include the impact of currency translation.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completes its annual goodwill and indefinite-lived intangible asset impairment tests during the fourth quarter of each year, or more frequently if triggering events indicate a possible impairment in one or more of its reporting units. The Company continually evaluates financial performance, economic conditions and other recent developments in assessing if a triggering event indicates that the carrying value of goodwill, indefinite-lived, or long-lived assets might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As a result of this conclusion, the Company completed an interim impairment assessment as of June 30, 2025 for its EMEA reporting unit and the related asset group. The Company concluded that the undiscounted cash flows exceeded the carrying value of the EMEA asset group, and therefore that the long-lived assets were not impaired. In completing a quantitative goodwill impairment test, the Company compares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three and six months ended June 30,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for definite-lived intangible assets were as follows:</w:t>
      </w:r>
    </w:p>
    <w:tbl>
      <w:tblPr>
        <w:tblW w:w="10205" w:type="dxa"/>
        <w:jc w:val="center"/>
        <w:tblInd w:w="0" w:type="dxa"/>
        <w:tblLayout w:type="fixed"/>
        <w:tblCellMar>
          <w:top w:w="28" w:type="dxa"/>
          <w:left w:w="28" w:type="dxa"/>
          <w:bottom w:w="28" w:type="dxa"/>
          <w:right w:w="28" w:type="dxa"/>
        </w:tblCellMar>
      </w:tblPr>
      <w:tblGrid>
        <w:gridCol w:w="678"/>
        <w:gridCol w:w="314"/>
        <w:gridCol w:w="315"/>
        <w:gridCol w:w="265"/>
        <w:gridCol w:w="481"/>
        <w:gridCol w:w="450"/>
        <w:gridCol w:w="109"/>
        <w:gridCol w:w="109"/>
        <w:gridCol w:w="109"/>
        <w:gridCol w:w="481"/>
        <w:gridCol w:w="522"/>
        <w:gridCol w:w="409"/>
        <w:gridCol w:w="109"/>
        <w:gridCol w:w="109"/>
        <w:gridCol w:w="109"/>
        <w:gridCol w:w="260"/>
        <w:gridCol w:w="387"/>
        <w:gridCol w:w="394"/>
        <w:gridCol w:w="114"/>
        <w:gridCol w:w="114"/>
        <w:gridCol w:w="114"/>
        <w:gridCol w:w="475"/>
        <w:gridCol w:w="431"/>
        <w:gridCol w:w="352"/>
        <w:gridCol w:w="109"/>
        <w:gridCol w:w="109"/>
        <w:gridCol w:w="109"/>
        <w:gridCol w:w="262"/>
        <w:gridCol w:w="392"/>
        <w:gridCol w:w="389"/>
        <w:gridCol w:w="109"/>
        <w:gridCol w:w="109"/>
        <w:gridCol w:w="109"/>
        <w:gridCol w:w="456"/>
        <w:gridCol w:w="406"/>
        <w:gridCol w:w="436"/>
      </w:tblGrid>
      <w:tr>
        <w:trPr/>
        <w:tc>
          <w:tcPr>
            <w:tcW w:w="6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rights to sell</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376,289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549,803</w:t>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formulations and product technology</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81,753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121,913</w:t>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464,293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672,351</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amortizes definite-lived intangible assets on a straight-line basis over their useful lives. The Company recorded amortization expense as follows:</w:t>
      </w:r>
    </w:p>
    <w:tbl>
      <w:tblPr>
        <w:tblW w:w="7095" w:type="dxa"/>
        <w:jc w:val="center"/>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Estimated annual aggregate amortization expense for the current year and subsequent five years is as follows:</w:t>
      </w:r>
    </w:p>
    <w:tbl>
      <w:tblPr>
        <w:tblW w:w="4172" w:type="dxa"/>
        <w:jc w:val="center"/>
        <w:tblInd w:w="0" w:type="dxa"/>
        <w:tblLayout w:type="fixed"/>
        <w:tblCellMar>
          <w:top w:w="28" w:type="dxa"/>
          <w:left w:w="28" w:type="dxa"/>
          <w:bottom w:w="28" w:type="dxa"/>
          <w:right w:w="28" w:type="dxa"/>
        </w:tblCellMar>
      </w:tblPr>
      <w:tblGrid>
        <w:gridCol w:w="1172"/>
        <w:gridCol w:w="1031"/>
        <w:gridCol w:w="1037"/>
        <w:gridCol w:w="211"/>
        <w:gridCol w:w="298"/>
        <w:gridCol w:w="423"/>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30,857</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61,138</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59,827</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2031</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58,545</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indefinite-lived intangible assets for trademarks and tradenames totaling $197.2 million and $201.2 million, respectively.</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debt:</w:t>
      </w:r>
    </w:p>
    <w:tbl>
      <w:tblPr>
        <w:tblW w:w="9696"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09"/>
        <w:gridCol w:w="109"/>
        <w:gridCol w:w="109"/>
        <w:gridCol w:w="211"/>
        <w:gridCol w:w="826"/>
        <w:gridCol w:w="109"/>
        <w:gridCol w:w="109"/>
        <w:gridCol w:w="109"/>
        <w:gridCol w:w="109"/>
        <w:gridCol w:w="250"/>
        <w:gridCol w:w="250"/>
        <w:gridCol w:w="251"/>
        <w:gridCol w:w="127"/>
        <w:gridCol w:w="127"/>
        <w:gridCol w:w="127"/>
        <w:gridCol w:w="246"/>
        <w:gridCol w:w="965"/>
        <w:gridCol w:w="258"/>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229,088 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482,144 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148,477 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876,149 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871,210 </w:t>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(15,654)</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(35,657)</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834,901 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along with its wholly owned subsidiary, Quaker Houghton B.V., as borrowers, maintain a credit facility with Bank of America, N.A., as administrative agent, U.S. dollar swing line lender and letter of credit issuer, Bank of America Europe Designated Active Company, as Euro Swing Line Lender, certain guarantors and other lenders. The credit facility, as amended in June 2022 (the “Credit Facility”), established (A) a $150.0 million Euro equivalent senior secured term loan, (B) a $600.0 million senior secured term loan, and (C) a $500.0 million senior secured revolving credit facility, each maturing in June 2027.</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2026, the Company and Quaker Houghton B.V., as borrowers, entered into a fourth amendment to the Credit Facility with the lenders. As amended, the Credit Facility (the “Amended Credit Facility”) established (A) a $250.0 million Euro equivalent senior secured term loan (the “Euro Term Loan”) (B) a $550.0 million senior secured term loan (the “U.S. Term Loan”) and (C) an $800.0 million senior secured revolving credit facility (the “Revolver”), each maturing in April 2031. The Company used the proceeds from the Amended Credit Facility to, among other things, repay in full all outstanding loans and terminate the revolving credit commitments under the existing Credit Facility. The Company has the right to increase the amount of the Amended Credit Facility by an aggregate amount not to exceed (a) the greater of (i) $331.0 million and (ii) 100% of Consolidated EBITDA, subject to certain conditions including the agreement to provide financing by any lender providing such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governing the Amended Credit Facility (the “Amended Credit Agreement”) contains customary affirmative and negative covenants, financial covenants and events of default. The Amended Credit Agreement contains a number of customary business covenants, including without limitation restrictions on (a) the incurrence of additional indebtedness by the Company or certain of its subsidiaries, (b) investments in and acquisitions of other businesses, lines of business and divisions by the Company or certain of its subsidiaries, (c) the making of dividends or capital stock purchases by the Company or certain of its subsidiaries and (d) dispositions of assets by the Company or certain of its subsidiaries. The Company is permitted to make regularly scheduled dividend payments in an annual amount not exceeding $30.0 million or 5% of the annual market capitalization of the Company, whichever is greater, and is permitted to make other dividend and share repurchases in annual amounts not exceeding $33.0 million or 10% of Consolidated EBITDA, whichever is greater, if there is no default. Additionally, if there is no default and the consolidated net leverage ratio is less than 3.00 to 1.00, then the Company may make unlimited restricted payments.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covenants contained in the Amended Credit Agreement include a consolidated interest coverage ratio test and a consolidated net leverage ratio test. Generally, the consolidated net leverage ratio at the end of a quarter may not be greater than 4.25 to 1.00, subject to a permitted increase during a four-quarter period after certain acquisitions. The Company has the option of replacing the consolidated net leverage ratio test with a consolidated secured net leverage ratio test if the Company issues certain types of unsecured notes, subject to certain customary limitations. Customary events of default in the Amended Credit Agreement include, without limitation, defaults for non-payment, breach of representations and warranties, non-performance of covenants, cross-defaults, insolvency, and a change of control of the Company in certain circumstances. The occurrence of an event of default under the Amended Credit Agreement could result in all loans and other obligations becoming immediately due and payable and the Amended Credit Facility being terminated.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all of the Amended Credit Facility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variable interest rate incurred on the outstanding borrowings under the Amended Credit Facility and Credit Facility during the three and six months ended June 30, 2026 was approximately 4.6% and 4.7%, respectively. As of June 30, 2026, the interest rate on the outstanding borrowings under the Amended Credit Facility was approximately 4.4%. As part of the Credit Facility, in addition to paying interest on outstanding principal, the Company was also required to pay an annual commitment fee ranging from 0.150% to 0.275% related to unutilized commitments under the senior secured revolving credit facility, depending on the Company’s consolidated net leverage ratio. As part of the Amended Credit Facility, the range of the annual commitment fee was changed from 0.125% to 0.275%.</w:t>
      </w:r>
    </w:p>
    <w:p>
      <w:pPr>
        <w:pStyle w:val="TextBody"/>
        <w:bidi w:val="0"/>
        <w:spacing w:lineRule="auto" w:line="288" w:before="0" w:after="120"/>
        <w:jc w:val="left"/>
        <w:rPr/>
      </w:pPr>
      <w:r>
        <w:rPr>
          <w:rFonts w:ascii="Times New Roman;serif" w:hAnsi="Times New Roman;serif"/>
          <w:b w:val="false"/>
          <w:color w:val="000000"/>
          <w:sz w:val="20"/>
        </w:rPr>
        <w:t>As of June 30, 2026, the Company had unused capacity under the Revolver of approximately $727.6 million, which is net of bank letters of credit of approximately $2.4 million</w:t>
      </w:r>
      <w:r>
        <w:rPr>
          <w:rFonts w:ascii="Times New Roman;serif" w:hAnsi="Times New Roman;serif"/>
          <w:b w:val="false"/>
          <w:color w:val="000000"/>
          <w:sz w:val="22"/>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Prior to executing the Amended Credit Facility, the Company had $0.5 million of debt issuance costs recorded as a reduction of Long-term debt and $1.1 million of debt issuance costs recorded within Other non-current assets on the Condensed Consolidated Balance Sheets. In connection with executing the Amended Credit Facility, the Company recorded debt modification and extinguishment costs of approximately $1.7 million which includes the write-off of certain previously unamortized debt issuance costs and a portion of third-party costs that were incurred to execute the Amended Credit Facility. Also in connection with executing the Amended Credit Facility, during the second quarter of 2026 the Company capitalized $6.2 million of creditor debt issuance costs and certain third-party costs. Approximately $2.4 million of the capitalized costs were attributed to the Euro Term Loan and U.S. Term Loan and were recorded as a direct reduction of Long-term debt on the Condensed Consolidated Balance Sheet. Approximately $3.8 million of the capitalized costs were attributed to the Revolver and recorded within Other non-current assets on the Condensed Consolidated Balance Sheets. These capitalized costs, as well as the previously capitalized costs that were not written off, will collectively be amortized into Interest expense over the five-year term of the Amended Credit Facility. As of June 30, 2026, the Company had $2.7 million of debt issuance costs recorded as a reduction of Long-term debt and $4.6 million of debt issuance costs recorded within Other non-current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Industrial development bonds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Bank lines of credit and other debt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June 30, 2026 was approximately $63 million.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bank letters of credit described in the “Credit facilities” subsection above, the Company maintains certain financial and other guarantees as off-balance sheet arrangements. Collectively, the total bank letters of credit and guarantees outstanding as of June 30, 2026 were approximately $7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the following debt related expenses included within Interest expense in the Condensed Consolidated Statements of Operations:</w:t>
      </w:r>
    </w:p>
    <w:tbl>
      <w:tblPr>
        <w:tblW w:w="8241" w:type="dxa"/>
        <w:jc w:val="center"/>
        <w:tblInd w:w="0" w:type="dxa"/>
        <w:tblLayout w:type="fixed"/>
        <w:tblCellMar>
          <w:top w:w="28" w:type="dxa"/>
          <w:left w:w="28" w:type="dxa"/>
          <w:bottom w:w="28" w:type="dxa"/>
          <w:right w:w="28" w:type="dxa"/>
        </w:tblCellMar>
      </w:tblPr>
      <w:tblGrid>
        <w:gridCol w:w="1087"/>
        <w:gridCol w:w="952"/>
        <w:gridCol w:w="960"/>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311"/>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21,618 </w:t>
            </w:r>
          </w:p>
        </w:tc>
        <w:tc>
          <w:tcPr>
            <w:tcW w:w="31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22,324 </w:t>
            </w:r>
          </w:p>
        </w:tc>
        <w:tc>
          <w:tcPr>
            <w:tcW w:w="3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Based on the variable interest rates associated with the Amended Credit Facility and the Credit Facility, as of June 30, 2026 and as of December 31, 2025, the amounts at which the Company’s total debt were recorded are not materially different from their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 Accumulated Other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reclassifications from and resulting balances of accumulated other comprehensive income (“AOCI”):</w:t>
      </w:r>
    </w:p>
    <w:tbl>
      <w:tblPr>
        <w:tblW w:w="10205" w:type="dxa"/>
        <w:jc w:val="left"/>
        <w:tblInd w:w="0" w:type="dxa"/>
        <w:tblLayout w:type="fixed"/>
        <w:tblCellMar>
          <w:top w:w="28" w:type="dxa"/>
          <w:left w:w="28" w:type="dxa"/>
          <w:bottom w:w="28" w:type="dxa"/>
          <w:right w:w="28" w:type="dxa"/>
        </w:tblCellMar>
      </w:tblPr>
      <w:tblGrid>
        <w:gridCol w:w="1279"/>
        <w:gridCol w:w="791"/>
        <w:gridCol w:w="773"/>
        <w:gridCol w:w="219"/>
        <w:gridCol w:w="901"/>
        <w:gridCol w:w="113"/>
        <w:gridCol w:w="109"/>
        <w:gridCol w:w="109"/>
        <w:gridCol w:w="109"/>
        <w:gridCol w:w="211"/>
        <w:gridCol w:w="759"/>
        <w:gridCol w:w="109"/>
        <w:gridCol w:w="109"/>
        <w:gridCol w:w="109"/>
        <w:gridCol w:w="109"/>
        <w:gridCol w:w="363"/>
        <w:gridCol w:w="829"/>
        <w:gridCol w:w="188"/>
        <w:gridCol w:w="109"/>
        <w:gridCol w:w="109"/>
        <w:gridCol w:w="109"/>
        <w:gridCol w:w="253"/>
        <w:gridCol w:w="742"/>
        <w:gridCol w:w="131"/>
        <w:gridCol w:w="109"/>
        <w:gridCol w:w="109"/>
        <w:gridCol w:w="109"/>
        <w:gridCol w:w="211"/>
        <w:gridCol w:w="864"/>
        <w:gridCol w:w="161"/>
      </w:tblGrid>
      <w:tr>
        <w:trPr/>
        <w:tc>
          <w:tcPr>
            <w:tcW w:w="12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Currency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w:t>
            </w:r>
          </w:p>
          <w:p>
            <w:pPr>
              <w:pStyle w:val="TableContents"/>
              <w:bidi w:val="0"/>
              <w:spacing w:lineRule="auto" w:line="288" w:before="0" w:after="0"/>
              <w:jc w:val="center"/>
              <w:rPr/>
            </w:pPr>
            <w:r>
              <w:rPr>
                <w:rFonts w:ascii="Times New Roman;serif" w:hAnsi="Times New Roman;serif"/>
                <w:b/>
                <w:color w:val="000000"/>
                <w:sz w:val="20"/>
              </w:rPr>
              <w:t xml:space="preserve">Adjustments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w:t>
              <w:br/>
              <w:t>(Loss)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w:t>
              <w:br/>
              <w:t xml:space="preserve">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(114,619)</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(125,359)</w:t>
            </w:r>
          </w:p>
        </w:tc>
        <w:tc>
          <w:tcPr>
            <w:tcW w:w="16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(113,975)</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(121,488)</w:t>
            </w:r>
          </w:p>
        </w:tc>
        <w:tc>
          <w:tcPr>
            <w:tcW w:w="16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9"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(165,716)</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(175,655)</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60,131 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(103,831)</w:t>
            </w:r>
          </w:p>
        </w:tc>
        <w:tc>
          <w:tcPr>
            <w:tcW w:w="1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8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(115,181)</w:t>
            </w:r>
          </w:p>
        </w:tc>
        <w:tc>
          <w:tcPr>
            <w:tcW w:w="1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04"/>
        <w:gridCol w:w="830"/>
        <w:gridCol w:w="833"/>
        <w:gridCol w:w="211"/>
        <w:gridCol w:w="898"/>
        <w:gridCol w:w="109"/>
        <w:gridCol w:w="109"/>
        <w:gridCol w:w="109"/>
        <w:gridCol w:w="109"/>
        <w:gridCol w:w="211"/>
        <w:gridCol w:w="761"/>
        <w:gridCol w:w="109"/>
        <w:gridCol w:w="109"/>
        <w:gridCol w:w="109"/>
        <w:gridCol w:w="109"/>
        <w:gridCol w:w="365"/>
        <w:gridCol w:w="832"/>
        <w:gridCol w:w="188"/>
        <w:gridCol w:w="109"/>
        <w:gridCol w:w="109"/>
        <w:gridCol w:w="109"/>
        <w:gridCol w:w="250"/>
        <w:gridCol w:w="731"/>
        <w:gridCol w:w="130"/>
        <w:gridCol w:w="109"/>
        <w:gridCol w:w="109"/>
        <w:gridCol w:w="109"/>
        <w:gridCol w:w="211"/>
        <w:gridCol w:w="866"/>
        <w:gridCol w:w="158"/>
      </w:tblGrid>
      <w:tr>
        <w:trPr/>
        <w:tc>
          <w:tcPr>
            <w:tcW w:w="120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Currency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w:t>
            </w:r>
          </w:p>
          <w:p>
            <w:pPr>
              <w:pStyle w:val="TableContents"/>
              <w:bidi w:val="0"/>
              <w:spacing w:lineRule="auto" w:line="288" w:before="0" w:after="0"/>
              <w:jc w:val="center"/>
              <w:rPr/>
            </w:pPr>
            <w:r>
              <w:rPr>
                <w:rFonts w:ascii="Times New Roman;serif" w:hAnsi="Times New Roman;serif"/>
                <w:b/>
                <w:color w:val="000000"/>
                <w:sz w:val="20"/>
              </w:rPr>
              <w:t>Adjustments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w:t>
              <w:br/>
              <w:t>(Loss)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(104,697)</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(113,975)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(121,488)</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(192,841)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85,624 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(103,831)</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(11,682)</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8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3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(115,181)</w:t>
            </w:r>
          </w:p>
        </w:tc>
        <w:tc>
          <w:tcPr>
            <w:tcW w:w="1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for more information.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reclassifications related to unrealized gain (loss) in available-for-sale securities relate to the Company’s equity interest in Primex, a captive insurance company, and are recorded in equity in net income of associated companies. The amounts reported in other comprehensive income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pPr>
      <w:r>
        <w:rPr>
          <w:rFonts w:ascii="Times New Roman;serif" w:hAnsi="Times New Roman;serif"/>
          <w:b w:val="false"/>
          <w:color w:val="000000"/>
          <w:sz w:val="20"/>
        </w:rPr>
        <w:t>N</w:t>
      </w:r>
      <w:r>
        <w:rPr>
          <w:rFonts w:ascii="Times New Roman;serif" w:hAnsi="Times New Roman;serif"/>
          <w:b/>
          <w:color w:val="000000"/>
          <w:sz w:val="20"/>
          <w:shd w:fill="FFFFFF" w:val="clear"/>
        </w:rPr>
        <w:t xml:space="preserve">ote 16 - Fair Value Measurements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values its company-owned life insurance policies at fair value. The Company owns an immaterial amount of company-owned life insurance policies as of June 30, 2026 and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values its long-term debt at fair value based on quoted market prices for the same or similar issues, or on current rates offered to the company for debt of the same remaining maturities and terms. Due to the infrequency of trades, these inputs are considered to be Level 2 inputs. Based on the variable interest rates associated with the Amended Credit Facility and the Credit Facility, as of June 30, 2026 and December 31, 2025, the amounts at which the Company’s total debt were recorded are not materially different from their fair market value.</w:t>
      </w:r>
    </w:p>
    <w:p>
      <w:pPr>
        <w:pStyle w:val="TextBody"/>
        <w:bidi w:val="0"/>
        <w:spacing w:lineRule="auto" w:line="288" w:before="0" w:after="120"/>
        <w:jc w:val="both"/>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a description of the Company’s derivative instruments including the valuation techniques used to determine fair value and support for their classification within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Hedging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income (expense), net. The fair value of the forward contract is determined from sources independent of the Company, including the financial institutions which are party to the derivative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June 30, 2026 were entered into as hedges of the Japanese yen, Mexican peso, and European euro against the U.S. dollar and had the following notional U.S. dollar values (in thousands):</w:t>
      </w:r>
    </w:p>
    <w:tbl>
      <w:tblPr>
        <w:tblW w:w="2852" w:type="dxa"/>
        <w:jc w:val="center"/>
        <w:tblInd w:w="0" w:type="dxa"/>
        <w:tblLayout w:type="fixed"/>
        <w:tblCellMar>
          <w:top w:w="28" w:type="dxa"/>
          <w:left w:w="28" w:type="dxa"/>
          <w:bottom w:w="28" w:type="dxa"/>
          <w:right w:w="28" w:type="dxa"/>
        </w:tblCellMar>
      </w:tblPr>
      <w:tblGrid>
        <w:gridCol w:w="483"/>
        <w:gridCol w:w="424"/>
        <w:gridCol w:w="427"/>
        <w:gridCol w:w="109"/>
        <w:gridCol w:w="109"/>
        <w:gridCol w:w="109"/>
        <w:gridCol w:w="211"/>
        <w:gridCol w:w="82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33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Euro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82,300 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In connection with the acquisition of Dipsol as described in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$0.6 million foreign currency gain and a $1.4 million foreign currency loss, respectively, during the three and six months ended June 30, 2025 in Other income (expense), net relating to the change in fair value of these instruments as of the settlement date.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June 30, 2026 had maturities occurring over a period of up to one month.</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During March 2026, the Company’s interest rate swap contracts expired. In April 2026, the Company entered into $400.0 million notional amount of four-year interest rate swaps, converting a portion of the Company’s variable rate borrowings relating to the Amended Credit Facility into an average fixed rate of 3.58% plus the applicable margin. See Note 14, </w:t>
      </w:r>
      <w:r>
        <w:rPr>
          <w:rFonts w:ascii="Times New Roman;serif" w:hAnsi="Times New Roman;serif"/>
          <w:b w:val="false"/>
          <w:i/>
          <w:color w:val="000000"/>
          <w:sz w:val="20"/>
        </w:rPr>
        <w:t>Debt</w:t>
      </w:r>
      <w:r>
        <w:rPr>
          <w:rFonts w:ascii="Times New Roman;serif" w:hAnsi="Times New Roman;serif"/>
          <w:b w:val="false"/>
          <w:color w:val="000000"/>
          <w:sz w:val="20"/>
        </w:rPr>
        <w:t>, for additional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balance sheet classification and fair values of the Company’s derivative instruments, which are Level 2 measurements, are as follows:</w:t>
      </w:r>
    </w:p>
    <w:tbl>
      <w:tblPr>
        <w:tblW w:w="10205" w:type="dxa"/>
        <w:jc w:val="center"/>
        <w:tblInd w:w="0" w:type="dxa"/>
        <w:tblLayout w:type="fixed"/>
        <w:tblCellMar>
          <w:top w:w="28" w:type="dxa"/>
          <w:left w:w="28" w:type="dxa"/>
          <w:bottom w:w="28" w:type="dxa"/>
          <w:right w:w="28" w:type="dxa"/>
        </w:tblCellMar>
      </w:tblPr>
      <w:tblGrid>
        <w:gridCol w:w="1017"/>
        <w:gridCol w:w="897"/>
        <w:gridCol w:w="898"/>
        <w:gridCol w:w="109"/>
        <w:gridCol w:w="109"/>
        <w:gridCol w:w="109"/>
        <w:gridCol w:w="1358"/>
        <w:gridCol w:w="1358"/>
        <w:gridCol w:w="1361"/>
        <w:gridCol w:w="109"/>
        <w:gridCol w:w="109"/>
        <w:gridCol w:w="109"/>
        <w:gridCol w:w="211"/>
        <w:gridCol w:w="721"/>
        <w:gridCol w:w="109"/>
        <w:gridCol w:w="109"/>
        <w:gridCol w:w="109"/>
        <w:gridCol w:w="109"/>
        <w:gridCol w:w="250"/>
        <w:gridCol w:w="856"/>
        <w:gridCol w:w="188"/>
      </w:tblGrid>
      <w:tr>
        <w:trPr/>
        <w:tc>
          <w:tcPr>
            <w:tcW w:w="101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1" w:type="dxa"/>
            <w:gridSpan w:val="6"/>
            <w:tcBorders/>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812"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unrealized gain deferred to AOCI:</w:t>
      </w:r>
    </w:p>
    <w:tbl>
      <w:tblPr>
        <w:tblW w:w="9627"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1429"/>
        <w:gridCol w:w="1429"/>
        <w:gridCol w:w="1432"/>
        <w:gridCol w:w="109"/>
        <w:gridCol w:w="109"/>
        <w:gridCol w:w="109"/>
        <w:gridCol w:w="211"/>
        <w:gridCol w:w="616"/>
        <w:gridCol w:w="109"/>
        <w:gridCol w:w="109"/>
        <w:gridCol w:w="109"/>
        <w:gridCol w:w="109"/>
        <w:gridCol w:w="280"/>
        <w:gridCol w:w="820"/>
        <w:gridCol w:w="205"/>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location and the amount of net gain (loss) recognized in the Company’s Condensed Consolidated Statements of Operations related to derivative instruments:</w:t>
      </w:r>
    </w:p>
    <w:tbl>
      <w:tblPr>
        <w:tblW w:w="10205" w:type="dxa"/>
        <w:jc w:val="center"/>
        <w:tblInd w:w="0" w:type="dxa"/>
        <w:tblLayout w:type="fixed"/>
        <w:tblCellMar>
          <w:top w:w="28" w:type="dxa"/>
          <w:left w:w="28" w:type="dxa"/>
          <w:bottom w:w="28" w:type="dxa"/>
          <w:right w:w="28" w:type="dxa"/>
        </w:tblCellMar>
      </w:tblPr>
      <w:tblGrid>
        <w:gridCol w:w="738"/>
        <w:gridCol w:w="650"/>
        <w:gridCol w:w="652"/>
        <w:gridCol w:w="109"/>
        <w:gridCol w:w="109"/>
        <w:gridCol w:w="109"/>
        <w:gridCol w:w="912"/>
        <w:gridCol w:w="912"/>
        <w:gridCol w:w="91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val="false"/>
          <w:color w:val="000000"/>
          <w:sz w:val="20"/>
        </w:rPr>
        <w:t xml:space="preserve">As previously disclosed in its 2025 Form 10-K, the Company is party to certain environmental matters and other litigation. See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Company’s 2025 Form 10-K for more information. During the three and six months ended June 30, 2026,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$4.9 million and $5.2 million, respectively, as of June 30, 2026 and December 31, 2025 for these ongoing matters.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and six months ended June 30, 2026, there are no new environmental matters or litigation that the Company believes will have a material adverse effect on the Company’s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r>
        <w:rPr>
          <w:rFonts w:ascii="Times New Roman;serif" w:hAnsi="Times New Roman;serif"/>
          <w:b/>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this Report, the terms “Quaker Houghton,” the “Company,” “we” and “our” refer to Quaker Chemical Corporation (doing business as Quaker Houghton), its subsidiaries, and associated companies,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jc w:val="both"/>
        <w:rPr/>
      </w:pPr>
      <w:r>
        <w:rPr>
          <w:rFonts w:ascii="Times New Roman;serif" w:hAnsi="Times New Roman;serif"/>
          <w:b w:val="false"/>
          <w:color w:val="000000"/>
          <w:sz w:val="20"/>
          <w:shd w:fill="FFFFFF" w:val="clear"/>
        </w:rPr>
        <w:t>Net sales in the second quarter of 2026 we</w:t>
      </w:r>
      <w:r>
        <w:rPr>
          <w:rFonts w:ascii="Times New Roman;serif" w:hAnsi="Times New Roman;serif"/>
          <w:b w:val="false"/>
          <w:color w:val="000000"/>
          <w:sz w:val="20"/>
        </w:rPr>
        <w:t xml:space="preserve">re $532.6 million, an increase of 10% compared to $483.4 million in the second quarter of 2025. This increase was primarily driven by an increase in sales volumes of approximately 7%, a favorable impact from foreign currency translation of approximately 2%, and an increase in selling price and product mix of approximately 1%. The increase in sales volumes in all segments compared to the prior year was primarily a result of new business wins across all segments. The increase in selling price and product mix reflects pricing actions taken to offset higher raw material costs, as well as changes in the mix of products and services, and the impact of our index-based customer contracts. </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reported net income in the second quarte</w:t>
      </w:r>
      <w:r>
        <w:rPr>
          <w:rFonts w:ascii="Times New Roman;serif" w:hAnsi="Times New Roman;serif"/>
          <w:b w:val="false"/>
          <w:color w:val="000000"/>
          <w:sz w:val="20"/>
        </w:rPr>
        <w:t>r of 2026 of $26.8 million, or $1.55 earnings per diluted share, compared to a net loss of $66.6 million, or $3.78 loss per diluted share in the second quarter of 2025.</w:t>
      </w:r>
      <w:r>
        <w:rPr>
          <w:color w:val="000000"/>
          <w:shd w:fill="FFFFFF" w:val="clear"/>
        </w:rPr>
        <w:t xml:space="preserve"> </w:t>
      </w:r>
      <w:r>
        <w:rPr>
          <w:rFonts w:ascii="Times New Roman;serif" w:hAnsi="Times New Roman;serif"/>
          <w:b w:val="false"/>
          <w:color w:val="000000"/>
          <w:sz w:val="20"/>
          <w:shd w:fill="FFFFFF" w:val="clear"/>
        </w:rPr>
        <w:t>Excluding non-recurring and non-core items in each period, the Company’s second quarter 2026 non-GAAP ne</w:t>
      </w:r>
      <w:r>
        <w:rPr>
          <w:rFonts w:ascii="Times New Roman;serif" w:hAnsi="Times New Roman;serif"/>
          <w:b w:val="false"/>
          <w:color w:val="000000"/>
          <w:sz w:val="20"/>
        </w:rPr>
        <w:t>t income and earnings per diluted share were $37.9 million and $2.19 compared to $30.0 million and $1.71, respectively, in the prior year. The increase in current quarter Non-GAAP earnings was primarily driven by an increase in net sales, partially offset by an increase in selling, general and administrative expenses (“SG&amp;A”) and a slight decrease in Non-GAAP gross margin. The</w:t>
      </w:r>
      <w:r>
        <w:rPr>
          <w:color w:val="000000"/>
          <w:shd w:fill="FFFFFF" w:val="clear"/>
        </w:rPr>
        <w:t xml:space="preserve"> </w:t>
      </w:r>
      <w:r>
        <w:rPr>
          <w:rFonts w:ascii="Times New Roman;serif" w:hAnsi="Times New Roman;serif"/>
          <w:b w:val="false"/>
          <w:color w:val="000000"/>
          <w:sz w:val="20"/>
          <w:shd w:fill="FFFFFF" w:val="clear"/>
        </w:rPr>
        <w:t>C</w:t>
      </w:r>
      <w:r>
        <w:rPr>
          <w:rFonts w:ascii="Times New Roman;serif" w:hAnsi="Times New Roman;serif"/>
          <w:b w:val="false"/>
          <w:color w:val="000000"/>
          <w:sz w:val="20"/>
        </w:rPr>
        <w:t xml:space="preserve">ompany’s current quarter adjusted EBITDA was $85.2 million compared to $75.5 million in the second quarter of 2025, primarily driven by the increase in net sales, partially offset by higher SG&amp;A. See the Non-GAAP Measures and Consolidated Operations Review sections of this Item below for additional details. </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second quarter 2026 operating performance in each of its three reportable segments: (i) Americas; (ii) EMEA; and (iii) Asia/Pacific,</w:t>
      </w:r>
      <w:r>
        <w:rPr>
          <w:color w:val="000000"/>
        </w:rPr>
        <w:t xml:space="preserve"> </w:t>
      </w:r>
      <w:r>
        <w:rPr>
          <w:rFonts w:ascii="Times New Roman;serif" w:hAnsi="Times New Roman;serif"/>
          <w:b w:val="false"/>
          <w:color w:val="000000"/>
          <w:sz w:val="20"/>
        </w:rPr>
        <w:t>reflects similar drivers to that of the Company’s consolidated performance. Operating earnings for the EMEA and Asia/Pacific segments increased compared to the prior year quarter, primarily due to an increase in net sales and an improvement in segment gross margins, partially offset by higher SG&amp;A. Operating earnings for the Americas segment decreased compared to the prior year quarter primarily due to lower segment gross margins and higher SG&amp;A, partially offset by an increase in net sales. Additional details of segment operating performance are provided in the Reportable Segments Review in the Operations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were $33.2 million in the first six months of 2026 compared to $38.5 million of net cash flows provided by operating activities the first six months of 2025. The lower operating cash inflow year-over-year reflects higher net cash outflows from working capital, partially offset by improved operating performance and lower outflows from restructuring activities in the first six months of 2026 compared to the first six months of 2025. The key drivers of the Company’s operating cash flow and working capital are further discussed in the Company’s Liquidity and Capital Resources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Overall, the Company’s results in the second quarter of 2026 reflect an increase in net sales in all segments compared to the prior quarter and the prior year quarter, driven by new business wins, and the Company’s continued focus on delivering on its long-term financial and strategic initiatives.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Recent geopolitical developments, including the escalation of the military conflict involving Iran, have increased uncertainty in the Middle East and global markets. While we do not have direct operations in Iran, our business is exposed to the current disruptions to international shipping routes, supply chain delays, and increased raw material and transportation costs. Additionally, volatility in global energy prices resulting from the conflict may impact our operating expenses and margins. In addition, the potential imposition of new or expanded sanctions against Iran or entities doing business in the region could restrict our ability to transact with certain partners and may require us to undertake additional compliance measures, review our contractual arrangements, or incur higher costs to ensure adherence to applicable laws. We are actively monitoring the situation and have implemented contingency plans, including raising our selling prices to cover higher raw material costs and increasing inventory levels where feasible. At this time, the conflict has not had a material impact on our financial results; however, due to the unpredictable nature and scope of the conflict, we cannot guarantee that future developments will not materially affect our business, operations, or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“Management’s Discussion and Analysis” and “Note 1 – Significant Accounting Policies” to the Consolidated Financial Statements in our 2025 Form 10-K. There have been no material changes to the critical accounting policies and estimates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Recently Issued Accounting Standards</w:t>
      </w:r>
      <w:r>
        <w:rPr>
          <w:rFonts w:ascii="Times New Roman;serif" w:hAnsi="Times New Roman;serif"/>
          <w:b w:val="false"/>
          <w:color w:val="000000"/>
          <w:sz w:val="20"/>
        </w:rPr>
        <w:t>, to the Condensed Consolidated Financial Statements for a discussion regarding recently adopted accounting standards and recently issued accounting standards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jc w:val="both"/>
        <w:rPr/>
      </w:pPr>
      <w:r>
        <w:rPr>
          <w:rFonts w:ascii="Times New Roman;serif" w:hAnsi="Times New Roman;serif"/>
          <w:b w:val="false"/>
          <w:color w:val="000000"/>
          <w:sz w:val="20"/>
          <w:shd w:fill="FFFFFF" w:val="clear"/>
        </w:rPr>
        <w:t>We had cash and cash equivalen</w:t>
      </w:r>
      <w:r>
        <w:rPr>
          <w:rFonts w:ascii="Times New Roman;serif" w:hAnsi="Times New Roman;serif"/>
          <w:b w:val="false"/>
          <w:color w:val="000000"/>
          <w:sz w:val="20"/>
        </w:rPr>
        <w:t>ts of $155.1 million and $179.8 million as of June 30, 2026 and December 31, 2025</w:t>
      </w:r>
      <w:r>
        <w:rPr>
          <w:rFonts w:ascii="Times New Roman;serif" w:hAnsi="Times New Roman;serif"/>
          <w:b w:val="false"/>
          <w:color w:val="000000"/>
          <w:sz w:val="20"/>
          <w:shd w:fill="FFFFFF" w:val="clear"/>
        </w:rPr>
        <w:t xml:space="preserve">, respectively. Cash held by subsidiaries in foreign countries was approximately </w:t>
      </w:r>
      <w:r>
        <w:rPr>
          <w:rFonts w:ascii="Times New Roman;serif" w:hAnsi="Times New Roman;serif"/>
          <w:b w:val="false"/>
          <w:color w:val="000000"/>
          <w:sz w:val="20"/>
        </w:rPr>
        <w:t>$146.8 million</w:t>
      </w:r>
      <w:r>
        <w:rPr>
          <w:color w:val="000000"/>
          <w:shd w:fill="FFFFFF" w:val="clear"/>
        </w:rPr>
        <w:t xml:space="preserve"> </w:t>
      </w:r>
      <w:r>
        <w:rPr>
          <w:rFonts w:ascii="Times New Roman;serif" w:hAnsi="Times New Roman;serif"/>
          <w:b w:val="false"/>
          <w:color w:val="000000"/>
          <w:sz w:val="20"/>
          <w:shd w:fill="FFFFFF" w:val="clear"/>
        </w:rPr>
        <w:t>and $171.4 million at June 30, 2026 and December 31, 2025, respectively. The $24.7 million decrease in cash and cash equivalents was the net r</w:t>
      </w:r>
      <w:r>
        <w:rPr>
          <w:rFonts w:ascii="Times New Roman;serif" w:hAnsi="Times New Roman;serif"/>
          <w:b w:val="false"/>
          <w:color w:val="000000"/>
          <w:sz w:val="20"/>
        </w:rPr>
        <w:t xml:space="preserve">esult of $38.4 million of cash used in financing activities, $18.8 million of cash used in </w:t>
      </w:r>
      <w:r>
        <w:rPr>
          <w:rFonts w:ascii="Times New Roman;serif" w:hAnsi="Times New Roman;serif"/>
          <w:b w:val="false"/>
          <w:color w:val="000000"/>
          <w:sz w:val="20"/>
          <w:shd w:fill="FFFFFF" w:val="clear"/>
        </w:rPr>
        <w:t>investing activitie</w:t>
      </w:r>
      <w:r>
        <w:rPr>
          <w:rFonts w:ascii="Times New Roman;serif" w:hAnsi="Times New Roman;serif"/>
          <w:b w:val="false"/>
          <w:color w:val="000000"/>
          <w:sz w:val="20"/>
        </w:rPr>
        <w:t>s, and a $0.7 million unfavorable impact of foreign currency translation, partially offset by $33.2 million of cash provided by operating activities.</w:t>
      </w:r>
    </w:p>
    <w:p>
      <w:pPr>
        <w:pStyle w:val="TextBody"/>
        <w:bidi w:val="0"/>
        <w:spacing w:lineRule="auto" w:line="288" w:before="0" w:after="120"/>
        <w:jc w:val="both"/>
        <w:rPr/>
      </w:pPr>
      <w:r>
        <w:rPr>
          <w:rFonts w:ascii="Times New Roman;serif" w:hAnsi="Times New Roman;serif"/>
          <w:b w:val="false"/>
          <w:color w:val="000000"/>
          <w:sz w:val="20"/>
          <w:shd w:fill="FFFFFF" w:val="clear"/>
        </w:rPr>
        <w:t>Net c</w:t>
      </w:r>
      <w:r>
        <w:rPr>
          <w:rFonts w:ascii="Times New Roman;serif" w:hAnsi="Times New Roman;serif"/>
          <w:b w:val="false"/>
          <w:color w:val="000000"/>
          <w:sz w:val="20"/>
        </w:rPr>
        <w:t xml:space="preserve">ash flows provided by operating activities were $33.2 million in the first six months of 2026 compared to net cash flows provided by operating activities of $38.5 million in the first six months of 2025. The decrease in net operating cash flow year-over-year reflects higher net cash outflows from working capital, partially offset by improved operating performance and lower outflows from restructuring activities. The higher net cash outflows from working capital are due to higher net cash outflows from accounts receivable due to an increase in net sales and timing of collections and higher net cash outflows for purchases of inventory due to higher raw material costs and strategic inventory builds at production sites in advance of planned manufacturing transitions and in response to global supply chain risks in connection with the conflict in the Middle East. This is partially offset by higher inflows from the timing of payments of accounts payable. </w:t>
      </w:r>
    </w:p>
    <w:p>
      <w:pPr>
        <w:pStyle w:val="TextBody"/>
        <w:bidi w:val="0"/>
        <w:spacing w:lineRule="auto" w:line="288" w:before="0" w:after="120"/>
        <w:jc w:val="both"/>
        <w:rPr/>
      </w:pPr>
      <w:r>
        <w:rPr>
          <w:rFonts w:ascii="Times New Roman;serif" w:hAnsi="Times New Roman;serif"/>
          <w:b w:val="false"/>
          <w:color w:val="000000"/>
          <w:sz w:val="20"/>
          <w:shd w:fill="FFFFFF" w:val="clear"/>
        </w:rPr>
        <w:t>Net c</w:t>
      </w:r>
      <w:r>
        <w:rPr>
          <w:rFonts w:ascii="Times New Roman;serif" w:hAnsi="Times New Roman;serif"/>
          <w:b w:val="false"/>
          <w:color w:val="000000"/>
          <w:sz w:val="20"/>
        </w:rPr>
        <w:t>ash flows used in investing activities were $18.8 million in the first six months of 2026 compared to $180.7 million in the first six months of 2025. The decrease in cash used in investing activities year-over-year is primarily the result of $164.1 million of payments, net of cash acquired, in the prior year related to the acquisitions of Chemical Solutions &amp; Innovations (Pty) Ltd. (“CSI”), Dipsol Chemicals Co., Ltd., (“Dipsol”) and Natech, Ltd., (“Natech”). This is partially offset by $3.0 million proceeds from asset dispositions in the prior year and $0.7 million increase in payments related to capital expenditures. See Note 2,</w:t>
      </w:r>
      <w:r>
        <w:rPr>
          <w:color w:val="000000"/>
        </w:rPr>
        <w:t xml:space="preserve"> </w:t>
      </w:r>
      <w:r>
        <w:rPr>
          <w:rFonts w:ascii="Times New Roman;serif" w:hAnsi="Times New Roman;serif"/>
          <w:b w:val="false"/>
          <w:i/>
          <w:color w:val="000000"/>
          <w:sz w:val="20"/>
        </w:rPr>
        <w:t>Business Acquisitions</w:t>
      </w:r>
      <w:r>
        <w:rPr>
          <w:rFonts w:ascii="Times New Roman;serif" w:hAnsi="Times New Roman;serif"/>
          <w:b w:val="false"/>
          <w:color w:val="000000"/>
          <w:sz w:val="20"/>
        </w:rPr>
        <w:t>, to the Condensed Consolidated Financial Statements for further information about business acquisitions.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Net cash flows </w:t>
      </w:r>
      <w:r>
        <w:rPr>
          <w:rFonts w:ascii="Times New Roman;serif" w:hAnsi="Times New Roman;serif"/>
          <w:b w:val="false"/>
          <w:color w:val="000000"/>
          <w:sz w:val="20"/>
        </w:rPr>
        <w:t>used in</w:t>
      </w:r>
      <w:r>
        <w:rPr>
          <w:color w:val="000000"/>
          <w:shd w:fill="FFFFFF" w:val="clear"/>
        </w:rPr>
        <w:t xml:space="preserve"> </w:t>
      </w:r>
      <w:r>
        <w:rPr>
          <w:rFonts w:ascii="Times New Roman;serif" w:hAnsi="Times New Roman;serif"/>
          <w:b w:val="false"/>
          <w:color w:val="000000"/>
          <w:sz w:val="20"/>
          <w:shd w:fill="FFFFFF" w:val="clear"/>
        </w:rPr>
        <w:t xml:space="preserve">financing activities were </w:t>
      </w:r>
      <w:r>
        <w:rPr>
          <w:rFonts w:ascii="Times New Roman;serif" w:hAnsi="Times New Roman;serif"/>
          <w:b w:val="false"/>
          <w:color w:val="000000"/>
          <w:sz w:val="20"/>
        </w:rPr>
        <w:t>$38.4 million</w:t>
      </w:r>
      <w:r>
        <w:rPr>
          <w:color w:val="000000"/>
          <w:shd w:fill="FFFFFF" w:val="clear"/>
        </w:rPr>
        <w:t xml:space="preserve"> </w:t>
      </w:r>
      <w:r>
        <w:rPr>
          <w:rFonts w:ascii="Times New Roman;serif" w:hAnsi="Times New Roman;serif"/>
          <w:b w:val="false"/>
          <w:color w:val="000000"/>
          <w:sz w:val="20"/>
          <w:shd w:fill="FFFFFF" w:val="clear"/>
        </w:rPr>
        <w:t xml:space="preserve">in the first six months of 2026 compared to </w:t>
      </w:r>
      <w:r>
        <w:rPr>
          <w:rFonts w:ascii="Times New Roman;serif" w:hAnsi="Times New Roman;serif"/>
          <w:b w:val="false"/>
          <w:color w:val="000000"/>
          <w:sz w:val="20"/>
        </w:rPr>
        <w:t>$147.5 million</w:t>
      </w:r>
      <w:r>
        <w:rPr>
          <w:color w:val="000000"/>
          <w:shd w:fill="FFFFFF" w:val="clear"/>
        </w:rPr>
        <w:t xml:space="preserve"> </w:t>
      </w:r>
      <w:r>
        <w:rPr>
          <w:rFonts w:ascii="Times New Roman;serif" w:hAnsi="Times New Roman;serif"/>
          <w:b w:val="false"/>
          <w:color w:val="000000"/>
          <w:sz w:val="20"/>
          <w:shd w:fill="FFFFFF" w:val="clear"/>
        </w:rPr>
        <w:t xml:space="preserve">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in the first six months of 2025. </w:t>
      </w:r>
      <w:r>
        <w:rPr>
          <w:rFonts w:ascii="Times New Roman;serif" w:hAnsi="Times New Roman;serif"/>
          <w:b w:val="false"/>
          <w:color w:val="000000"/>
          <w:sz w:val="20"/>
        </w:rPr>
        <w:t>The decrease in net cash inflows from financing activities is primarily driven by a $901.8 million increase in payments on the Company’s U.S. and Euro Term Loan and Revolver loans, which is primarily related to repaying in full all outstanding loan commitments under the existing Credit Facility in connection with amending the Credit Facility in April 2026. Proceeds from the Revolver decreased by $85.7 million, which is primarily related to a revolver borrowing during the first six months of 2025 to fund the purchase price of the Dipsol acquisition, partially offset by a revolver borrowing upon executing the Amended Credit Facility in April 2026. The f</w:t>
      </w:r>
      <w:r>
        <w:rPr>
          <w:rFonts w:ascii="Times New Roman;serif" w:hAnsi="Times New Roman;serif"/>
          <w:b w:val="false"/>
          <w:color w:val="000000"/>
          <w:sz w:val="20"/>
          <w:shd w:fill="FFFFFF" w:val="clear"/>
        </w:rPr>
        <w:t xml:space="preserve">irst six months of 2026 </w:t>
      </w:r>
      <w:r>
        <w:rPr>
          <w:rFonts w:ascii="Times New Roman;serif" w:hAnsi="Times New Roman;serif"/>
          <w:b w:val="false"/>
          <w:color w:val="000000"/>
          <w:sz w:val="20"/>
        </w:rPr>
        <w:t>also includes a $6.2 million net cash outflow relating to financing-related debt issuance costs associated with the Amended Credit Facility. This is partially offset by $800.0 million increase in proceeds from the U.S. and Euro Term Loan debt upon executing the Amended Credit Facility in April 2026 and a $8.5 million decrease in share repurchases compared to the prior year.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along with its wholly owned subsidiary, Quaker Houghton B.V., as borrowers, maintain a credit facility with Bank of America, N.A., as administrative agent, U.S. dollar swing line lender and letter of credit issuer, Bank of America Europe Designated Active Company, as Euro Swing Line Lender, certain guarantors and other lenders. The credit facility, as amended in June 2022 (the “Credit Facility”), established (A) a $150.0 million Euro equivalent senior secured term loan, (B) a $600.0 million senior secured term loan, and (C) a $500.0 million senior secured revolving credit facility, each maturing in June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rPr>
        <w:t xml:space="preserve">In April 2026, the Company and Quaker Houghton B.V., as borrowers, entered into a fourth amendment to the Credit Facility with the lenders. As amended, the Credit Facility (the “Amended Credit Facility”) established (A) a $250.0 million Euro equivalent senior secured term loan (the “Euro Term Loan”) (B) a $550.0 million senior secured term loan (the “U.S. Term Loan”) and (C) an $800.0 million senior secured revolving credit facility (the “Revolver”), each maturing in April 2031. The Company used the proceeds from the Amended Credit Facility to, among other things, repay in full all outstanding loans and terminate the revolving credit commitments under the existing Credit Facility. The Company has the right to increase the amount of the Amended Credit Facility by an aggregate amount not to exceed (a) the greater of (i) $331.0 million and (ii) 100% of Consolidated EBITDA, subject to certain conditions including the agreement to provide financing by any lender providing such increase. The Amended Credit Facility contains affirmative and negative covenants, financial covenants and events of default. Financial covenants contained in the Amended Credit Facility include a consolidated interest coverage ratio test and a consolidated net leverage ratio test. As of June 30, 2026, the Company was in compliance with all of the Amended Credit Facility covenants. See Note 14,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Amended Credit Facility and Credit Facility borrowings outstanding of $864.7 million and $859.7 million, respectively. The Company’s other debt obligations are primarily industrial development bonds, bank lines of credit and municipality-related loans, which totaled $11.5 million as of June 30, 2026 and December 31, 2025. Total unused capacity under these arrangements, excluding the Amended Credit Facility, as of June 30, 2026 was approximately $63 million. The Company’s total net debt as of June 30, 2026, which consists of total borrowings of $876.1 million less cash and cash equivalents of $155.1 million, was approximately $721.0 million.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variable interest rate incurred on the outstanding borrowings under the Amended Credit Facility and Credit Facility during the three and six months ended June 30, 2026 was approximately 4.6% and 4.70%, respectively. As of June 30, 2026, the interest rate on the outstanding borrowings under the Amended Credit Facility was approximately 4.40%. As part of the Credit Facility, in addition to paying interest on outstanding principal, the Company was also required to pay an annual commitment fee ranging from 0.150% to 0.275% related to unutilized commitments under the senior secured revolving credit facility, depending on the Company’s consolidated net leverage ratio. As part of the Amended Credit Facility, the range of the annual commitment fee was changed from 0.125% to 0.275%.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unused capacity under the Revolver of approximately $727.6 million, which is net of bank letters of credit of approximately $2.4 million.</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During March 2026, the Company’s interest rate swap contracts expired. In April 2026, the Company entered into $400.0 million notional amount of four-year interest rate swaps, converting a portion of the Company’s variable rate borrowings relating to the Amended Credit Facility into an average fixed rate of 3.58% plus the applicable margin.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Prior to executing the Amended Credit Facility, the Company had $0.5 million of debt issuance costs recorded as a reduction of Long-term debt and $1.1 million of debt issuance costs recorded within Other non-current assets on the Condensed Consolidated Balance Sheets. In connection with executing the Amended Credit Facility, the Company recorded debt modification and extinguishment costs of approximately$1.7 million, which includes the write-off of certain previously unamortized debt issuance costs and a portion of third-party costs that were incurred to execute the Amended Credit Facility. Also in connection with executing the Amended Credit Facility, during the second quarter of 2026 the Company capitalized $6.2 million of creditor debt issuance costs and certain third-party costs. Approximately $2.4 million of the capitalized costs were attributed to the Euro Term Loan and U.S. Term Loan and were recorded as a direct reduction of Long-term debt on the Condensed Consolidated Balance Sheet. Approximately $3.8 million of the capitalized costs were attributed to the Revolver and recorded within Other non-current assets on the Condensed Consolidated Balance Sheets. These capitalized costs, as well as the previously capitalized costs that were not written off, will collectively be amortized into Interest expense over the five-year term of the Amended Credit Facility. As of June 30, 2026, the Company had $2.7 million of debt issuance costs recorded as a reduction of Long-term debt and $4.6 million of debt issuance costs recorded within Other non-current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uses foreign exchange forward contracts to economically hedge the impact of the variability in exchange rates on certain foreign currency-denominated assets and liabilities</w:t>
      </w:r>
      <w:r>
        <w:rPr>
          <w:rFonts w:ascii="Times New Roman;serif" w:hAnsi="Times New Roman;serif"/>
          <w:b w:val="false"/>
          <w:color w:val="000000"/>
          <w:sz w:val="20"/>
        </w:rPr>
        <w:t xml:space="preserve">. During the six months ended June 30, 2026, the Company entered into and settled forward contracts resulting in other income of $1.0 million as compared to $0.4 million of other expense during the six months ended June 30, 2025.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During the six months ended June 30, 2025, the Company recognized a $1.4 million foreign currency loss in Other income (expense), net relating to changes in fair value of these instruments as of the settlement date.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The Company expects the program to generate at least $20 million to $30 million of annualized cost savings. The Company recognized restructuring and related charges and cash payments relating to the settlement of restructuring liabilities of $8.9 million and $3.9 million during the six months ended June 30, 2026, respectively, under this program. The Company expects total one-time cash costs of this program to be approximately 1 to 1.5 times annualized savings. </w:t>
      </w:r>
    </w:p>
    <w:p>
      <w:pPr>
        <w:pStyle w:val="TextBody"/>
        <w:bidi w:val="0"/>
        <w:spacing w:lineRule="auto" w:line="288" w:before="0" w:after="120"/>
        <w:jc w:val="both"/>
        <w:rPr/>
      </w:pPr>
      <w:r>
        <w:rPr>
          <w:rFonts w:ascii="Times New Roman;serif" w:hAnsi="Times New Roman;serif"/>
          <w:b w:val="false"/>
          <w:color w:val="000000"/>
          <w:sz w:val="20"/>
        </w:rPr>
        <w:t>During 2022, the Company initiated a global cost and optimization program (the “2022 program”) to improve its cost structure and drive a more profitable and productive organization. The Company has achieved its annualized cost savings goal from this program of at least $20 million. During 2025, the Company approved additional actions under the 2022 program, which are expected to generate approximately an additional $40.0 million of annualized cost savings. These actions are expected to be substantially complete by the end of 2026. The Company recognized restructuring and related charges of $6.6 million and $23.4 million for the six months ended June 30, 2026 and 2025, respectively, under this program. The Company made cash payments related to the settlement of restructuring liabilities under the 2022 program during the first</w:t>
      </w:r>
      <w:r>
        <w:rPr>
          <w:color w:val="000000"/>
          <w:shd w:fill="FFFFFF" w:val="clear"/>
        </w:rPr>
        <w:t xml:space="preserve"> </w:t>
      </w:r>
      <w:r>
        <w:rPr>
          <w:rFonts w:ascii="Times New Roman;serif" w:hAnsi="Times New Roman;serif"/>
          <w:b w:val="false"/>
          <w:color w:val="000000"/>
          <w:sz w:val="20"/>
        </w:rPr>
        <w:t xml:space="preserve">six months of 2026 of approximately $7.4 million compared to $15.9 million in the first six months of 2025. The Company expects total one-time cash costs of this program to be approximately 1 to 1.5 times annualized savings.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of June 30, 2026, the Company’s gross liability for uncertain tax positions, including interest and penalties, was $13.9 million. The Company cannot determine a reliable estimate of the timing of cash flows related to its uncertain tax position liability. However, </w:t>
      </w:r>
      <w:r>
        <w:rPr>
          <w:rFonts w:ascii="Times New Roman;serif" w:hAnsi="Times New Roman;serif"/>
          <w:b w:val="false"/>
          <w:color w:val="000000"/>
          <w:sz w:val="20"/>
          <w:shd w:fill="FFFFFF" w:val="clear"/>
        </w:rPr>
        <w:t>should the entire liability be paid, the amount of the payment may be reduced b</w:t>
      </w:r>
      <w:r>
        <w:rPr>
          <w:rFonts w:ascii="Times New Roman;serif" w:hAnsi="Times New Roman;serif"/>
          <w:b w:val="false"/>
          <w:color w:val="000000"/>
          <w:sz w:val="20"/>
        </w:rPr>
        <w:t>y up to $6.5 million as a r</w:t>
      </w:r>
      <w:r>
        <w:rPr>
          <w:rFonts w:ascii="Times New Roman;serif" w:hAnsi="Times New Roman;serif"/>
          <w:b w:val="false"/>
          <w:color w:val="000000"/>
          <w:sz w:val="20"/>
          <w:shd w:fill="FFFFFF" w:val="clear"/>
        </w:rPr>
        <w:t>esult of offsetting benefits in other tax jurisdictions.</w:t>
      </w:r>
    </w:p>
    <w:p>
      <w:pPr>
        <w:pStyle w:val="TextBody"/>
        <w:bidi w:val="0"/>
        <w:spacing w:lineRule="auto" w:line="288" w:before="0" w:after="120"/>
        <w:jc w:val="both"/>
        <w:rPr/>
      </w:pPr>
      <w:r>
        <w:rPr>
          <w:rFonts w:ascii="Times New Roman;serif" w:hAnsi="Times New Roman;serif"/>
          <w:b w:val="false"/>
          <w:color w:val="000000"/>
          <w:sz w:val="20"/>
        </w:rPr>
        <w:t xml:space="preserve">The Company maintained its previous share repurchase program (the “2024 Share Repurchase Plan”), which was approved by the Board and announced by the Company on February 28, 2024, which authorized the repurchase of up to $150.0 million of Quaker Chemical Corporation common stock, and had no expiration date. On May 13, 2026, the Board approved a new share repurchase program (the “2026 Share Repurchase Program”), authorizing the Company to repurchase up to an aggregate of $250.0 million of the Company’s outstanding common stock. The 2026 Share Repurchase Program was effective immediately, replaced the 2024 Share Repurchase Plan, and has no expiration date. The Company made purchases under the 2024 Share Repurchase Program and 2026 Share Repurchase Program while each was in effect during the six months ended June 30, 2026. See Item 2, </w:t>
      </w:r>
      <w:r>
        <w:rPr>
          <w:rFonts w:ascii="Times New Roman;serif" w:hAnsi="Times New Roman;serif"/>
          <w:b w:val="false"/>
          <w:i/>
          <w:color w:val="000000"/>
          <w:sz w:val="20"/>
        </w:rPr>
        <w:t>Unregistered Sales of Equity Securities, Use of Proceeds and Issuer Purchases of Equity Securities</w:t>
      </w:r>
      <w:r>
        <w:rPr>
          <w:rFonts w:ascii="Times New Roman;serif" w:hAnsi="Times New Roman;serif"/>
          <w:b w:val="false"/>
          <w:color w:val="000000"/>
          <w:sz w:val="20"/>
        </w:rPr>
        <w:t>, within Part II of this Report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Amended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the Second Quarter of 2026 with the Second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left"/>
        <w:tblInd w:w="0" w:type="dxa"/>
        <w:tblLayout w:type="fixed"/>
        <w:tblCellMar>
          <w:top w:w="28" w:type="dxa"/>
          <w:left w:w="28" w:type="dxa"/>
          <w:bottom w:w="28" w:type="dxa"/>
          <w:right w:w="28" w:type="dxa"/>
        </w:tblCellMar>
      </w:tblPr>
      <w:tblGrid>
        <w:gridCol w:w="439"/>
        <w:gridCol w:w="386"/>
        <w:gridCol w:w="391"/>
        <w:gridCol w:w="109"/>
        <w:gridCol w:w="109"/>
        <w:gridCol w:w="109"/>
        <w:gridCol w:w="264"/>
        <w:gridCol w:w="263"/>
        <w:gridCol w:w="658"/>
        <w:gridCol w:w="109"/>
        <w:gridCol w:w="109"/>
        <w:gridCol w:w="109"/>
        <w:gridCol w:w="475"/>
        <w:gridCol w:w="475"/>
        <w:gridCol w:w="1187"/>
        <w:gridCol w:w="109"/>
        <w:gridCol w:w="109"/>
        <w:gridCol w:w="109"/>
        <w:gridCol w:w="305"/>
        <w:gridCol w:w="305"/>
        <w:gridCol w:w="765"/>
        <w:gridCol w:w="109"/>
        <w:gridCol w:w="109"/>
        <w:gridCol w:w="109"/>
        <w:gridCol w:w="359"/>
        <w:gridCol w:w="359"/>
        <w:gridCol w:w="899"/>
        <w:gridCol w:w="109"/>
        <w:gridCol w:w="109"/>
        <w:gridCol w:w="109"/>
        <w:gridCol w:w="180"/>
        <w:gridCol w:w="181"/>
        <w:gridCol w:w="301"/>
        <w:gridCol w:w="109"/>
        <w:gridCol w:w="109"/>
        <w:gridCol w:w="160"/>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shd w:fill="FFFFFF" w:val="clear"/>
        </w:rPr>
        <w:t>Net sales in the second quarter of 2026 we</w:t>
      </w:r>
      <w:r>
        <w:rPr>
          <w:rFonts w:ascii="Times New Roman;serif" w:hAnsi="Times New Roman;serif"/>
          <w:b w:val="false"/>
          <w:color w:val="000000"/>
          <w:sz w:val="20"/>
        </w:rPr>
        <w:t xml:space="preserve">re $532.6 million, an increase of 10% compared to $483.4 million in the second quarter of 2025. This increase was primarily driven by an increase in sales volumes of approximately 7%, a favorable impact from foreign currency translation of approximately 2%, and an increase in selling price and product mix of approximately 1%. The increase in sales volumes in all segments compared to the prior year was primarily a result of new business wins across all segments. The increase in selling price and product mix reflects pricing actions taken to offset higher raw material costs, as well as changes in the mix of products and services, and the impact of our index-based customer contracts. </w:t>
      </w:r>
    </w:p>
    <w:p>
      <w:pPr>
        <w:pStyle w:val="TextBody"/>
        <w:bidi w:val="0"/>
        <w:spacing w:lineRule="auto" w:line="288" w:before="0" w:after="120"/>
        <w:jc w:val="both"/>
        <w:rPr/>
      </w:pPr>
      <w:r>
        <w:rPr>
          <w:rFonts w:ascii="Times New Roman;serif" w:hAnsi="Times New Roman;serif"/>
          <w:b w:val="false"/>
          <w:color w:val="000000"/>
          <w:sz w:val="20"/>
          <w:shd w:fill="FFFFFF" w:val="clear"/>
        </w:rPr>
        <w:t>Cost of goods sold (“COGS”) w</w:t>
      </w:r>
      <w:r>
        <w:rPr>
          <w:rFonts w:ascii="Times New Roman;serif" w:hAnsi="Times New Roman;serif"/>
          <w:b w:val="false"/>
          <w:color w:val="000000"/>
          <w:sz w:val="20"/>
        </w:rPr>
        <w:t>as $343.3 million in the second quarter of 2026 compared to $311.7 million in the second quarter of 2025, an increase of approximately $31.6 million, or 10%. The increase in COGS reflects an increase in spend on the increase in current year sales volumes and an increase in global raw material costs. Additionally, COGS in the second quarter of 2025 includes a $3.6 million gain related to an out-of-period inventory adjustment, which is partially offset by $6.0 million amortization of the fair value step-up in Dipsol’s inventories as a result of the acquisition.</w:t>
      </w:r>
    </w:p>
    <w:p>
      <w:pPr>
        <w:pStyle w:val="TextBody"/>
        <w:bidi w:val="0"/>
        <w:spacing w:lineRule="auto" w:line="288" w:before="0" w:after="120"/>
        <w:jc w:val="both"/>
        <w:rPr/>
      </w:pPr>
      <w:r>
        <w:rPr>
          <w:rFonts w:ascii="Times New Roman;serif" w:hAnsi="Times New Roman;serif"/>
          <w:b w:val="false"/>
          <w:color w:val="000000"/>
          <w:sz w:val="20"/>
          <w:shd w:fill="FFFFFF" w:val="clear"/>
        </w:rPr>
        <w:t>Gross profit wa</w:t>
      </w:r>
      <w:r>
        <w:rPr>
          <w:rFonts w:ascii="Times New Roman;serif" w:hAnsi="Times New Roman;serif"/>
          <w:b w:val="false"/>
          <w:color w:val="000000"/>
          <w:sz w:val="20"/>
        </w:rPr>
        <w:t>s $189.2 million in the second quarter of 2026 compared to $171.7 million in the second quarter of 2025, an increase of $17.5 million, or 10% primarily due to an increase in net sales, an increase in raw material costs, a $3.6 million gain related to an out-of-period inventory adjustment in t</w:t>
      </w:r>
      <w:r>
        <w:rPr>
          <w:rFonts w:ascii="Times New Roman;serif" w:hAnsi="Times New Roman;serif"/>
          <w:b w:val="false"/>
          <w:color w:val="000000"/>
          <w:sz w:val="20"/>
          <w:shd w:fill="FFFFFF" w:val="clear"/>
        </w:rPr>
        <w:t xml:space="preserve">he second quarter of 2025, partially offset by </w:t>
      </w:r>
      <w:r>
        <w:rPr>
          <w:rFonts w:ascii="Times New Roman;serif" w:hAnsi="Times New Roman;serif"/>
          <w:b w:val="false"/>
          <w:color w:val="000000"/>
          <w:sz w:val="20"/>
        </w:rPr>
        <w:t>$6.0 million amortization of the fair value step-up in Dipsol’s inventories as a result of the acquisition in t</w:t>
      </w:r>
      <w:r>
        <w:rPr>
          <w:rFonts w:ascii="Times New Roman;serif" w:hAnsi="Times New Roman;serif"/>
          <w:b w:val="false"/>
          <w:color w:val="000000"/>
          <w:sz w:val="20"/>
          <w:shd w:fill="FFFFFF" w:val="clear"/>
        </w:rPr>
        <w:t>he second quarter of 2025.</w:t>
      </w:r>
      <w:r>
        <w:rPr>
          <w:color w:val="000000"/>
        </w:rPr>
        <w:t xml:space="preserve"> </w:t>
      </w:r>
      <w:r>
        <w:rPr>
          <w:rFonts w:ascii="Times New Roman;serif" w:hAnsi="Times New Roman;serif"/>
          <w:b w:val="false"/>
          <w:color w:val="000000"/>
          <w:sz w:val="20"/>
        </w:rPr>
        <w:t>The Com</w:t>
      </w:r>
      <w:r>
        <w:rPr>
          <w:rFonts w:ascii="Times New Roman;serif" w:hAnsi="Times New Roman;serif"/>
          <w:b w:val="false"/>
          <w:color w:val="000000"/>
          <w:sz w:val="20"/>
          <w:shd w:fill="FFFFFF" w:val="clear"/>
        </w:rPr>
        <w:t>pany’s reported gross margin in the second quarter of 2026 and 2025 w</w:t>
      </w:r>
      <w:r>
        <w:rPr>
          <w:rFonts w:ascii="Times New Roman;serif" w:hAnsi="Times New Roman;serif"/>
          <w:b w:val="false"/>
          <w:color w:val="000000"/>
          <w:sz w:val="20"/>
        </w:rPr>
        <w:t>as each 35.5%. Th</w:t>
      </w:r>
      <w:r>
        <w:rPr>
          <w:rFonts w:ascii="Times New Roman;serif" w:hAnsi="Times New Roman;serif"/>
          <w:b w:val="false"/>
          <w:color w:val="000000"/>
          <w:sz w:val="20"/>
          <w:shd w:fill="FFFFFF" w:val="clear"/>
        </w:rPr>
        <w:t xml:space="preserve">e Company’s non-GAAP gross margin in the second quarter of 2026 was </w:t>
      </w:r>
      <w:r>
        <w:rPr>
          <w:rFonts w:ascii="Times New Roman;serif" w:hAnsi="Times New Roman;serif"/>
          <w:b w:val="false"/>
          <w:color w:val="000000"/>
          <w:sz w:val="20"/>
        </w:rPr>
        <w:t>35.5%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36.0%</w:t>
      </w:r>
      <w:r>
        <w:rPr>
          <w:color w:val="000000"/>
          <w:shd w:fill="FFFFFF" w:val="clear"/>
        </w:rPr>
        <w:t xml:space="preserve"> </w:t>
      </w:r>
      <w:r>
        <w:rPr>
          <w:rFonts w:ascii="Times New Roman;serif" w:hAnsi="Times New Roman;serif"/>
          <w:b w:val="false"/>
          <w:color w:val="000000"/>
          <w:sz w:val="20"/>
          <w:shd w:fill="FFFFFF" w:val="clear"/>
        </w:rPr>
        <w:t>in the second quarter of 2025. See the Non-GAAP Measures section of this Item below for additional details.</w:t>
      </w:r>
    </w:p>
    <w:p>
      <w:pPr>
        <w:pStyle w:val="TextBody"/>
        <w:bidi w:val="0"/>
        <w:spacing w:lineRule="auto" w:line="288" w:before="0" w:after="120"/>
        <w:jc w:val="both"/>
        <w:rPr/>
      </w:pPr>
      <w:r>
        <w:rPr>
          <w:rFonts w:ascii="Times New Roman;serif" w:hAnsi="Times New Roman;serif"/>
          <w:b w:val="false"/>
          <w:color w:val="000000"/>
          <w:sz w:val="20"/>
          <w:shd w:fill="FFFFFF" w:val="clear"/>
        </w:rPr>
        <w:t>SG&amp;A expens</w:t>
      </w:r>
      <w:r>
        <w:rPr>
          <w:rFonts w:ascii="Times New Roman;serif" w:hAnsi="Times New Roman;serif"/>
          <w:b w:val="false"/>
          <w:color w:val="000000"/>
          <w:sz w:val="20"/>
        </w:rPr>
        <w:t>e was $140.5 million in the second quarter of 2026 compared to $126.6 million in the second quarter of 2025, an increase of approximately $13.9 million, or 11%, primarily driven by an increase in incentive compensation, an increase in business transformation costs as part of the 2026 program, and unfavorable impacts from foreign currency translation.</w:t>
      </w:r>
    </w:p>
    <w:p>
      <w:pPr>
        <w:pStyle w:val="TextBody"/>
        <w:bidi w:val="0"/>
        <w:spacing w:lineRule="auto" w:line="288" w:before="0" w:after="120"/>
        <w:jc w:val="both"/>
        <w:rPr/>
      </w:pPr>
      <w:r>
        <w:rPr>
          <w:rFonts w:ascii="Times New Roman;serif" w:hAnsi="Times New Roman;serif"/>
          <w:b w:val="false"/>
          <w:color w:val="000000"/>
          <w:sz w:val="20"/>
        </w:rPr>
        <w:t xml:space="preserve">The Company incurred Restructuring and related charges of $8.1 million and $8.8 million during the second quarter of 2026 and 2025, respectively, primarily related to additional reductions in headcount and facility closure costs as part of the 2022 program and 2026 program. See the Non-GAAP Measures section below and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rPr>
        <w:t xml:space="preserve">There were no impairment charges during the second quarter of 2026. During the second quarter of 2025, the Company recorded an $88.8 million non-cash impairment charge to write down the remaining value of goodwill associated with the Company’s EMEA reportable segment. This non-cash impairment charge was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See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Operating income in the </w:t>
      </w:r>
      <w:r>
        <w:rPr>
          <w:rFonts w:ascii="Times New Roman;serif" w:hAnsi="Times New Roman;serif"/>
          <w:b w:val="false"/>
          <w:color w:val="000000"/>
          <w:sz w:val="20"/>
        </w:rPr>
        <w:t>second quarter of 2026 was $40.6 million compared to the operating loss of $52.5 million in the second quarter of 2025. The operating loss in the second quarter of 2025 was primarily driven by the $88.8 million non-cash impairment charge described above. Excluding non-recurring and non-core expenses that are not indicative of the future operating performance of the Company described in the Non-GAAP Measures section of this Item below, the Company’s non-GAAP operating income was $55.3 million in the second quarter of 2026 and $50.6 million in the second quarter of 2025. The increase in non-GAAP operating income was primarily due to an increase in net sales, partially offset by higher SG&amp;A and slightly lower non-GAAP gross margins, as described above.</w:t>
      </w:r>
    </w:p>
    <w:p>
      <w:pPr>
        <w:pStyle w:val="TextBody"/>
        <w:bidi w:val="0"/>
        <w:spacing w:lineRule="auto" w:line="288" w:before="0" w:after="120"/>
        <w:jc w:val="both"/>
        <w:rPr/>
      </w:pPr>
      <w:r>
        <w:rPr>
          <w:rFonts w:ascii="Times New Roman;serif" w:hAnsi="Times New Roman;serif"/>
          <w:b w:val="false"/>
          <w:color w:val="000000"/>
          <w:sz w:val="20"/>
        </w:rPr>
        <w:t>The Company had Other income, net of $0.4 million in the second quarter of 2026 as compared to Other expense, net of $0.7 million in the second quarter of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second quarter of 2026 included foreign exchange transaction gains of $0.7 million compared to foreign exchange translation losses of $1.1 million in the prior year. Additionally, the second quarter of 2026 included debt extinguishment and modification costs of $1.7 million and a product liability claim reimbursement of $1.0 million, while the second quarter of 2025 included an earnout liability adjustment of $0.3 million.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was $9.9 million in the second quarter of 2026 compared to $12.8 million in the second quarter of 2025, a decrease of approximately $2.9 million, primarily as a result of lower outstanding borrowings and decreases in interest rates.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effective tax rates for the second quarters of 2026 and 2025 wer</w:t>
      </w:r>
      <w:r>
        <w:rPr>
          <w:rFonts w:ascii="Times New Roman;serif" w:hAnsi="Times New Roman;serif"/>
          <w:b w:val="false"/>
          <w:color w:val="000000"/>
          <w:sz w:val="20"/>
        </w:rPr>
        <w:t>e 35.9% an</w:t>
      </w:r>
      <w:r>
        <w:rPr>
          <w:rFonts w:ascii="Times New Roman;serif" w:hAnsi="Times New Roman;serif"/>
          <w:b w:val="false"/>
          <w:color w:val="000000"/>
          <w:sz w:val="20"/>
          <w:shd w:fill="FFFFFF" w:val="clear"/>
        </w:rPr>
        <w:t>d (8.3)%, respectively. The Company’s effective tax rate for the second quarter of 2026</w:t>
      </w:r>
      <w:r>
        <w:rPr>
          <w:color w:val="000000"/>
        </w:rPr>
        <w:t xml:space="preserve"> </w:t>
      </w:r>
      <w:r>
        <w:rPr>
          <w:rFonts w:ascii="Times New Roman;serif" w:hAnsi="Times New Roman;serif"/>
          <w:b w:val="false"/>
          <w:color w:val="000000"/>
          <w:sz w:val="20"/>
        </w:rPr>
        <w:t xml:space="preserve">was largely driven by our mix of pre-tax earnings and withholding taxes. </w:t>
      </w:r>
      <w:r>
        <w:rPr>
          <w:rFonts w:ascii="Times New Roman;serif" w:hAnsi="Times New Roman;serif"/>
          <w:b w:val="false"/>
          <w:color w:val="000000"/>
          <w:sz w:val="20"/>
          <w:shd w:fill="FFFFFF" w:val="clear"/>
        </w:rPr>
        <w:t>Comparatively, the effective tax rate for the second quarter of 2025 was largely driven by our mix of pre-tax earnings, goodwill impairment charges and withholding taxes, offset by return to provision adjustments and net favorable reductions in uncertain tax positions. Excluding the impact of non-core items in each quarter, described in the Non-GAAP Measures section of this Item below, the Company estimates that its effective tax rates would have been appro</w:t>
      </w:r>
      <w:r>
        <w:rPr>
          <w:rFonts w:ascii="Times New Roman;serif" w:hAnsi="Times New Roman;serif"/>
          <w:b w:val="false"/>
          <w:color w:val="000000"/>
          <w:sz w:val="20"/>
        </w:rPr>
        <w:t>ximately 28% for each of the second quarters of 2026 and 2025</w:t>
      </w:r>
      <w:r>
        <w:rPr>
          <w:rFonts w:ascii="Times New Roman;serif" w:hAnsi="Times New Roman;serif"/>
          <w:b w:val="false"/>
          <w:color w:val="000000"/>
          <w:sz w:val="20"/>
          <w:shd w:fill="FFFFFF" w:val="clear"/>
        </w:rPr>
        <w:t>.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$6.8 million in the second quarter of 2026 compared to $4.9 million in the second quarter of 2025, an increase of $1.9 million, primarily due to higher current year income from the Company’s 50% equity interest in a joint venture in Korea and higher current year income from the Company’s 32% investment in Primex, a captive insurance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 was immaterial in the second quarter of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the First Six Months of 2026 with the First Six Months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left"/>
        <w:tblInd w:w="0" w:type="dxa"/>
        <w:tblLayout w:type="fixed"/>
        <w:tblCellMar>
          <w:top w:w="28" w:type="dxa"/>
          <w:left w:w="28" w:type="dxa"/>
          <w:bottom w:w="28" w:type="dxa"/>
          <w:right w:w="28" w:type="dxa"/>
        </w:tblCellMar>
      </w:tblPr>
      <w:tblGrid>
        <w:gridCol w:w="439"/>
        <w:gridCol w:w="386"/>
        <w:gridCol w:w="391"/>
        <w:gridCol w:w="109"/>
        <w:gridCol w:w="109"/>
        <w:gridCol w:w="109"/>
        <w:gridCol w:w="264"/>
        <w:gridCol w:w="263"/>
        <w:gridCol w:w="658"/>
        <w:gridCol w:w="109"/>
        <w:gridCol w:w="109"/>
        <w:gridCol w:w="109"/>
        <w:gridCol w:w="475"/>
        <w:gridCol w:w="475"/>
        <w:gridCol w:w="1187"/>
        <w:gridCol w:w="109"/>
        <w:gridCol w:w="109"/>
        <w:gridCol w:w="109"/>
        <w:gridCol w:w="305"/>
        <w:gridCol w:w="305"/>
        <w:gridCol w:w="765"/>
        <w:gridCol w:w="109"/>
        <w:gridCol w:w="109"/>
        <w:gridCol w:w="109"/>
        <w:gridCol w:w="359"/>
        <w:gridCol w:w="359"/>
        <w:gridCol w:w="899"/>
        <w:gridCol w:w="109"/>
        <w:gridCol w:w="109"/>
        <w:gridCol w:w="109"/>
        <w:gridCol w:w="180"/>
        <w:gridCol w:w="181"/>
        <w:gridCol w:w="301"/>
        <w:gridCol w:w="109"/>
        <w:gridCol w:w="109"/>
        <w:gridCol w:w="160"/>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were $1,013.0 million in the first six months of 2026 compared to $926.3 million in the first six months of 2025. The net sales increase of $86.7 million, or 9%, year-over-year reflects an increase in organic sales volumes of approximately 5%, contributions from acquisitions of approximately 2%, and favorable foreign currency of approximately 3%, partially offset by decreases in selling price and product mix of approximately 1%. The increase in organic sales volumes, which was led by the Asia/Pacific segment, was primarily a result of continued new business wins across all segments. The decrease in selling price and product mix was primarily attributable to the impact of the mix of products and services and the impact of our index-based customer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COGS was $647.1 million in the first six months of 2026 compared to $593.3 million in the first six months of 2025. The increase in COGS of approximately $53.8 million, or 9%, primarily reflects an increase in spend on the increase in current year sales volumes. Additionally, COGS in the first six months of 2025 includes a $3.6 million gain related to an out-of-period inventory adjustment, which is partially offset by $6.0 million amortization of the fair value step-up in Dipsol’s inventories as a result of the Dipsol acquisition.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Gross profit was $365.9 million in the first six months of 2026 compared to $333.0 million in the first six months of 2025, an increase of approximately $32.9 million, or 10%, primarily due to an increase in net sales, as well as the $6.0 million amortization of the fair value step-up in Dipsol’s inventories as a result of the Dipsol acquisition in the first six months of 2025, partially offset by a $3.6 million gain related to an out-of-period inventory adjustment in the first six months of 2025. The Company’s reported gross margin in the first six months of 2026 was 36.1% compared to 35.9% in the first six months of 2025. The Company’s non-GAAP gross margin in the first six months of 2026 was 36.1% compared to 36.2% in the first six months of 2025. See the Non-GAAP Measures section of this Item below for additional details.</w:t>
      </w:r>
    </w:p>
    <w:p>
      <w:pPr>
        <w:pStyle w:val="TextBody"/>
        <w:bidi w:val="0"/>
        <w:spacing w:lineRule="auto" w:line="288" w:before="0" w:after="120"/>
        <w:jc w:val="both"/>
        <w:rPr/>
      </w:pPr>
      <w:r>
        <w:rPr>
          <w:rFonts w:ascii="Times New Roman;serif" w:hAnsi="Times New Roman;serif"/>
          <w:b w:val="false"/>
          <w:color w:val="000000"/>
          <w:sz w:val="20"/>
          <w:shd w:fill="FFFFFF" w:val="clear"/>
        </w:rPr>
        <w:t>SG&amp;A w</w:t>
      </w:r>
      <w:r>
        <w:rPr>
          <w:rFonts w:ascii="Times New Roman;serif" w:hAnsi="Times New Roman;serif"/>
          <w:b w:val="false"/>
          <w:color w:val="000000"/>
          <w:sz w:val="20"/>
        </w:rPr>
        <w:t>as $276.3 million in the first six months of 2026 compared to $245.6 million in the first six months of 2025, an increase of $30.7 million, or 12%, primarily driven by an increase in SG&amp;A relating to acquisitions, an increase in incentive compensation, an increase in business transformation costs under the 2026 program, and unfavorable impacts from foreign currency translation.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Restructuring and related charges of $15.5 million and $23.4 million during the first six months of 2026 and 2025, respectively, related to additional reductions in headcount and facility closure costs under the Company’s restructuring programs. See the Non-GAAP Measures section of this Item, below.</w:t>
      </w:r>
    </w:p>
    <w:p>
      <w:pPr>
        <w:pStyle w:val="TextBody"/>
        <w:bidi w:val="0"/>
        <w:spacing w:lineRule="auto" w:line="288" w:before="0" w:after="120"/>
        <w:jc w:val="both"/>
        <w:rPr/>
      </w:pPr>
      <w:r>
        <w:rPr>
          <w:rFonts w:ascii="Times New Roman;serif" w:hAnsi="Times New Roman;serif"/>
          <w:b w:val="false"/>
          <w:color w:val="000000"/>
          <w:sz w:val="20"/>
        </w:rPr>
        <w:t xml:space="preserve">There were no impairment charges during the second quarter of 2026. During the second quarter of 2025, the Company recorded an $88.8 million non-cash impairment charge to write down the remaining value of goodwill associated with the Company’s EMEA reportable segment. This non-cash impairment charge was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See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income in the first six months of 2026 was $74.2 million compared to the operating loss of $24.9 million in the first six months of 2025. The operating loss in the first six months of 2025 was primarily driven by the $88.8 million non-cash impairment charge described above. Excluding non-recurring and non-core expenses that are not indicative of the future operating performance of the Company described in the Non-GAAP Measures section of this Item, below, the Company’s current year non-GAAP operating income increased to $100.6 million for the first six months of 2026 compared to $96.4 million in the prior year’s first six months primarily due an increase in net sales, partially offset by an increase in SG&amp;A.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Other income, net of $0.4 million in the first six months of 2026 compared to Other expense, net of $1.4 million in the first six months of 2025. The first six months of 2026 included foreign exchange transaction gains of less than $0.1 million compared to foreign exchange translation losses of $4.6 million in the prior year. The first six months of 2026 also included $1.7 million of debt extinguishment and modification costs and a $1.0 million product liability claim reimbursement. In contrast, the first six months of 2025 included a $2.1 million gain on disposals of property and a $0.3 million earnout liability adjustment. See the Non-GAAP Measures section of this Item, 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of $19.8 million decreased $2.5 million in the first six months of 2026 compared to $22.3 million in the first six months of 2025 primarily as a result of lower outstanding borrowings and decreases in interest rates.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effective tax rates for the first six months of 2026 and 2025 were</w:t>
      </w:r>
      <w:r>
        <w:rPr>
          <w:color w:val="000000"/>
        </w:rPr>
        <w:t xml:space="preserve"> </w:t>
      </w:r>
      <w:r>
        <w:rPr>
          <w:rFonts w:ascii="Times New Roman;serif" w:hAnsi="Times New Roman;serif"/>
          <w:b w:val="false"/>
          <w:color w:val="000000"/>
          <w:sz w:val="20"/>
        </w:rPr>
        <w:t>33.4% and (26.8)%, respectively. The Company’s effective tax rate for the six months ended June 30, 2026 was largely driven by the mix of pre-tax earnings and withholding taxes. Comparatively, the effective tax rate for the first six months ended June 30, 2025 was primarily impacted by the mix of pre-tax earnings, goodwill impairment charges, return to provision adjustments and withholding taxes offset by net favorable reductions in uncertain tax positions. Excluding the impact of non-core items in each period, described in the Non-GAAP Measures section of this Item, below, the Company estimates that its effective tax rates for the first six months of 2026 and 2025 would have been approximately 28% and 29%, respectively. The Company expects continued volatility in its effective tax rates due to several factors, including the timing and scope of tax audits and the expiration of applicable statutes of lim</w:t>
      </w:r>
      <w:r>
        <w:rPr>
          <w:rFonts w:ascii="Times New Roman;serif" w:hAnsi="Times New Roman;serif"/>
          <w:b w:val="false"/>
          <w:color w:val="000000"/>
          <w:sz w:val="20"/>
          <w:shd w:fill="FFFFFF" w:val="clear"/>
        </w:rPr>
        <w:t>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$10.0 million in the first six months of 2026 compared to $7.9 million in the first six months of 2025. The increase of $2.1 million was primarily due to higher current year income from the Company’s 50% equity interest in a joint venture in Korea and higher current year income from the Company’s 32% investment in Primex, a captive insurance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 was less than $0.1 million in the first six months of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the Second Quarter of 2026 with the Second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income (expense), net.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Americas represented approximately 44% of the Company’s consolidated net sales in the second quarter of 2026. This segment’s net sales were $236.5 million, an increase of $15.5 million, or 7%, compared to the second quarter of 2025. This was driven by an increase in sales volumes of approximately 4%, a favorable foreign exchange impact of approximately 2%, and an increase in selling price and product mix of approximately 1%. Sales volumes increased compared to the prior year primarily due to new business wins. The increase in selling price and product mix was primarily attributable to pricing actions taken to offset higher raw material costs, as well as changes in the mix of products and services, and the impact of our index-based customer contracts. The favorable foreign exchange impact was primarily due to the weakening of the U.S. dollar against the Brazilian real. Segment operating earnings were $57.2 million, a decrease of $1.7 million, or 3%, compared to the second quarter of 2025, primarily driven by lower segment gross margins and higher SG&amp;A, partially offset by an increase in net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EMEA</w:t>
      </w:r>
    </w:p>
    <w:p>
      <w:pPr>
        <w:pStyle w:val="TextBody"/>
        <w:bidi w:val="0"/>
        <w:spacing w:lineRule="auto" w:line="288" w:before="0" w:after="120"/>
        <w:jc w:val="both"/>
        <w:rPr/>
      </w:pPr>
      <w:r>
        <w:rPr>
          <w:rFonts w:ascii="Times New Roman;serif" w:hAnsi="Times New Roman;serif"/>
          <w:b w:val="false"/>
          <w:color w:val="000000"/>
          <w:sz w:val="20"/>
          <w:shd w:fill="FFFFFF" w:val="clear"/>
        </w:rPr>
        <w:t>EMEA represented approximate</w:t>
      </w:r>
      <w:r>
        <w:rPr>
          <w:rFonts w:ascii="Times New Roman;serif" w:hAnsi="Times New Roman;serif"/>
          <w:b w:val="false"/>
          <w:color w:val="000000"/>
          <w:sz w:val="20"/>
        </w:rPr>
        <w:t xml:space="preserve">ly 30% of the Company’s consolidated net sales in the second quarter of 2026. This segment’s net sales were $158.4 million, an increase of $18.5 million, or 13%, compared to the second quarter of 2025. This was driven by an increase in organic sales volumes of approximately 7%, an increase in selling price and product mix of approximately 4% and a favorable impact from foreign currency translation of approximately 2%. The increase in organic sales volumes was primarily driven by new business wins. The increase in selling price and product mix was primarily attributable to pricing actions taken to offset higher raw material costs, as well as changes in the mix of products and services, and the impact of our index-based customer contracts. The favorable foreign currency translation impact was primarily due to the weakening of the U.S. dollar against the Euro. Segment operating earnings were $32.7 million, an increase of $7.7 million, or 31%, compared to the second quarter of 2025, primarily due to an increase in net sales and an improvement in segment gross margins, partially offset by higher SG&amp;A.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Asia/Pacific represented approximately 26% of the Company’s consolidated net sales in the second quarter of 2026. This segment’s net sales were $137.6 million, an increase of $15.2 million, or 12%, compared to the second quarter of 2025. This was driven by an increase in organic sales volumes of approximately 10%, an increase in selling price and product mix of approximately 1%, and a favorable impact from foreign currency translation of approximately 1%. The increase in organic sales volumes was primarily driven by new business wins. The favorable foreign currency translation impact was primarily due to the weakening of the U.S. dollar against the Chinese renminbi. The increase in selling price and product mix was primarily attributable to pricing actions taken to offset higher raw material costs, as well as changes in the mix of products and services, and the impact of our index-based customer contracts. Segment operating earnings were $36.6 million, an increase of $7.8 million, or 27%, compared to the second quarter of 2025, primarily due to an increase in net sales and an improvement in segment gross margins, partially offset by higher SG&amp;A.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the First Six Months of 2026 with the First Six Months of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Americas represented approximately 44% of the Company’s consolidated net sales in the first six months of 2026. This segment’s net sales were $450.2 million, an increase of $15.5 million, or 4%, compared to the first six months of 2025. This was driven by an increase in organic sales volumes of approximately 2%, an increase in sales from the acquisition of Dipsol of approximately 1%, and a favorable impact of foreign currency translation of approximately 1%. Selling price and product mix remained consistent compared to the prior year. Sales volumes increased compared to the prior year due to new business wins. The favorable foreign exchange impact was primarily due to the weakening of the U.S. dollar against the Brazilian real during the first six months of 2026 compared to 2025. The Americas segment’s operating earnings were $111.2 million, a decrease of $6.3 million, or 5%, compared to the first six months of 2025 primarily driven by lower segment gross margins and higher SG&amp;A, partially offset by an increase in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120" w:after="120"/>
        <w:jc w:val="both"/>
        <w:rPr/>
      </w:pPr>
      <w:r>
        <w:rPr>
          <w:rFonts w:ascii="Times New Roman;serif" w:hAnsi="Times New Roman;serif"/>
          <w:b w:val="false"/>
          <w:color w:val="000000"/>
          <w:sz w:val="20"/>
          <w:shd w:fill="FFFFFF" w:val="clear"/>
        </w:rPr>
        <w:t>EMEA represented</w:t>
      </w:r>
      <w:r>
        <w:rPr>
          <w:color w:val="000000"/>
        </w:rPr>
        <w:t xml:space="preserve"> </w:t>
      </w:r>
      <w:r>
        <w:rPr>
          <w:rFonts w:ascii="Times New Roman;serif" w:hAnsi="Times New Roman;serif"/>
          <w:b w:val="false"/>
          <w:color w:val="000000"/>
          <w:sz w:val="20"/>
        </w:rPr>
        <w:t>approximately 30% of the Company’s consolidated net sales in the first six months of 2026. This segment’s net sales were $300.5 million, an increase</w:t>
      </w:r>
      <w:r>
        <w:rPr>
          <w:color w:val="000000"/>
          <w:shd w:fill="FFFFFF" w:val="clear"/>
        </w:rPr>
        <w:t xml:space="preserve"> </w:t>
      </w:r>
      <w:r>
        <w:rPr>
          <w:rFonts w:ascii="Times New Roman;serif" w:hAnsi="Times New Roman;serif"/>
          <w:b w:val="false"/>
          <w:color w:val="000000"/>
          <w:sz w:val="20"/>
          <w:shd w:fill="FFFFFF" w:val="clear"/>
        </w:rPr>
        <w:t xml:space="preserve">of $31.3 million, or </w:t>
      </w:r>
      <w:r>
        <w:rPr>
          <w:rFonts w:ascii="Times New Roman;serif" w:hAnsi="Times New Roman;serif"/>
          <w:b w:val="false"/>
          <w:color w:val="000000"/>
          <w:sz w:val="20"/>
        </w:rPr>
        <w:t>12%</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compared to the first six months of 2025. This was the result of an increase in organic sales volumes of approximately 5%, a favorable foreign currency translation impact of approximately 7%, and sales from acquisitions of approximately 1%, partially offset by a decrease in selling price and product mix of approximately 1%. Sales volumes increased compared to the prior year due to new business wins. The favorable foreign currency translation impact was primarily due to the weakening of the U.S. dollar against the Euro. The decrease in selling price and product mix was primarily attributable to the impact of the mix of products and services and the impact of our index-based customer contracts. The EMEA segment’s operating earnings were $58.3 million, an increase of $9.9 million, or 20%, compared to the first six months of 2025, primarily driven by an increase in net sales and higher segment gross margins, partially offset by higher SG&amp;A.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Asia/Pacific represented approximately 26% of the Company’s consolidated net sales in the first six months of 2026. This segment’s net sales were $262.3 million, an increase of $39.9 million, or 18%, compared to the first six months of 2025. This was driven by an increase in organic sales volumes of approximately 10%, contributions from the acquisition of Dipsol of approximately 6%, and a favorable impact of foreign currency translation of approximately 2%. Selling price and product mix remained consistent compared to the prior year. The increase in organic sales volumes was primarily driven by new business wins coupled with a more favorable end market environment compared to the prior year period. The favorable foreign exchange impact was primarily due to the weakening of the U.S. dollar against the Chinese renminbi. The Asia/Pacific segment’s operating earnings were $70.8 million, an increase of $16.2 million, or 30%, compared to the first six months of 2025 primarily due to an increase in net sales and an increase in segment gross margins and higher SG&amp;A.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Non-GAAP Measures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Form 10-Q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The Company presents non-GAAP operating income, which is calculated as operating income plus or minus certain items that are not considered indicative of future operating performance or considered core to the Company’s operations. Additionally, the Company presents non-GAAP gross profit, which is calculated as gross profit plus or minus certain items that management believes are not considered indicative of future operating performance or considered core to the Company’s operations. Adjusted EBITDA margin, non-GAAP operating margin, and non-GAAP gross margin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67"/>
        <w:gridCol w:w="1238"/>
        <w:gridCol w:w="124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Gross Profit and Margin Reconciliations</w:t>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335,401 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 (%) (t)</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1549"/>
        <w:gridCol w:w="1295"/>
        <w:gridCol w:w="1299"/>
        <w:gridCol w:w="211"/>
        <w:gridCol w:w="721"/>
        <w:gridCol w:w="271"/>
        <w:gridCol w:w="109"/>
        <w:gridCol w:w="109"/>
        <w:gridCol w:w="109"/>
        <w:gridCol w:w="211"/>
        <w:gridCol w:w="779"/>
        <w:gridCol w:w="271"/>
        <w:gridCol w:w="109"/>
        <w:gridCol w:w="109"/>
        <w:gridCol w:w="109"/>
        <w:gridCol w:w="211"/>
        <w:gridCol w:w="826"/>
        <w:gridCol w:w="271"/>
        <w:gridCol w:w="109"/>
        <w:gridCol w:w="109"/>
        <w:gridCol w:w="109"/>
        <w:gridCol w:w="211"/>
        <w:gridCol w:w="779"/>
        <w:gridCol w:w="319"/>
      </w:tblGrid>
      <w:tr>
        <w:trPr/>
        <w:tc>
          <w:tcPr>
            <w:tcW w:w="154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Operating Income and Margin Reconciliations</w:t>
            </w:r>
          </w:p>
        </w:tc>
        <w:tc>
          <w:tcPr>
            <w:tcW w:w="27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(52,510)</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74,192 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(24,886)</w:t>
            </w:r>
          </w:p>
        </w:tc>
        <w:tc>
          <w:tcPr>
            <w:tcW w:w="31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319"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(m)</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319"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(o)</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31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headquarter lease costs (q)</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(k)</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319"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55,287 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50,641 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100,636 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96,411 </w:t>
            </w:r>
          </w:p>
        </w:tc>
        <w:tc>
          <w:tcPr>
            <w:tcW w:w="31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 (%) (t)</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1604"/>
        <w:gridCol w:w="1256"/>
        <w:gridCol w:w="1259"/>
        <w:gridCol w:w="211"/>
        <w:gridCol w:w="721"/>
        <w:gridCol w:w="271"/>
        <w:gridCol w:w="109"/>
        <w:gridCol w:w="109"/>
        <w:gridCol w:w="109"/>
        <w:gridCol w:w="211"/>
        <w:gridCol w:w="757"/>
        <w:gridCol w:w="271"/>
        <w:gridCol w:w="109"/>
        <w:gridCol w:w="109"/>
        <w:gridCol w:w="109"/>
        <w:gridCol w:w="211"/>
        <w:gridCol w:w="826"/>
        <w:gridCol w:w="271"/>
        <w:gridCol w:w="109"/>
        <w:gridCol w:w="109"/>
        <w:gridCol w:w="109"/>
        <w:gridCol w:w="211"/>
        <w:gridCol w:w="826"/>
        <w:gridCol w:w="318"/>
      </w:tblGrid>
      <w:tr>
        <w:trPr/>
        <w:tc>
          <w:tcPr>
            <w:tcW w:w="160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Adjusted EBITDA, Adjusted EBITDA Margin and Non-GAAP Net Income Reconciliations</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26,835 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46,504 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(53,658)</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73,475 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(24,408)</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136,038 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(l)</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(o)</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88,840 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reimbursement (p)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acquisition-related hedges (h)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(i)</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3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costs (n)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headquarter lease costs (q)</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75,479 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157,696 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144,527 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 (t)</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144,527 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 (r)</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44,751 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Taxes on income before equity in net income of associated companies - adjusted (s)</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21,104 </w:t>
            </w:r>
          </w:p>
        </w:tc>
        <w:tc>
          <w:tcPr>
            <w:tcW w:w="3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Acquisition-related depreciation and amortization (k)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37,903 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66,277 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58,029 </w:t>
            </w:r>
          </w:p>
        </w:tc>
        <w:tc>
          <w:tcPr>
            <w:tcW w:w="31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2159"/>
        <w:gridCol w:w="1795"/>
        <w:gridCol w:w="1800"/>
        <w:gridCol w:w="211"/>
        <w:gridCol w:w="511"/>
        <w:gridCol w:w="109"/>
        <w:gridCol w:w="109"/>
        <w:gridCol w:w="109"/>
        <w:gridCol w:w="109"/>
        <w:gridCol w:w="211"/>
        <w:gridCol w:w="560"/>
        <w:gridCol w:w="109"/>
        <w:gridCol w:w="109"/>
        <w:gridCol w:w="109"/>
        <w:gridCol w:w="109"/>
        <w:gridCol w:w="211"/>
        <w:gridCol w:w="511"/>
        <w:gridCol w:w="109"/>
        <w:gridCol w:w="109"/>
        <w:gridCol w:w="109"/>
        <w:gridCol w:w="109"/>
        <w:gridCol w:w="211"/>
        <w:gridCol w:w="560"/>
        <w:gridCol w:w="157"/>
      </w:tblGrid>
      <w:tr>
        <w:trPr/>
        <w:tc>
          <w:tcPr>
            <w:tcW w:w="215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Earnings per Diluted Share Reconciliations</w:t>
            </w:r>
          </w:p>
        </w:tc>
        <w:tc>
          <w:tcPr>
            <w:tcW w:w="20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earnings (loss) per diluted share attributable to Quaker Chemical Corporation common shareholders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step-up inventory amortization (l)</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inventory and other adjustments (m)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(o)</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liability claim reimbursement (p)</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(g)</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acquisition-related hedges (h)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(i)</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costs (n)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headquarter lease costs (q)</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items (j)</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57"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5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 (u)</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(a)Restructuring and related charges, net represent the costs incurred by the Company associated with the Company’s restructuring programs and facility closure actions.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(b)Acquisition-related expenses include expenses associated with the Company’s recent and potential acquisitions, including legal, financial, consulting and other costs.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(c)Business transformation costs represent non-recurring expenses associated with the Company’s global business transformation program which was initiated in 2026. These costs generally relate to one-time third-party consulting costs relating to simplifying the organizational structure of legal entities, projects associated with information technology infrastructure initiatives, the optimization of specific product portfolios through targeted rationalization efforts, and the optimization of certain supply chain activities. See Note 7, </w:t>
      </w:r>
      <w:r>
        <w:rPr>
          <w:rFonts w:ascii="Times New Roman;serif" w:hAnsi="Times New Roman;serif"/>
          <w:b w:val="false"/>
          <w:i/>
          <w:color w:val="000000"/>
          <w:sz w:val="20"/>
        </w:rPr>
        <w:t xml:space="preserve">Restructuring and Related Activities, </w:t>
      </w:r>
      <w:r>
        <w:rPr>
          <w:rFonts w:ascii="Times New Roman;serif" w:hAnsi="Times New Roman;serif"/>
          <w:b w:val="false"/>
          <w:color w:val="000000"/>
          <w:sz w:val="20"/>
        </w:rPr>
        <w:t>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(d)Pension and postretirement benefit costs, non-service components represents the pre-tax, non-service components of the Company’s pension and postretirement net periodic benefit cost in each period. See Note 9, </w:t>
      </w:r>
      <w:r>
        <w:rPr>
          <w:rFonts w:ascii="Times New Roman;serif" w:hAnsi="Times New Roman;serif"/>
          <w:b w:val="false"/>
          <w:i/>
          <w:color w:val="000000"/>
          <w:sz w:val="20"/>
        </w:rPr>
        <w:t>Pension and Other Postretirement Benefits,</w:t>
      </w:r>
      <w:r>
        <w:rPr>
          <w:color w:val="000000"/>
        </w:rPr>
        <w:t xml:space="preserve"> </w:t>
      </w:r>
      <w:r>
        <w:rPr>
          <w:rFonts w:ascii="Times New Roman;serif" w:hAnsi="Times New Roman;serif"/>
          <w:b w:val="false"/>
          <w:color w:val="000000"/>
          <w:sz w:val="20"/>
        </w:rPr>
        <w:t>and Note 10,</w:t>
      </w:r>
      <w:r>
        <w:rPr>
          <w:color w:val="000000"/>
        </w:rPr>
        <w:t xml:space="preserve"> </w:t>
      </w: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 xml:space="preserve">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(e)Other charges include professional fees incurred in connection with tax audits, certain consultant and advisory expenses for the Company’s long-term strategic planning, and other items.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(g)</w:t>
      </w:r>
      <w:r>
        <w:rPr>
          <w:rFonts w:ascii="Times New Roman;serif" w:hAnsi="Times New Roman;serif"/>
          <w:b w:val="false"/>
          <w:color w:val="000000"/>
          <w:sz w:val="20"/>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six months ended June 30, 2026 and 2025. The charges incurred relate to the immediate recognition of foreign currency remeasurement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(h)(Gain) loss on acquisition-related hedges represents the mark-to-market and settlement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(i)Gain on sale of assets represents the gain recognized on the sale of certain property previously classified as held for sale and gain on sale of other assets that are not considered core to the Company’s operations.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(j)Discrete tax items include certain impacts of uncertain tax positions.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to the Condensed Consolidated Financial Statements for more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(k)Acquisition-related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for more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 xml:space="preserve">(l)Acquisition-related step-up inventory amortization represents the amortization of the fair value step-up in Dipsol’s inventories as a result of the acquisition, which was recorded within Cost of goods sold in the Company’s Condensed Consolidated Statements of Operations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2025. See Note 2, </w:t>
      </w:r>
      <w:r>
        <w:rPr>
          <w:rFonts w:ascii="Times New Roman;serif" w:hAnsi="Times New Roman;serif"/>
          <w:b w:val="false"/>
          <w:i/>
          <w:color w:val="000000"/>
          <w:sz w:val="20"/>
          <w:shd w:fill="FFFFFF" w:val="clear"/>
        </w:rPr>
        <w:t>Business Acquisitions</w:t>
      </w:r>
      <w:r>
        <w:rPr>
          <w:rFonts w:ascii="Times New Roman;serif" w:hAnsi="Times New Roman;serif"/>
          <w:b w:val="false"/>
          <w:color w:val="000000"/>
          <w:sz w:val="20"/>
          <w:shd w:fill="FFFFFF" w:val="clear"/>
        </w:rPr>
        <w:t>, 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(m)Gain on inventory and other adjustments represents immaterial out-of-period adjustments for inventory and other items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was recorded within Cost of goods sold and SG&amp;A in the Company’s Condensed Consolidated Statements of Operations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2025</w:t>
      </w:r>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(n)Debt modification and extinguishment costs includes the write-off of certain previously unamortized deferred financing costs as well as a portion of the third-party costs incurred to execute an amendment to the Company’s Credit Facility. See Note 14, </w:t>
      </w:r>
      <w:r>
        <w:rPr>
          <w:rFonts w:ascii="Times New Roman;serif" w:hAnsi="Times New Roman;serif"/>
          <w:b w:val="false"/>
          <w:i/>
          <w:color w:val="000000"/>
          <w:sz w:val="20"/>
        </w:rPr>
        <w:t>Debt</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(o)Impairment charges represents the non-cash charge taken to write down the remaining carrying value of goodwill in the EMEA reportable segment during the three and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See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(p)Product liability claim reimbursement reflects insurance recoveries relating to a previous payment by the Company in connection with a product liability dispute with a customer. See Note 10, </w:t>
      </w:r>
      <w:r>
        <w:rPr>
          <w:rFonts w:ascii="Times New Roman;serif" w:hAnsi="Times New Roman;serif"/>
          <w:b w:val="false"/>
          <w:i/>
          <w:color w:val="000000"/>
          <w:sz w:val="20"/>
        </w:rPr>
        <w:t>Other Income (Expense), net</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(q)Duplicate headquarter lease costs represent operating lease expenses and variable lease costs associated with the new Radnor, Pennsylvania laboratory and Headquarters lease, a non-recurring event, during the transition period. These costs are incurred concurrently with the Company's existing Conshohocken, Pennsylvania laboratory and Headquarters lease. Once the Company’s old lease agreement expires during the first quarter of 2027, adjustments for the new headquarter lease costs will not be necessary. See Note 6,</w:t>
      </w:r>
      <w:r>
        <w:rPr>
          <w:color w:val="000000"/>
        </w:rPr>
        <w:t xml:space="preserve"> </w:t>
      </w:r>
      <w:r>
        <w:rPr>
          <w:rFonts w:ascii="Times New Roman;serif" w:hAnsi="Times New Roman;serif"/>
          <w:b w:val="false"/>
          <w:i/>
          <w:color w:val="000000"/>
          <w:sz w:val="20"/>
        </w:rPr>
        <w:t>Leases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(r)Depreciation and amortization for the three and six months ended June 30, 2026 and 2025 each includes approximately $0.2 million and $0.5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(s)</w:t>
      </w:r>
      <w:r>
        <w:rPr>
          <w:rFonts w:ascii="Times New Roman;serif" w:hAnsi="Times New Roman;serif"/>
          <w:b w:val="false"/>
          <w:color w:val="000000"/>
          <w:sz w:val="20"/>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 This caption also includes the impact of specific tax charges and benefits for the three and six months ended June 30, 2026 and 2025.</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(t)The Company calculates adjusted EBITDA margin, non-GAAP operating margin, and non-GAAP gross margin as the percentage of adjusted EBITDA, non-GAAP operating income, and non-GAAP gross profit to consolidated net sales.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(u)In each given period, the Company calculates non-GAAP earnings per diluted share as non-GAAP net income attributable to the Company per weighted average diluted shares outstanding using the “two-class share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off-balance sheet items outstanding as of June 30, 2026 include approximately $7 million of bank letters of credit and guarantees. The bank letters of credit and guarantees are not significant to the Company’s liquidity or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Factors That May Affect Our Future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inflationary pressures, increases in raw material costs, supply chain constraints and other impacts of economic downturns, as well as high interest rates and their impact on our and our customers’ business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 and housing market;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future results and plans including our sustainability goals and enterprise strategy.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and the potential impacts therefrom, including those arising from OBBB;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automotive, aerospace, industrial equipment, aluminum, and durable goods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Report, in the Company’s 2025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Quaker Houghton on the Internet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evaluated the information required under this Item that was disclosed in Part II, Item 7A, of our Annual Report on Form 10-K for the year ended December 31, 2025, and we believe there has been no material change to that information, except the interest rate risk noted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borrowings under the Company’s Amended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Amended Credit Facility, if interest rates rise significantly, the cost of debt to the Company will increase. This may have an adverse effect on the Company, depending on the extent of the Company’s borrowings outstanding throughout a given year.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From 2023 until the first quarter of 2026, the Company had interest rate swaps in place to convert a portion of the Company's variable rate borrowings under the Credit Facility to a fixed rate exposure. In March 2026, these interest rate swap contracts expired. In April 2026, the Company further amended its Credit Facility. In April 2026, the Company entered into $400.0 million notional amounts of four-year interest rate swaps, converting a portion of the Company’s variable rate borrowings into an average fixed rate of 3.58% plus the applicable margin.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outstanding borrowings under the Amended Credit Facility and Credit Facility of approximately $864.7 million and $859.7 million, respectively. The interest rate applicable on outstanding borrowings under the Amended Credit Facility and Credit Facility was approximately 4.4% and 4.7% as of June 30, 2026, and December 31, 2025, respectively. An interest rate change of 100 basis points would have resulted in an approximate $4.3 million and $8.6 million increase or decrease to interest expense for the six months ended June 30, 2026, and year ended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June 30, 2026, the end of the period covered by this Report, our disclosure controls and procedures (as defined in Rule 13a-15(e) under the Exchange Act) were effective.</w:t>
      </w:r>
    </w:p>
    <w:p>
      <w:pPr>
        <w:pStyle w:val="TextBody"/>
        <w:bidi w:val="0"/>
        <w:spacing w:lineRule="auto" w:line="288" w:before="0" w:after="1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June 30, 2026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erif" w:hAnsi="Times New Roman;serif"/>
          <w:b w:val="false"/>
          <w:color w:val="000000"/>
          <w:sz w:val="20"/>
          <w:shd w:fill="FFFFFF" w:val="clear"/>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Items 3 and 4 of Part II are inapplicable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pPr>
      <w:r>
        <w:rPr>
          <w:rFonts w:ascii="Times New Roman;serif" w:hAnsi="Times New Roman;serif"/>
          <w:b w:val="false"/>
          <w:color w:val="000000"/>
          <w:sz w:val="20"/>
        </w:rPr>
        <w:t xml:space="preserve">Incorporated by reference is the information in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2025 Form 10-K. There have been no material changes to the risk factors described therein other than as follows.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2025 10-K and could negatively impact our businesses and financial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Geopolitical instability, ongoing military conflicts involving Iran and other potential global events could materially and adversely affect our business, operations, and financial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Military conflict in the Middle East involving Iran has escalated in recent periods. This may result in extended or expanded military conflict, including to other countries, acts of terrorism, or other forms of regional instability. Such events could have a number of adverse impacts on our business, including but not limited to:</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 xml:space="preserve">Disruption of Supply Chains: </w:t>
      </w:r>
      <w:r>
        <w:rPr>
          <w:rFonts w:ascii="Times New Roman;serif" w:hAnsi="Times New Roman;serif"/>
          <w:b w:val="false"/>
          <w:color w:val="000000"/>
          <w:sz w:val="20"/>
        </w:rPr>
        <w:t>Events unfolding in the Middle East have disrupted critical shipping routes (such as the Strait of Hormuz), delayed the delivery of raw materials and finished goods, and increased transportation and logistics costs. These may increase our materials costs or make it difficult or impossible to obtain necessary raw materials.</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Energy Price Volatility:</w:t>
      </w:r>
      <w:r>
        <w:rPr>
          <w:color w:val="000000"/>
        </w:rPr>
        <w:t xml:space="preserve"> </w:t>
      </w:r>
      <w:r>
        <w:rPr>
          <w:rFonts w:ascii="Times New Roman;serif" w:hAnsi="Times New Roman;serif"/>
          <w:b w:val="false"/>
          <w:color w:val="000000"/>
          <w:sz w:val="20"/>
        </w:rPr>
        <w:t>Iran and its neighbors are significant oil producers, and conflict in the region has led to sharp increases and volatility in global energy prices, which may be prolonged and which may increase our operating costs and impact customer demand.</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Sanctions and Regulatory Risks:</w:t>
      </w:r>
      <w:r>
        <w:rPr>
          <w:color w:val="000000"/>
        </w:rPr>
        <w:t xml:space="preserve"> </w:t>
      </w:r>
      <w:r>
        <w:rPr>
          <w:rFonts w:ascii="Times New Roman;serif" w:hAnsi="Times New Roman;serif"/>
          <w:b w:val="false"/>
          <w:color w:val="000000"/>
          <w:sz w:val="20"/>
        </w:rPr>
        <w:t>The imposition of new or expanded U.S., EU, or UN sanctions in response to hostilities could restrict our ability to conduct business with certain customers, suppliers, or financial institutions, and may require us to incur significant costs to ensure compliance or to unwind existing relationships.</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Cybersecurity Threats</w:t>
      </w:r>
      <w:r>
        <w:rPr>
          <w:rFonts w:ascii="Times New Roman;serif" w:hAnsi="Times New Roman;serif"/>
          <w:b w:val="false"/>
          <w:color w:val="000000"/>
          <w:sz w:val="20"/>
        </w:rPr>
        <w:t>: Heightened geopolitical tensions may increase the risk of cyberattacks or other malicious activities targeting our information systems, potentially resulting in data breaches, business interruption, or reputational harm.</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Insurance and Financial Market Impacts:</w:t>
      </w:r>
      <w:r>
        <w:rPr>
          <w:color w:val="000000"/>
        </w:rPr>
        <w:t xml:space="preserve"> </w:t>
      </w:r>
      <w:r>
        <w:rPr>
          <w:rFonts w:ascii="Times New Roman;serif" w:hAnsi="Times New Roman;serif"/>
          <w:b w:val="false"/>
          <w:color w:val="000000"/>
          <w:sz w:val="20"/>
        </w:rPr>
        <w:t>War or ongoing instability may result in higher insurance premiums, reduced availability of coverage for war-related losses, and increased volatility in global financial markets, which could adversely affect our liquidity and access to capital.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events, or other unforeseen consequences of conflict involving Iran and/or the Middle East, could materially and adversely affect our business, financial condition, results of operations, and cash flows. We cannot predict the duration or scope of any such conflict, nor the extent to which it may impact our business or the global economy.</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Layout w:type="fixed"/>
        <w:tblCellMar>
          <w:top w:w="28" w:type="dxa"/>
          <w:left w:w="28" w:type="dxa"/>
          <w:bottom w:w="28" w:type="dxa"/>
          <w:right w:w="28" w:type="dxa"/>
        </w:tblCellMar>
      </w:tblPr>
      <w:tblGrid>
        <w:gridCol w:w="328"/>
        <w:gridCol w:w="289"/>
        <w:gridCol w:w="290"/>
        <w:gridCol w:w="109"/>
        <w:gridCol w:w="109"/>
        <w:gridCol w:w="109"/>
        <w:gridCol w:w="373"/>
        <w:gridCol w:w="373"/>
        <w:gridCol w:w="374"/>
        <w:gridCol w:w="109"/>
        <w:gridCol w:w="109"/>
        <w:gridCol w:w="109"/>
        <w:gridCol w:w="232"/>
        <w:gridCol w:w="793"/>
        <w:gridCol w:w="119"/>
        <w:gridCol w:w="109"/>
        <w:gridCol w:w="109"/>
        <w:gridCol w:w="109"/>
        <w:gridCol w:w="793"/>
        <w:gridCol w:w="793"/>
        <w:gridCol w:w="795"/>
        <w:gridCol w:w="109"/>
        <w:gridCol w:w="109"/>
        <w:gridCol w:w="109"/>
        <w:gridCol w:w="454"/>
        <w:gridCol w:w="2553"/>
        <w:gridCol w:w="338"/>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t>
              <w:b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w:t>
              <w:br/>
              <w:t>Average</w:t>
              <w:br/>
              <w:t>Price Paid</w:t>
              <w:br/>
              <w:t>Per Share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w:t>
              <w:br/>
              <w:t>Total Number of</w:t>
              <w:br/>
              <w:t>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w:t>
              <w:br/>
              <w:t>Approximate Dollar Value of Shares that May Yet be Purchased Under the Plans or Programs (2)</w:t>
            </w:r>
          </w:p>
        </w:tc>
      </w:tr>
      <w:tr>
        <w:trPr/>
        <w:tc>
          <w:tcPr>
            <w:tcW w:w="9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239,589,877 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229,449,002 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1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229,449,002 </w:t>
            </w:r>
          </w:p>
        </w:tc>
        <w:tc>
          <w:tcPr>
            <w:tcW w:w="33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(1)1,763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Company maintained the 2024 Share Repurchase Plan, which was approved by the Board and announced by the Company on February 28, 2024, authorized the repurchase of up to $150.0 million of Quaker Chemical Corporation common stock, and had no expiration date. On May 13, 2026, the Board of Directors of the Company approved, and the Company announced, the 2026 Share Repurchase Program, pursuant to which the Company is authorized to repurchase up to $250 million of Quaker Chemical Corporation common stock, which replaced the 2024 Share Repurchase Plan and has no expiration date. The number of shares to be repurchased and the timing of such transactions will depend on a variety of factors, including market conditions. During May 2026, the Company repurchased 25,277 shares under the 2024 Share Repurchase Program and, subsequently, 74,233 shares under the 2026 Share Repurchase Program.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Limitation on the Payment of Dividends</w:t>
      </w:r>
    </w:p>
    <w:p>
      <w:pPr>
        <w:pStyle w:val="TextBody"/>
        <w:bidi w:val="0"/>
        <w:spacing w:lineRule="auto" w:line="288" w:before="0" w:after="120"/>
        <w:jc w:val="both"/>
        <w:rPr/>
      </w:pPr>
      <w:r>
        <w:rPr>
          <w:rFonts w:ascii="Times New Roman;serif" w:hAnsi="Times New Roman;serif"/>
          <w:b w:val="false"/>
          <w:color w:val="000000"/>
          <w:sz w:val="20"/>
        </w:rPr>
        <w:t xml:space="preserve">The Amended Credit Facility has certain limitations on the payment of dividends and other so-called restricted payment covenants. See Note 14, </w:t>
      </w:r>
      <w:r>
        <w:rPr>
          <w:rFonts w:ascii="Times New Roman;serif" w:hAnsi="Times New Roman;serif"/>
          <w:b w:val="false"/>
          <w:i/>
          <w:color w:val="000000"/>
          <w:sz w:val="20"/>
        </w:rPr>
        <w:t>Debt</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20"/>
        <w:jc w:val="both"/>
        <w:rPr/>
      </w:pPr>
      <w:r>
        <w:rPr>
          <w:rFonts w:ascii="Times New Roman;serif" w:hAnsi="Times New Roman;serif"/>
          <w:b w:val="false"/>
          <w:color w:val="000000"/>
          <w:sz w:val="20"/>
        </w:rPr>
        <w:t xml:space="preserve">No director or officer (as defined in Rule 16a-1(f) promulgated under the Exchange Act) of the Company adopted or terminated any Rule 10b5-1 trading arrangement or any non-Rule 10b5-1 trading arrangement (as such terms are defined in Item 408 of Regulation S-K) during the quarter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abbe3c954dc409b897985411ed909bb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39"/>
        <w:gridCol w:w="211"/>
        <w:gridCol w:w="217"/>
        <w:gridCol w:w="109"/>
        <w:gridCol w:w="109"/>
        <w:gridCol w:w="109"/>
        <w:gridCol w:w="2695"/>
        <w:gridCol w:w="2695"/>
        <w:gridCol w:w="3821"/>
      </w:tblGrid>
      <w:tr>
        <w:trPr/>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2">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Registrant with its quarterly report on Form 10-Q filed on August 1, 2019.</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3">
              <w:r>
                <w:rPr>
                  <w:rStyle w:val="InternetLink"/>
                  <w:rFonts w:ascii="Times New Roman;serif" w:hAnsi="Times New Roman;serif"/>
                  <w:b w:val="false"/>
                  <w:color w:val="000080"/>
                  <w:sz w:val="20"/>
                  <w:u w:val="single"/>
                </w:rPr>
                <w:t>Amended and Restated By-laws (effective December 19, 2022). Incorporated by reference to Exhibit 3.1 as filed by the Registrant with</w:t>
              </w:r>
            </w:hyperlink>
            <w:hyperlink r:id="rId4">
              <w:r>
                <w:rPr>
                  <w:rStyle w:val="InternetLink"/>
                  <w:rFonts w:ascii="Times New Roman;serif" w:hAnsi="Times New Roman;serif"/>
                  <w:b w:val="false"/>
                  <w:color w:val="000080"/>
                  <w:sz w:val="20"/>
                  <w:u w:val="single"/>
                </w:rPr>
                <w:t xml:space="preserve"> its current report on Form 8-K on December 20, 2022.</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2-exx101.htm">
              <w:r>
                <w:rPr>
                  <w:rStyle w:val="InternetLink"/>
                  <w:rFonts w:ascii="Times New Roman;serif" w:hAnsi="Times New Roman;serif"/>
                  <w:b w:val="false"/>
                  <w:color w:val="0000FF"/>
                  <w:sz w:val="20"/>
                  <w:u w:val="single"/>
                </w:rPr>
                <w:t>Separation Agreement and General Release by and between Quaker Chemical Corporation and Anna Ransley, dated April 21, 2026.*†</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5">
              <w:r>
                <w:rPr>
                  <w:rStyle w:val="InternetLink"/>
                  <w:rFonts w:ascii="Times New Roman;serif" w:hAnsi="Times New Roman;serif"/>
                  <w:b w:val="false"/>
                  <w:color w:val="0000FF"/>
                  <w:sz w:val="20"/>
                  <w:u w:val="single"/>
                </w:rPr>
                <w:t>Amendment No. 4, dated as of April 10, 2026, to the Credit Agreement, dated as of August 1, 2019, as amended. Incorporated by reference to Exhibit 10.5 as filed by the Registrant with Form 8-K filed on April 14, 2026.</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2-exx311.htm">
              <w:r>
                <w:rPr>
                  <w:rStyle w:val="InternetLink"/>
                  <w:rFonts w:ascii="Times New Roman;serif" w:hAnsi="Times New Roman;serif"/>
                  <w:b w:val="false"/>
                  <w:color w:val="0000FF"/>
                  <w:sz w:val="20"/>
                  <w:u w:val="single"/>
                </w:rPr>
                <w:t>Certification of Chief Executive Officer of the Company pursuant to Rule 13a-14(a) of the Securities Exchange Act of 1934.*</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2-exx312.htm">
              <w:r>
                <w:rPr>
                  <w:rStyle w:val="InternetLink"/>
                  <w:rFonts w:ascii="Times New Roman;serif" w:hAnsi="Times New Roman;serif"/>
                  <w:b w:val="false"/>
                  <w:color w:val="0000FF"/>
                  <w:sz w:val="20"/>
                  <w:u w:val="single"/>
                </w:rPr>
                <w:t>Certification of Chief Financial Officer of the Company pursuant to Rule 13a-14(a) of the Securities Exchange Act of 1934.*</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2-exx321.htm">
              <w:r>
                <w:rPr>
                  <w:rStyle w:val="InternetLink"/>
                  <w:rFonts w:ascii="Times New Roman;serif" w:hAnsi="Times New Roman;serif"/>
                  <w:b w:val="false"/>
                  <w:color w:val="0000FF"/>
                  <w:sz w:val="20"/>
                  <w:u w:val="single"/>
                </w:rPr>
                <w:t>Certification of Chief Executive Officer of the Company Pursuant to 18 U.S. C. Section 1350.**</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2-exx322.htm">
              <w:r>
                <w:rPr>
                  <w:rStyle w:val="InternetLink"/>
                  <w:rFonts w:ascii="Times New Roman;serif" w:hAnsi="Times New Roman;serif"/>
                  <w:b w:val="false"/>
                  <w:color w:val="0000FF"/>
                  <w:sz w:val="20"/>
                  <w:u w:val="single"/>
                </w:rPr>
                <w:t>Certification of Chief Financial Officer of the Company Pursuant to 18 U.S. C. Section 1350.**</w:t>
              </w:r>
            </w:hyperlink>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Management contract or compensatory plan.</w:t>
      </w:r>
    </w:p>
    <w:p>
      <w:pPr>
        <w:pStyle w:val="TextBody"/>
        <w:bidi w:val="0"/>
        <w:spacing w:before="0" w:after="120"/>
        <w:jc w:val="both"/>
        <w:rPr/>
      </w:pPr>
      <w:r>
        <w:rPr/>
      </w:r>
    </w:p>
    <w:p>
      <w:pPr>
        <w:pStyle w:val="TextBody"/>
        <w:bidi w:val="0"/>
        <w:spacing w:lineRule="auto" w:line="268" w:before="120" w:after="120"/>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both"/>
        <w:rPr/>
      </w:pPr>
      <w:hyperlink w:anchor="i8abbe3c954dc409b897985411ed909bb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22"/>
        <w:gridCol w:w="371"/>
        <w:gridCol w:w="373"/>
        <w:gridCol w:w="2645"/>
        <w:gridCol w:w="2645"/>
        <w:gridCol w:w="3749"/>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1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9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Thomas Coler, Executive Vice President, Chief Financial Officer and Principal Accounting Officer (officer duly authorized on behalf of, and principal financial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2190750" cy="857250"/>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6"/>
                    <a:stretch>
                      <a:fillRect/>
                    </a:stretch>
                  </pic:blipFill>
                  <pic:spPr bwMode="auto">
                    <a:xfrm>
                      <a:off x="0" y="0"/>
                      <a:ext cx="2190750" cy="857250"/>
                    </a:xfrm>
                    <a:prstGeom prst="rect">
                      <a:avLst/>
                    </a:prstGeom>
                  </pic:spPr>
                </pic:pic>
              </a:graphicData>
            </a:graphic>
          </wp:inline>
        </w:drawing>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09.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360" w:before="0" w:after="0"/>
        <w:jc w:val="center"/>
        <w:rPr>
          <w:rFonts w:ascii="sans-serif" w:hAnsi="sans-serif"/>
          <w:b w:val="false"/>
          <w:color w:val="000000"/>
          <w:sz w:val="24"/>
          <w:u w:val="single"/>
        </w:rPr>
      </w:pPr>
      <w:r>
        <w:rPr>
          <w:rFonts w:ascii="sans-serif" w:hAnsi="sans-serif"/>
          <w:b w:val="false"/>
          <w:color w:val="000000"/>
          <w:sz w:val="24"/>
          <w:u w:val="single"/>
        </w:rPr>
        <w:t>SEPARATION AGREEMENT AND GENERAL RELEASE</w:t>
      </w:r>
    </w:p>
    <w:p>
      <w:pPr>
        <w:pStyle w:val="TextBody"/>
        <w:bidi w:val="0"/>
        <w:spacing w:before="0" w:after="0"/>
        <w:jc w:val="left"/>
        <w:rPr/>
      </w:pPr>
      <w:r>
        <w:rPr/>
      </w:r>
    </w:p>
    <w:p>
      <w:pPr>
        <w:pStyle w:val="TextBody"/>
        <w:bidi w:val="0"/>
        <w:spacing w:lineRule="auto" w:line="480" w:before="0" w:after="0"/>
        <w:ind w:left="0" w:right="0" w:firstLine="720"/>
        <w:jc w:val="both"/>
        <w:rPr>
          <w:rFonts w:ascii="sans-serif" w:hAnsi="sans-serif"/>
          <w:b w:val="false"/>
          <w:color w:val="000000"/>
          <w:sz w:val="24"/>
        </w:rPr>
      </w:pPr>
      <w:r>
        <w:rPr>
          <w:rFonts w:ascii="sans-serif" w:hAnsi="sans-serif"/>
          <w:b w:val="false"/>
          <w:color w:val="000000"/>
          <w:sz w:val="24"/>
        </w:rPr>
        <w:t xml:space="preserve">Whereas, Anna Ransley (herein referred to as “Employee”) has been employed by Quaker Houghton (herein referred to as “Employer”) as Senior Vice President and Chief Digital Information Officer; and </w:t>
      </w:r>
    </w:p>
    <w:p>
      <w:pPr>
        <w:pStyle w:val="TextBody"/>
        <w:bidi w:val="0"/>
        <w:spacing w:lineRule="auto" w:line="480" w:before="0" w:after="0"/>
        <w:ind w:left="0" w:right="0" w:firstLine="720"/>
        <w:jc w:val="both"/>
        <w:rPr>
          <w:rFonts w:ascii="sans-serif" w:hAnsi="sans-serif"/>
          <w:b w:val="false"/>
          <w:color w:val="000000"/>
          <w:sz w:val="24"/>
        </w:rPr>
      </w:pPr>
      <w:r>
        <w:rPr>
          <w:rFonts w:ascii="sans-serif" w:hAnsi="sans-serif"/>
          <w:b w:val="false"/>
          <w:color w:val="000000"/>
          <w:sz w:val="24"/>
        </w:rPr>
        <w:t>Whereas, Employee’s employment with Employer is separated effective as of March 9, 2026, (the “Separation Date”) and Employee wants to enter into an agreement whereby the Employer will provide Employee with certain benefits in exchange for a release as to any claims that Employee might have or assert against Employer.</w:t>
      </w:r>
    </w:p>
    <w:p>
      <w:pPr>
        <w:pStyle w:val="TextBody"/>
        <w:bidi w:val="0"/>
        <w:spacing w:lineRule="auto" w:line="480" w:before="0" w:after="0"/>
        <w:ind w:left="0" w:right="0" w:firstLine="720"/>
        <w:jc w:val="both"/>
        <w:rPr>
          <w:rFonts w:ascii="sans-serif" w:hAnsi="sans-serif"/>
          <w:b w:val="false"/>
          <w:color w:val="000000"/>
          <w:sz w:val="24"/>
        </w:rPr>
      </w:pPr>
      <w:r>
        <w:rPr>
          <w:rFonts w:ascii="sans-serif" w:hAnsi="sans-serif"/>
          <w:b w:val="false"/>
          <w:color w:val="000000"/>
          <w:sz w:val="24"/>
        </w:rPr>
        <w:t>Whereas, regardless of whether Employee enters into this Agreement, Employer shall provide Employee with 90 days paid salary, at Employee's rate as of the Separation Date, less applicable payroll tax deductions, in lieu of notice of termination for the period from March 9, 2026 through June 7, 2026 in accordance with Employer's normal bi-weekly payroll practice, and continue the Employee’s healthcare coverage at the same coverage level through June 30, 2026. In addition, Employer shall pay Employee for 5 days of PTO on or before March 27, 2026, less applicable payroll tax deductions.</w:t>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NOW, THEREFORE, in consideration of the mutual promises contained herein, Employee and Employer, intending to be legally bound, hereby agree as follows:</w:t>
      </w:r>
    </w:p>
    <w:p>
      <w:pPr>
        <w:pStyle w:val="TextBody"/>
        <w:bidi w:val="0"/>
        <w:spacing w:lineRule="auto" w:line="480"/>
        <w:ind w:left="0" w:right="0" w:hanging="360"/>
        <w:jc w:val="both"/>
        <w:rPr/>
      </w:pPr>
      <w:r>
        <w:rPr>
          <w:rFonts w:ascii="Arial;sans-serif" w:hAnsi="Arial;sans-serif"/>
          <w:b w:val="false"/>
          <w:color w:val="000000"/>
          <w:sz w:val="24"/>
        </w:rPr>
        <w:t>1.</w:t>
      </w:r>
      <w:r>
        <w:rPr>
          <w:rFonts w:ascii="sans-serif" w:hAnsi="sans-serif"/>
          <w:b w:val="false"/>
          <w:color w:val="000000"/>
          <w:sz w:val="24"/>
        </w:rPr>
        <w:t xml:space="preserve">In consideration of the promises of Employer set forth in paragraph 2 below, Employee, and Employee’s spouse, heirs, executors and administrators (hereinafter referred to collectively as “Releasing Parties”), intending to be legally bound, hereby permanently and irrevocably release and discharge Employer, and its subsidiaries and affiliates, and its and their current and former officers, directors, employees, agents, representatives, successors, assigns, heirs, executors, administrators, and insurers, and any individual or organization related to Employer and against whom or which Employee or Releasing Parties could claim (hereinafter referred to collectively as “Released Parties”), of and from any and all causes of action, suits, </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jc w:val="both"/>
        <w:rPr/>
      </w:pPr>
      <w:r>
        <w:rPr>
          <w:rFonts w:ascii="sans-serif" w:hAnsi="sans-serif"/>
          <w:b w:val="false"/>
          <w:color w:val="000000"/>
          <w:sz w:val="24"/>
        </w:rPr>
        <w:t xml:space="preserve">debts, claims and demands whatsoever, which Employee or Releasing Parties had, has, or may have against Released Parties up until the date of Employee’s execution of this Separation Agreement and General Release (hereinafter “Agreement”). Particularly, but without limitation, Employee and Releasing Parties release any claims relating in any way to Employee’s employment or the termination of Employee’s employment relationship with Employer, including any claims under any federal, state, or local laws, including Title VII of the Civil Rights Act of 1964 as amended, 42 U.S.C. § 2000e </w:t>
      </w:r>
      <w:r>
        <w:rPr>
          <w:rFonts w:ascii="sans-serif" w:hAnsi="sans-serif"/>
          <w:b w:val="false"/>
          <w:color w:val="000000"/>
          <w:sz w:val="24"/>
          <w:u w:val="single"/>
        </w:rPr>
        <w:t>et</w:t>
      </w:r>
      <w:r>
        <w:rPr>
          <w:color w:val="000000"/>
        </w:rPr>
        <w:t xml:space="preserve"> </w:t>
      </w:r>
      <w:r>
        <w:rPr>
          <w:rFonts w:ascii="sans-serif" w:hAnsi="sans-serif"/>
          <w:b w:val="false"/>
          <w:color w:val="000000"/>
          <w:sz w:val="24"/>
          <w:u w:val="single"/>
        </w:rPr>
        <w:t>seq</w:t>
      </w:r>
      <w:r>
        <w:rPr>
          <w:rFonts w:ascii="sans-serif" w:hAnsi="sans-serif"/>
          <w:b w:val="false"/>
          <w:color w:val="000000"/>
          <w:sz w:val="24"/>
        </w:rPr>
        <w:t xml:space="preserve">. (“Title VII”); the Age Discrimination in Employment Act, 29 U.S.C. § 621 </w:t>
      </w:r>
      <w:r>
        <w:rPr>
          <w:rFonts w:ascii="sans-serif" w:hAnsi="sans-serif"/>
          <w:b w:val="false"/>
          <w:color w:val="000000"/>
          <w:sz w:val="24"/>
          <w:u w:val="single"/>
        </w:rPr>
        <w:t>et</w:t>
      </w:r>
      <w:r>
        <w:rPr>
          <w:color w:val="000000"/>
        </w:rPr>
        <w:t xml:space="preserve"> </w:t>
      </w:r>
      <w:r>
        <w:rPr>
          <w:rFonts w:ascii="sans-serif" w:hAnsi="sans-serif"/>
          <w:b w:val="false"/>
          <w:color w:val="000000"/>
          <w:sz w:val="24"/>
          <w:u w:val="single"/>
        </w:rPr>
        <w:t>seq</w:t>
      </w:r>
      <w:r>
        <w:rPr>
          <w:rFonts w:ascii="sans-serif" w:hAnsi="sans-serif"/>
          <w:b w:val="false"/>
          <w:color w:val="000000"/>
          <w:sz w:val="24"/>
        </w:rPr>
        <w:t xml:space="preserve">. (the “ADEA”), as amended by the Older Workers Benefit Protection Act (the “OWBPA”); the Americans with Disabilities Act, 42 U.S.C § 12101 </w:t>
      </w:r>
      <w:r>
        <w:rPr>
          <w:rFonts w:ascii="sans-serif" w:hAnsi="sans-serif"/>
          <w:b w:val="false"/>
          <w:color w:val="000000"/>
          <w:sz w:val="24"/>
          <w:u w:val="single"/>
        </w:rPr>
        <w:t>et</w:t>
      </w:r>
      <w:r>
        <w:rPr>
          <w:color w:val="000000"/>
        </w:rPr>
        <w:t xml:space="preserve"> </w:t>
      </w:r>
      <w:r>
        <w:rPr>
          <w:rFonts w:ascii="sans-serif" w:hAnsi="sans-serif"/>
          <w:b w:val="false"/>
          <w:color w:val="000000"/>
          <w:sz w:val="24"/>
          <w:u w:val="single"/>
        </w:rPr>
        <w:t>seq</w:t>
      </w:r>
      <w:r>
        <w:rPr>
          <w:rFonts w:ascii="sans-serif" w:hAnsi="sans-serif"/>
          <w:b w:val="false"/>
          <w:color w:val="000000"/>
          <w:sz w:val="24"/>
        </w:rPr>
        <w:t xml:space="preserve">. (“ADA”); the Employee Retirement Income Security Act, 29 U.S.C. § 1001 </w:t>
      </w:r>
      <w:r>
        <w:rPr>
          <w:rFonts w:ascii="sans-serif" w:hAnsi="sans-serif"/>
          <w:b w:val="false"/>
          <w:color w:val="000000"/>
          <w:sz w:val="24"/>
          <w:u w:val="single"/>
        </w:rPr>
        <w:t>et</w:t>
      </w:r>
      <w:r>
        <w:rPr>
          <w:color w:val="000000"/>
        </w:rPr>
        <w:t xml:space="preserve"> </w:t>
      </w:r>
      <w:r>
        <w:rPr>
          <w:rFonts w:ascii="sans-serif" w:hAnsi="sans-serif"/>
          <w:b w:val="false"/>
          <w:color w:val="000000"/>
          <w:sz w:val="24"/>
          <w:u w:val="single"/>
        </w:rPr>
        <w:t>seq</w:t>
      </w:r>
      <w:r>
        <w:rPr>
          <w:rFonts w:ascii="sans-serif" w:hAnsi="sans-serif"/>
          <w:b w:val="false"/>
          <w:color w:val="000000"/>
          <w:sz w:val="24"/>
        </w:rPr>
        <w:t xml:space="preserve">. (“ERISA”); the Genetic Information Non-Discrimination Act of 2008, 42 U.S.C. § 2000ff-1 </w:t>
      </w:r>
      <w:r>
        <w:rPr>
          <w:rFonts w:ascii="sans-serif" w:hAnsi="sans-serif"/>
          <w:b w:val="false"/>
          <w:color w:val="000000"/>
          <w:sz w:val="24"/>
          <w:u w:val="single"/>
        </w:rPr>
        <w:t>et</w:t>
      </w:r>
      <w:r>
        <w:rPr>
          <w:color w:val="000000"/>
        </w:rPr>
        <w:t xml:space="preserve"> </w:t>
      </w:r>
      <w:r>
        <w:rPr>
          <w:rFonts w:ascii="sans-serif" w:hAnsi="sans-serif"/>
          <w:b w:val="false"/>
          <w:color w:val="000000"/>
          <w:sz w:val="24"/>
          <w:u w:val="single"/>
        </w:rPr>
        <w:t>seq.</w:t>
      </w:r>
      <w:r>
        <w:rPr>
          <w:color w:val="000000"/>
        </w:rPr>
        <w:t xml:space="preserve"> </w:t>
      </w:r>
      <w:r>
        <w:rPr>
          <w:rFonts w:ascii="sans-serif" w:hAnsi="sans-serif"/>
          <w:b w:val="false"/>
          <w:color w:val="000000"/>
          <w:sz w:val="24"/>
        </w:rPr>
        <w:t xml:space="preserve">(“GINA”); 42 U.S.C. § 1981 (“Section 1981”); the Pennsylvania Human Relations Act (“PHRA”); the Pennsylvania Wage Payment and Collection Law; the Pennsylvania Whistleblower Law; the Connecticut Family and Medical Leave Act; the Connecticut's Whistleblower Law; the Connecticut Free Speech Law; the Connecticut Fair Employment Practices Act (“CFEPA”); Connecticut's minimum wage and wage payment laws; the anti-retaliation provision of Connecticut’s Workers' Compensation Act; and any and all other statutory and common law claims, including any tort claims, or claims for breach of contract or arising under state or local anti-discrimination laws. </w:t>
      </w:r>
    </w:p>
    <w:p>
      <w:pPr>
        <w:pStyle w:val="TextBody"/>
        <w:bidi w:val="0"/>
        <w:spacing w:lineRule="auto" w:line="480" w:before="0" w:after="0"/>
        <w:ind w:left="0" w:right="0" w:hanging="360"/>
        <w:jc w:val="both"/>
        <w:rPr/>
      </w:pPr>
      <w:r>
        <w:rPr>
          <w:rFonts w:ascii="Arial;sans-serif" w:hAnsi="Arial;sans-serif"/>
          <w:b w:val="false"/>
          <w:color w:val="000000"/>
          <w:sz w:val="24"/>
        </w:rPr>
        <w:t>2.</w:t>
      </w:r>
      <w:r>
        <w:rPr>
          <w:rFonts w:ascii="sans-serif" w:hAnsi="sans-serif"/>
          <w:b w:val="false"/>
          <w:color w:val="000000"/>
          <w:sz w:val="24"/>
        </w:rPr>
        <w:t>In full consideration of Employee’s execution of this Agreement and agreement to be legally bound by its terms, Employer agrees to the following:</w:t>
      </w:r>
    </w:p>
    <w:p>
      <w:pPr>
        <w:pStyle w:val="TextBody"/>
        <w:bidi w:val="0"/>
        <w:spacing w:lineRule="auto" w:line="480"/>
        <w:ind w:left="0" w:right="0" w:hanging="360"/>
        <w:jc w:val="both"/>
        <w:rPr/>
      </w:pPr>
      <w:r>
        <w:rPr>
          <w:rFonts w:ascii="Arial;sans-serif" w:hAnsi="Arial;sans-serif"/>
          <w:b w:val="false"/>
          <w:color w:val="000000"/>
          <w:sz w:val="24"/>
        </w:rPr>
        <w:t>1.</w:t>
      </w:r>
      <w:r>
        <w:rPr>
          <w:rFonts w:ascii="sans-serif" w:hAnsi="sans-serif"/>
          <w:b w:val="false"/>
          <w:color w:val="000000"/>
          <w:sz w:val="24"/>
        </w:rPr>
        <w:t>Employer shall make bi-weekly severance payments to Employee at Employee’s current bi-weekly rate, less applicable payroll tax deductions, for 12 months (the total payment is hereinafter referred to as the “Severance Payment”). The first installment of the Severance Payment will be paid by Employer on the first regularly scheduled pay period in accordance with Employer’s normal payroll practice following the 90</w:t>
      </w:r>
      <w:r>
        <w:rPr>
          <w:rFonts w:ascii="sans-serif" w:hAnsi="sans-serif"/>
          <w:b w:val="false"/>
          <w:color w:val="000000"/>
          <w:sz w:val="13"/>
        </w:rPr>
        <w:t>th</w:t>
      </w:r>
      <w:r>
        <w:rPr>
          <w:color w:val="000000"/>
        </w:rPr>
        <w:t xml:space="preserve"> </w:t>
      </w:r>
      <w:r>
        <w:rPr>
          <w:rFonts w:ascii="sans-serif" w:hAnsi="sans-serif"/>
          <w:b w:val="false"/>
          <w:color w:val="000000"/>
          <w:sz w:val="24"/>
        </w:rPr>
        <w:t xml:space="preserve">day after the Separation Date, </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5440"/>
                <wp:effectExtent l="0" t="0" r="0" b="0"/>
                <wp:wrapNone/>
                <wp:docPr id="51" name="Frame50"/>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2    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2    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provided that Employee delivers an executed copy of this Agreement to Employer, and provided further that Employee has not revoked Employee’s acceptance of this Agreement by invoking the procedure identified in Paragraph 10.</w:t>
      </w:r>
    </w:p>
    <w:p>
      <w:pPr>
        <w:pStyle w:val="TextBody"/>
        <w:bidi w:val="0"/>
        <w:spacing w:lineRule="auto" w:line="480" w:before="0" w:after="0"/>
        <w:ind w:left="0" w:right="0" w:hanging="360"/>
        <w:jc w:val="both"/>
        <w:rPr/>
      </w:pPr>
      <w:r>
        <w:rPr>
          <w:rFonts w:ascii="Arial;sans-serif" w:hAnsi="Arial;sans-serif"/>
          <w:b w:val="false"/>
          <w:color w:val="000000"/>
          <w:sz w:val="24"/>
        </w:rPr>
        <w:t>2.</w:t>
      </w:r>
      <w:r>
        <w:rPr>
          <w:color w:val="000000"/>
        </w:rPr>
        <w:t xml:space="preserve"> </w:t>
      </w:r>
      <w:r>
        <w:rPr>
          <w:rFonts w:ascii="sans-serif" w:hAnsi="sans-serif"/>
          <w:b w:val="false"/>
          <w:color w:val="000000"/>
          <w:sz w:val="24"/>
        </w:rPr>
        <w:t xml:space="preserve">Employer shall pay Employee certain prorated payments under Employer’s current Annual Incentive Plan and Long-Term Incentive Plan in an amount to be specified by Employer prior to the 45-day deadline to execute this Agreement. </w:t>
      </w:r>
    </w:p>
    <w:p>
      <w:pPr>
        <w:pStyle w:val="TextBody"/>
        <w:bidi w:val="0"/>
        <w:spacing w:lineRule="auto" w:line="480" w:before="0" w:after="0"/>
        <w:ind w:left="0" w:right="0" w:hanging="360"/>
        <w:jc w:val="both"/>
        <w:rPr/>
      </w:pPr>
      <w:r>
        <w:rPr>
          <w:rFonts w:ascii="Arial;sans-serif" w:hAnsi="Arial;sans-serif"/>
          <w:b w:val="false"/>
          <w:color w:val="000000"/>
          <w:sz w:val="24"/>
        </w:rPr>
        <w:t>3.</w:t>
      </w:r>
      <w:r>
        <w:rPr>
          <w:rFonts w:ascii="sans-serif" w:hAnsi="sans-serif"/>
          <w:b w:val="false"/>
          <w:color w:val="000000"/>
          <w:sz w:val="24"/>
        </w:rPr>
        <w:t xml:space="preserve">As of the Separation Date, Employee shall be eligible to continue Employee’s coverage, pursuant to COBRA if this is the option Employee chooses for Employee’s continued medical and/or dental plans. If Employee is enrolled in Employer’s medical and/or dental plans as of the Separation Date, in further consideration for the execution by Employee of this Agreement and in compliance with the promises made herein, Employer shall make bi-weekly payments equivalent to the Employer-paid portion for Employee’s existing medical and/or dental coverage to employee for a period of 18 months during the Severance Period in accordance with Employer’s payroll schedule, subject to normal payroll tax withholding. Following the Severance Period, Employee shall be responsible for the entire COBRA premium (or other premiums, as applicable) for the remainder of any applicable COBRA or other health care continuation period. </w:t>
      </w:r>
    </w:p>
    <w:p>
      <w:pPr>
        <w:pStyle w:val="TextBody"/>
        <w:bidi w:val="0"/>
        <w:spacing w:lineRule="auto" w:line="480" w:before="0" w:after="0"/>
        <w:ind w:left="0" w:right="0" w:hanging="360"/>
        <w:jc w:val="both"/>
        <w:rPr/>
      </w:pPr>
      <w:r>
        <w:rPr>
          <w:rFonts w:ascii="Arial;sans-serif" w:hAnsi="Arial;sans-serif"/>
          <w:b w:val="false"/>
          <w:color w:val="000000"/>
          <w:sz w:val="24"/>
        </w:rPr>
        <w:t>1.</w:t>
      </w:r>
      <w:r>
        <w:rPr>
          <w:rFonts w:ascii="sans-serif" w:hAnsi="sans-serif"/>
          <w:b w:val="false"/>
          <w:color w:val="000000"/>
          <w:sz w:val="24"/>
        </w:rPr>
        <w:t>Except as set forth in this Agreement, it is expressly agreed and understood that Employer does not have, and will not have, any obligation to provide Employee at any time in the future with any payments, benefits, or considerations other than those recited in this Agreement, except for any vested retirement, pension or COBRA benefits to which Employee is or may be entitled by law.</w:t>
      </w:r>
    </w:p>
    <w:p>
      <w:pPr>
        <w:pStyle w:val="TextBody"/>
        <w:bidi w:val="0"/>
        <w:spacing w:lineRule="auto" w:line="480"/>
        <w:ind w:left="0" w:right="0" w:hanging="360"/>
        <w:jc w:val="both"/>
        <w:rPr/>
      </w:pPr>
      <w:r>
        <w:rPr>
          <w:rFonts w:ascii="Arial;sans-serif" w:hAnsi="Arial;sans-serif"/>
          <w:b w:val="false"/>
          <w:color w:val="000000"/>
          <w:sz w:val="24"/>
        </w:rPr>
        <w:t>2.</w:t>
      </w:r>
      <w:r>
        <w:rPr>
          <w:rFonts w:ascii="sans-serif" w:hAnsi="sans-serif"/>
          <w:b w:val="false"/>
          <w:color w:val="000000"/>
          <w:sz w:val="24"/>
        </w:rPr>
        <w:t>Employee hereby agrees and recognizes that Employee’s employment with Employer has been permanently severed and that Employer has no obligation to re-employ Employee in the future.</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5440"/>
                <wp:effectExtent l="0" t="0" r="0" b="0"/>
                <wp:wrapNone/>
                <wp:docPr id="52" name="Frame51"/>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3    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3    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ind w:left="0" w:right="0" w:hanging="360"/>
        <w:jc w:val="both"/>
        <w:rPr/>
      </w:pPr>
      <w:r>
        <w:rPr>
          <w:rFonts w:ascii="Arial;sans-serif" w:hAnsi="Arial;sans-serif"/>
          <w:b w:val="false"/>
          <w:color w:val="000000"/>
          <w:sz w:val="24"/>
        </w:rPr>
        <w:t>3.</w:t>
      </w:r>
      <w:r>
        <w:rPr>
          <w:rFonts w:ascii="sans-serif" w:hAnsi="sans-serif"/>
          <w:b w:val="false"/>
          <w:color w:val="000000"/>
          <w:sz w:val="24"/>
        </w:rPr>
        <w:t>Employee agrees and acknowledges that this Agreement is not and shall not be construed to be an admission of a violation by Employer of any federal, state or local statute or regulation, or of any duty owed by Employer.</w:t>
      </w:r>
    </w:p>
    <w:p>
      <w:pPr>
        <w:pStyle w:val="TextBody"/>
        <w:bidi w:val="0"/>
        <w:spacing w:lineRule="auto" w:line="480" w:before="0" w:after="0"/>
        <w:ind w:left="0" w:right="0" w:hanging="360"/>
        <w:jc w:val="both"/>
        <w:rPr/>
      </w:pPr>
      <w:r>
        <w:rPr>
          <w:rFonts w:ascii="Arial;sans-serif" w:hAnsi="Arial;sans-serif"/>
          <w:b w:val="false"/>
          <w:color w:val="000000"/>
          <w:sz w:val="24"/>
        </w:rPr>
        <w:t>4.</w:t>
      </w:r>
      <w:r>
        <w:rPr>
          <w:rFonts w:ascii="sans-serif" w:hAnsi="sans-serif"/>
          <w:b w:val="false"/>
          <w:color w:val="000000"/>
          <w:sz w:val="24"/>
        </w:rPr>
        <w:t xml:space="preserve">Employee agrees, covenants and promises that Employee will not communicate or disclose the terms of this Agreement to any person with the exception of members of Employee’s immediate family, attorney, or accountant, who shall keep it confidential. </w:t>
      </w:r>
    </w:p>
    <w:p>
      <w:pPr>
        <w:pStyle w:val="TextBody"/>
        <w:bidi w:val="0"/>
        <w:spacing w:lineRule="auto" w:line="480" w:before="0" w:after="0"/>
        <w:ind w:left="0" w:right="0" w:hanging="360"/>
        <w:jc w:val="both"/>
        <w:rPr/>
      </w:pPr>
      <w:r>
        <w:rPr>
          <w:rFonts w:ascii="Arial;sans-serif" w:hAnsi="Arial;sans-serif"/>
          <w:b w:val="false"/>
          <w:color w:val="000000"/>
          <w:sz w:val="24"/>
        </w:rPr>
        <w:t>5.</w:t>
      </w:r>
      <w:r>
        <w:rPr>
          <w:rFonts w:ascii="sans-serif" w:hAnsi="sans-serif"/>
          <w:b w:val="false"/>
          <w:color w:val="000000"/>
          <w:sz w:val="24"/>
        </w:rPr>
        <w:t>Employee shall not make any statement, orally or in writing, regardless of whether such statement is truthful, nor take any action, that (a) in any way could disparage Employer or Released Parties or which could reasonably be expected to harm the reputation or goodwill of Employer, or (b) in any way, directly or indirectly, could knowingly cause or encourage or condone the making of such statements or the taking of such actions by anyone else. Employer will use its reasonable best efforts to not make any statement, orally or in writing, regardless of whether such statement is truthful, nor take any action, that in any way could disparage Employee or which could reasonably be expected to harm Employee’s business reputation.</w:t>
      </w:r>
    </w:p>
    <w:p>
      <w:pPr>
        <w:pStyle w:val="TextBody"/>
        <w:bidi w:val="0"/>
        <w:spacing w:lineRule="auto" w:line="480" w:before="0" w:after="0"/>
        <w:ind w:left="0" w:right="0" w:hanging="360"/>
        <w:jc w:val="both"/>
        <w:rPr/>
      </w:pPr>
      <w:r>
        <w:rPr>
          <w:rFonts w:ascii="Arial;sans-serif" w:hAnsi="Arial;sans-serif"/>
          <w:b w:val="false"/>
          <w:color w:val="000000"/>
          <w:sz w:val="24"/>
        </w:rPr>
        <w:t>6.</w:t>
      </w:r>
      <w:r>
        <w:rPr>
          <w:rFonts w:ascii="sans-serif" w:hAnsi="sans-serif"/>
          <w:b w:val="false"/>
          <w:color w:val="000000"/>
          <w:sz w:val="24"/>
        </w:rPr>
        <w:t>Prior to being eligible to receive the consideration set forth herein, Employee shall return to Employer all Employer-owned property including any business or other records of Employer in any form.</w:t>
      </w:r>
    </w:p>
    <w:p>
      <w:pPr>
        <w:pStyle w:val="TextBody"/>
        <w:bidi w:val="0"/>
        <w:spacing w:lineRule="auto" w:line="480" w:before="0" w:after="0"/>
        <w:ind w:left="0" w:right="0" w:hanging="360"/>
        <w:jc w:val="both"/>
        <w:rPr/>
      </w:pPr>
      <w:r>
        <w:rPr>
          <w:rFonts w:ascii="Arial;sans-serif" w:hAnsi="Arial;sans-serif"/>
          <w:b w:val="false"/>
          <w:color w:val="000000"/>
          <w:sz w:val="24"/>
        </w:rPr>
        <w:t>7.</w:t>
      </w:r>
      <w:r>
        <w:rPr>
          <w:rFonts w:ascii="sans-serif" w:hAnsi="sans-serif"/>
          <w:b w:val="false"/>
          <w:color w:val="000000"/>
          <w:sz w:val="24"/>
        </w:rPr>
        <w:t xml:space="preserve">Employee shall comply with all post-employment obligations in any confidentiality or restrictive covenant agreements signed by Employee during Employee’s employment with Employer or any predecessor, including but not limited to The Quaker Houghton Confidentiality and Non-Competition Agreement, and any Memorandum of Employment, which post-employment obligations shall remain in full force and effect. </w:t>
      </w:r>
    </w:p>
    <w:p>
      <w:pPr>
        <w:pStyle w:val="TextBody"/>
        <w:bidi w:val="0"/>
        <w:spacing w:lineRule="auto" w:line="480"/>
        <w:ind w:left="0" w:right="0" w:hanging="360"/>
        <w:jc w:val="both"/>
        <w:rPr/>
      </w:pPr>
      <w:r>
        <w:rPr>
          <w:rFonts w:ascii="Arial;sans-serif" w:hAnsi="Arial;sans-serif"/>
          <w:b w:val="false"/>
          <w:color w:val="000000"/>
          <w:sz w:val="24"/>
        </w:rPr>
        <w:t>8.</w:t>
      </w:r>
      <w:r>
        <w:rPr>
          <w:rFonts w:ascii="sans-serif" w:hAnsi="sans-serif"/>
          <w:b w:val="false"/>
          <w:color w:val="000000"/>
          <w:sz w:val="24"/>
        </w:rPr>
        <w:t xml:space="preserve">Employee acknowledges that Employee was given forty-five (45) days to review, sign and return this Agreement since receiving it, and that Employee has reviewed it with an attorney to the extent Employee chose to do so. Employee also acknowledges that Employee has been </w:t>
      </w: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5440"/>
                <wp:effectExtent l="0" t="0" r="0" b="0"/>
                <wp:wrapNone/>
                <wp:docPr id="53" name="Frame52"/>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4    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4    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instructed not to sign or return the signed Agreement to Employer before the close of business on the Separation Date. Employee acknowledges that Employee has seven (7) days after Employee signs and delivers the Agreement (the “Revocation Period”) to revoke it by notifying Employer in writing. The Agreement is not effective or enforceable until the Revocation Period has expired.</w:t>
      </w:r>
    </w:p>
    <w:p>
      <w:pPr>
        <w:pStyle w:val="TextBody"/>
        <w:bidi w:val="0"/>
        <w:spacing w:lineRule="auto" w:line="480" w:before="0" w:after="0"/>
        <w:ind w:left="0" w:right="0" w:hanging="360"/>
        <w:jc w:val="both"/>
        <w:rPr/>
      </w:pPr>
      <w:r>
        <w:rPr>
          <w:rFonts w:ascii="Arial;sans-serif" w:hAnsi="Arial;sans-serif"/>
          <w:b w:val="false"/>
          <w:color w:val="000000"/>
          <w:sz w:val="24"/>
        </w:rPr>
        <w:t>9.</w:t>
      </w:r>
      <w:r>
        <w:rPr>
          <w:rFonts w:ascii="sans-serif" w:hAnsi="sans-serif"/>
          <w:b w:val="false"/>
          <w:color w:val="000000"/>
          <w:sz w:val="24"/>
        </w:rPr>
        <w:t>In the event of any actual or threatened default in or breach of any of the covenants or agreements in this Agreement, Employer shall have the right of specific performance and injunctive relief giving effect to its rights under this Agreement without the need to post bond, in addition to any and all other rights and remedies which shall be cumulative. Employee agrees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w:t>
      </w:r>
    </w:p>
    <w:p>
      <w:pPr>
        <w:pStyle w:val="TextBody"/>
        <w:bidi w:val="0"/>
        <w:spacing w:lineRule="auto" w:line="480" w:before="0" w:after="0"/>
        <w:ind w:left="0" w:right="0" w:hanging="360"/>
        <w:jc w:val="both"/>
        <w:rPr/>
      </w:pPr>
      <w:r>
        <w:rPr>
          <w:rFonts w:ascii="Arial;sans-serif" w:hAnsi="Arial;sans-serif"/>
          <w:b w:val="false"/>
          <w:color w:val="000000"/>
          <w:sz w:val="24"/>
        </w:rPr>
        <w:t>10.</w:t>
      </w:r>
      <w:r>
        <w:rPr>
          <w:rFonts w:ascii="sans-serif" w:hAnsi="sans-serif"/>
          <w:b w:val="false"/>
          <w:color w:val="000000"/>
          <w:sz w:val="24"/>
        </w:rPr>
        <w:t>This Agreement shall be interpreted in accordance with the laws of the Commonwealth of Pennsylvania, without regard to choice of law principles. In the event of a breach of any provision of this Agreement, either party may institute an action to be decided by a judge of competent jurisdiction specifically to enforce any term or terms of this Agreement and/or to seek any damages for breach.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pStyle w:val="TextBody"/>
        <w:bidi w:val="0"/>
        <w:spacing w:lineRule="auto" w:line="480"/>
        <w:ind w:left="0" w:right="0" w:hanging="360"/>
        <w:jc w:val="both"/>
        <w:rPr/>
      </w:pPr>
      <w:r>
        <w:rPr>
          <w:rFonts w:ascii="Arial;sans-serif" w:hAnsi="Arial;sans-serif"/>
          <w:b w:val="false"/>
          <w:color w:val="000000"/>
          <w:sz w:val="24"/>
        </w:rPr>
        <w:t>11.</w:t>
      </w:r>
      <w:r>
        <w:rPr>
          <w:rFonts w:ascii="sans-serif" w:hAnsi="sans-serif"/>
          <w:b w:val="false"/>
          <w:color w:val="000000"/>
          <w:sz w:val="24"/>
        </w:rPr>
        <w:t xml:space="preserve">Nothing in this Agreement prohibits or prevents Employee from filing a charge with or participating, testifying, or assisting in any investigation, hearing, or other proceeding before any federal, state, or local government agency including the Equal Employment Opportunity Commission, or comparable state or local agencies, or the National Labor Relations Board. However, to the maximum extent permitted by law, Employee agrees that if such an </w:t>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5440"/>
                <wp:effectExtent l="0" t="0" r="0" b="0"/>
                <wp:wrapNone/>
                <wp:docPr id="54" name="Frame53"/>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5    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 xml:space="preserve">administrative claim is made, Employee shall not be entitled to recover any individual monetary relief or other individual remedies. </w:t>
      </w:r>
    </w:p>
    <w:p>
      <w:pPr>
        <w:pStyle w:val="TextBody"/>
        <w:bidi w:val="0"/>
        <w:spacing w:lineRule="auto" w:line="480"/>
        <w:ind w:left="0" w:right="0" w:hanging="360"/>
        <w:jc w:val="both"/>
        <w:rPr/>
      </w:pPr>
      <w:r>
        <w:rPr>
          <w:rFonts w:ascii="Arial;sans-serif" w:hAnsi="Arial;sans-serif"/>
          <w:b w:val="false"/>
          <w:color w:val="000000"/>
          <w:sz w:val="24"/>
        </w:rPr>
        <w:t>12.</w:t>
      </w:r>
      <w:r>
        <w:rPr>
          <w:rFonts w:ascii="sans-serif" w:hAnsi="sans-serif"/>
          <w:b w:val="false"/>
          <w:color w:val="000000"/>
          <w:sz w:val="24"/>
        </w:rPr>
        <w:t>Employee has the right under federal law to certain protections for cooperating with or reporting legal violations to the Securities and Exchange Commission (the “</w:t>
      </w:r>
      <w:r>
        <w:rPr>
          <w:rFonts w:ascii="sans-serif" w:hAnsi="sans-serif"/>
          <w:b w:val="false"/>
          <w:color w:val="000000"/>
          <w:sz w:val="24"/>
          <w:u w:val="single"/>
        </w:rPr>
        <w:t>SEC</w:t>
      </w:r>
      <w:r>
        <w:rPr>
          <w:color w:val="000000"/>
        </w:rPr>
        <w:t>”</w:t>
      </w:r>
      <w:r>
        <w:rPr>
          <w:rFonts w:ascii="sans-serif" w:hAnsi="sans-serif"/>
          <w:b w:val="false"/>
          <w:color w:val="000000"/>
          <w:sz w:val="24"/>
        </w:rPr>
        <w:t xml:space="preserve">) and/or its Office of the Whistleblower, as well as certain other governmental entities and self-regulatory organizations. As such, nothing in this Agreement or otherwise prohibits or limits Employee from disclosing this Agreement to, or from cooperating with or reporting violations to or initiating communications with, the SEC or any other such governmental entity or self-regulatory organization, and Employee may do so without notifying Employer. Neither Employer nor any of its subsidiaries or affiliates may retaliate against Employee for any of these activities, and nothing in this Agreement or otherwise requires Employee to waive any monetary award or other payment that Employee might become entitled to from the SEC or any other comparable governmental entity or self-regulatory organization. Moreover, nothing in this Agreement or otherwise prohibits Employee from notifying Employer that Employee is going to make a report or disclosure to law enforcement. Notwithstanding anything to the contrary in this Agreement or otherwise, as provided for in the Defend Trade Secrets Act of 2016 (18 U.S.C. § 1833(b)),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Without limiting the foregoing, if Employee files a lawsuit for retaliation by Employer for reporting a suspected violation of law, Employee may disclose the trade secret to his or her attorney and use the trade secret information in the court proceeding, if Employee (x) files any document containing the trade secret under seal, and (y) does not disclose the trade secret, except pursuant to court order. </w:t>
      </w: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5440"/>
                <wp:effectExtent l="0" t="0" r="0" b="0"/>
                <wp:wrapNone/>
                <wp:docPr id="55" name="Frame54"/>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6    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6    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ind w:left="0" w:right="0" w:hanging="360"/>
        <w:jc w:val="both"/>
        <w:rPr/>
      </w:pPr>
      <w:r>
        <w:rPr>
          <w:rFonts w:ascii="Arial;sans-serif" w:hAnsi="Arial;sans-serif"/>
          <w:b w:val="false"/>
          <w:color w:val="000000"/>
          <w:sz w:val="24"/>
        </w:rPr>
        <w:t>13.</w:t>
      </w:r>
      <w:r>
        <w:rPr>
          <w:rFonts w:ascii="sans-serif" w:hAnsi="sans-serif"/>
          <w:b w:val="false"/>
          <w:color w:val="000000"/>
          <w:sz w:val="24"/>
        </w:rPr>
        <w:t xml:space="preserve">If any claim is not subject to release, to the extent permitted by law, Employee waives any right or ability to be a class or collective action representative or to otherwise participate in any putative or certified class, collective or multi-party action or proceeding based on such a claim in which the Employer or any other related entity identified in this Agreement is a party. </w:t>
      </w:r>
    </w:p>
    <w:p>
      <w:pPr>
        <w:pStyle w:val="TextBody"/>
        <w:bidi w:val="0"/>
        <w:spacing w:lineRule="auto" w:line="480" w:before="0" w:after="0"/>
        <w:ind w:left="0" w:right="0" w:hanging="360"/>
        <w:jc w:val="both"/>
        <w:rPr/>
      </w:pPr>
      <w:r>
        <w:rPr>
          <w:rFonts w:ascii="Arial;sans-serif" w:hAnsi="Arial;sans-serif"/>
          <w:b w:val="false"/>
          <w:color w:val="000000"/>
          <w:sz w:val="24"/>
        </w:rPr>
        <w:t>14.</w:t>
      </w:r>
      <w:r>
        <w:rPr>
          <w:rFonts w:ascii="sans-serif" w:hAnsi="sans-serif"/>
          <w:b w:val="false"/>
          <w:color w:val="000000"/>
          <w:sz w:val="24"/>
        </w:rPr>
        <w:t>By signing this Agreement, Employee certifies and acknowledges that:</w:t>
      </w:r>
    </w:p>
    <w:p>
      <w:pPr>
        <w:pStyle w:val="TextBody"/>
        <w:bidi w:val="0"/>
        <w:spacing w:lineRule="auto" w:line="480" w:before="0" w:after="0"/>
        <w:ind w:left="0" w:right="0" w:hanging="360"/>
        <w:jc w:val="both"/>
        <w:rPr/>
      </w:pPr>
      <w:r>
        <w:rPr>
          <w:rFonts w:ascii="Arial;sans-serif" w:hAnsi="Arial;sans-serif"/>
          <w:b w:val="false"/>
          <w:color w:val="000000"/>
          <w:sz w:val="24"/>
        </w:rPr>
        <w:t>a.</w:t>
      </w:r>
      <w:r>
        <w:rPr>
          <w:rFonts w:ascii="sans-serif" w:hAnsi="sans-serif"/>
          <w:b w:val="false"/>
          <w:color w:val="000000"/>
          <w:sz w:val="24"/>
        </w:rPr>
        <w:t>Employee has read the terms of this Agreement completely and understands its terms and effects, including the fact that she has agreed to RELEASE and FOREVER DISCHARGE Employer and the Released Parties from any legal action arising out of Employee’s employment relationship with Employer, the terms and conditions of that employment relationship, and the termination of that employment relationship.</w:t>
      </w:r>
    </w:p>
    <w:p>
      <w:pPr>
        <w:pStyle w:val="TextBody"/>
        <w:bidi w:val="0"/>
        <w:spacing w:lineRule="auto" w:line="480" w:before="0" w:after="0"/>
        <w:ind w:left="0" w:right="0" w:hanging="360"/>
        <w:jc w:val="both"/>
        <w:rPr/>
      </w:pPr>
      <w:r>
        <w:rPr>
          <w:rFonts w:ascii="Arial;sans-serif" w:hAnsi="Arial;sans-serif"/>
          <w:b w:val="false"/>
          <w:color w:val="000000"/>
          <w:sz w:val="24"/>
        </w:rPr>
        <w:t>b.</w:t>
      </w:r>
      <w:r>
        <w:rPr>
          <w:rFonts w:ascii="sans-serif" w:hAnsi="sans-serif"/>
          <w:b w:val="false"/>
          <w:color w:val="000000"/>
          <w:sz w:val="24"/>
        </w:rPr>
        <w:t>Employee has had the opportunity to consider the terms of this Agreement.</w:t>
      </w:r>
    </w:p>
    <w:p>
      <w:pPr>
        <w:pStyle w:val="TextBody"/>
        <w:bidi w:val="0"/>
        <w:spacing w:lineRule="auto" w:line="480" w:before="0" w:after="0"/>
        <w:ind w:left="0" w:right="0" w:hanging="360"/>
        <w:jc w:val="both"/>
        <w:rPr/>
      </w:pPr>
      <w:r>
        <w:rPr>
          <w:rFonts w:ascii="Arial;sans-serif" w:hAnsi="Arial;sans-serif"/>
          <w:b w:val="false"/>
          <w:color w:val="000000"/>
          <w:sz w:val="24"/>
        </w:rPr>
        <w:t>c.</w:t>
      </w:r>
      <w:r>
        <w:rPr>
          <w:rFonts w:ascii="sans-serif" w:hAnsi="sans-serif"/>
          <w:b w:val="false"/>
          <w:color w:val="000000"/>
          <w:sz w:val="24"/>
        </w:rPr>
        <w:t>Employee affirms that Employee has not filed, caused to be filed, or presently is a party to any claim against the Employer.</w:t>
      </w:r>
    </w:p>
    <w:p>
      <w:pPr>
        <w:pStyle w:val="TextBody"/>
        <w:bidi w:val="0"/>
        <w:spacing w:lineRule="auto" w:line="480" w:before="0" w:after="0"/>
        <w:ind w:left="0" w:right="0" w:hanging="360"/>
        <w:jc w:val="both"/>
        <w:rPr/>
      </w:pPr>
      <w:r>
        <w:rPr>
          <w:rFonts w:ascii="Arial;sans-serif" w:hAnsi="Arial;sans-serif"/>
          <w:b w:val="false"/>
          <w:color w:val="000000"/>
          <w:sz w:val="24"/>
        </w:rPr>
        <w:t>d.</w:t>
      </w:r>
      <w:r>
        <w:rPr>
          <w:rFonts w:ascii="sans-serif" w:hAnsi="sans-serif"/>
          <w:b w:val="false"/>
          <w:color w:val="000000"/>
          <w:sz w:val="24"/>
        </w:rPr>
        <w:t>Employee also affirms that Employee has been paid and/or has received all compensation, wages, bonuses, commissions, and/or benefits which are due and payable as of the date Employee signs this Agreement. Employee affirms that Employee has been granted any leave to which Employee was entitled under the Family and Medical Leave Act or related state or local leave or disability accommodation laws.</w:t>
      </w:r>
    </w:p>
    <w:p>
      <w:pPr>
        <w:pStyle w:val="TextBody"/>
        <w:bidi w:val="0"/>
        <w:spacing w:lineRule="auto" w:line="480" w:before="0" w:after="0"/>
        <w:ind w:left="0" w:right="0" w:hanging="360"/>
        <w:jc w:val="both"/>
        <w:rPr/>
      </w:pPr>
      <w:r>
        <w:rPr>
          <w:rFonts w:ascii="Arial;sans-serif" w:hAnsi="Arial;sans-serif"/>
          <w:b w:val="false"/>
          <w:color w:val="000000"/>
          <w:sz w:val="24"/>
        </w:rPr>
        <w:t>e.</w:t>
      </w:r>
      <w:r>
        <w:rPr>
          <w:rFonts w:ascii="sans-serif" w:hAnsi="sans-serif"/>
          <w:b w:val="false"/>
          <w:color w:val="000000"/>
          <w:sz w:val="24"/>
        </w:rPr>
        <w:t xml:space="preserve">Employee further affirms that Employee has no known workplace injuries or occupational diseases. </w:t>
      </w:r>
    </w:p>
    <w:p>
      <w:pPr>
        <w:pStyle w:val="TextBody"/>
        <w:bidi w:val="0"/>
        <w:spacing w:lineRule="auto" w:line="480"/>
        <w:ind w:left="0" w:right="0" w:hanging="360"/>
        <w:jc w:val="both"/>
        <w:rPr/>
      </w:pPr>
      <w:r>
        <w:rPr>
          <w:rFonts w:ascii="Arial;sans-serif" w:hAnsi="Arial;sans-serif"/>
          <w:b w:val="false"/>
          <w:color w:val="000000"/>
          <w:sz w:val="24"/>
        </w:rPr>
        <w:t>f.</w:t>
      </w:r>
      <w:r>
        <w:rPr>
          <w:rFonts w:ascii="sans-serif" w:hAnsi="sans-serif"/>
          <w:b w:val="false"/>
          <w:color w:val="000000"/>
          <w:sz w:val="24"/>
        </w:rPr>
        <w:t xml:space="preserve">Employee also affirms that Employee has not divulged any proprietary or confidential information of Employer and will continue to maintain the confidentiality of such information consistent with statute and/or common law and Employee’s contractual obligations as set forth herein and in Section 4 (Covenant Not to Disclose) of Employee’s Employment Agreement dated July 31, 2023 (the “Employment </w:t>
      </w: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5440"/>
                <wp:effectExtent l="0" t="0" r="0" b="0"/>
                <wp:wrapNone/>
                <wp:docPr id="56" name="Frame55"/>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7    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7    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 xml:space="preserve">Agreement”), which provision shall remain in full force and effect. This Agreement constitutes written notice of termination of employment pursuant to Section 3 of the Employment Agreement. </w:t>
      </w:r>
    </w:p>
    <w:p>
      <w:pPr>
        <w:pStyle w:val="TextBody"/>
        <w:bidi w:val="0"/>
        <w:spacing w:lineRule="auto" w:line="480" w:before="0" w:after="0"/>
        <w:ind w:left="0" w:right="0" w:hanging="360"/>
        <w:jc w:val="both"/>
        <w:rPr/>
      </w:pPr>
      <w:r>
        <w:rPr>
          <w:rFonts w:ascii="Arial;sans-serif" w:hAnsi="Arial;sans-serif"/>
          <w:b w:val="false"/>
          <w:color w:val="000000"/>
          <w:sz w:val="24"/>
        </w:rPr>
        <w:t>1.</w:t>
      </w:r>
      <w:r>
        <w:rPr>
          <w:rFonts w:ascii="sans-serif" w:hAnsi="sans-serif"/>
          <w:b w:val="false"/>
          <w:color w:val="000000"/>
          <w:sz w:val="24"/>
        </w:rPr>
        <w:t>Employee further affirms that Employee has not been retaliated against for reporting any allegations of corporate fraud by Employer or its officers.</w:t>
      </w:r>
    </w:p>
    <w:p>
      <w:pPr>
        <w:pStyle w:val="TextBody"/>
        <w:bidi w:val="0"/>
        <w:spacing w:lineRule="auto" w:line="480" w:before="0" w:after="0"/>
        <w:ind w:left="0" w:right="0" w:firstLine="720"/>
        <w:jc w:val="both"/>
        <w:rPr>
          <w:rFonts w:ascii="sans-serif" w:hAnsi="sans-serif"/>
          <w:b w:val="false"/>
          <w:color w:val="000000"/>
          <w:sz w:val="24"/>
        </w:rPr>
      </w:pPr>
      <w:r>
        <w:rPr>
          <w:rFonts w:ascii="sans-serif" w:hAnsi="sans-serif"/>
          <w:b w:val="false"/>
          <w:color w:val="000000"/>
          <w:sz w:val="24"/>
        </w:rPr>
        <w:t xml:space="preserve">18. Employee further agrees that: </w:t>
      </w:r>
    </w:p>
    <w:p>
      <w:pPr>
        <w:pStyle w:val="TextBody"/>
        <w:bidi w:val="0"/>
        <w:spacing w:lineRule="auto" w:line="480" w:before="0" w:after="0"/>
        <w:ind w:left="0" w:right="0" w:hanging="360"/>
        <w:jc w:val="both"/>
        <w:rPr/>
      </w:pPr>
      <w:r>
        <w:rPr>
          <w:rFonts w:ascii="Arial;sans-serif" w:hAnsi="Arial;sans-serif"/>
          <w:b w:val="false"/>
          <w:color w:val="000000"/>
          <w:sz w:val="24"/>
        </w:rPr>
        <w:t>1.</w:t>
      </w:r>
      <w:r>
        <w:rPr>
          <w:rFonts w:ascii="sans-serif" w:hAnsi="sans-serif"/>
          <w:b w:val="false"/>
          <w:color w:val="000000"/>
          <w:sz w:val="24"/>
        </w:rPr>
        <w:t>Employee has been advised to consult with an attorney prior to executing this Agreement and Employee has done so to the extent Employee chose to do so.</w:t>
      </w:r>
    </w:p>
    <w:p>
      <w:pPr>
        <w:pStyle w:val="TextBody"/>
        <w:bidi w:val="0"/>
        <w:spacing w:lineRule="auto" w:line="480" w:before="0" w:after="0"/>
        <w:ind w:left="0" w:right="0" w:hanging="360"/>
        <w:jc w:val="both"/>
        <w:rPr/>
      </w:pPr>
      <w:r>
        <w:rPr>
          <w:rFonts w:ascii="Arial;sans-serif" w:hAnsi="Arial;sans-serif"/>
          <w:b w:val="false"/>
          <w:color w:val="000000"/>
          <w:sz w:val="24"/>
        </w:rPr>
        <w:t>2.</w:t>
      </w:r>
      <w:r>
        <w:rPr>
          <w:rFonts w:ascii="sans-serif" w:hAnsi="sans-serif"/>
          <w:b w:val="false"/>
          <w:color w:val="000000"/>
          <w:sz w:val="24"/>
        </w:rPr>
        <w:t>Employee understands and means everything that Employee said in this Agreement and Employee agrees to all its terms, and</w:t>
      </w:r>
    </w:p>
    <w:p>
      <w:pPr>
        <w:pStyle w:val="TextBody"/>
        <w:bidi w:val="0"/>
        <w:spacing w:lineRule="auto" w:line="480" w:before="0" w:after="0"/>
        <w:ind w:left="0" w:right="0" w:hanging="360"/>
        <w:jc w:val="both"/>
        <w:rPr/>
      </w:pPr>
      <w:r>
        <w:rPr>
          <w:rFonts w:ascii="Arial;sans-serif" w:hAnsi="Arial;sans-serif"/>
          <w:b w:val="false"/>
          <w:color w:val="000000"/>
          <w:sz w:val="24"/>
        </w:rPr>
        <w:t>3.</w:t>
      </w:r>
      <w:r>
        <w:rPr>
          <w:rFonts w:ascii="sans-serif" w:hAnsi="sans-serif"/>
          <w:b w:val="false"/>
          <w:color w:val="000000"/>
          <w:sz w:val="24"/>
        </w:rPr>
        <w:t>Employee is not relying on Employer or any representative of Employer to explain this Agreement to Employee.</w:t>
      </w:r>
    </w:p>
    <w:p>
      <w:pPr>
        <w:pStyle w:val="TextBody"/>
        <w:bidi w:val="0"/>
        <w:spacing w:before="0" w:after="0"/>
        <w:jc w:val="left"/>
        <w:rPr/>
      </w:pPr>
      <w:r>
        <w:rPr/>
      </w:r>
    </w:p>
    <w:p>
      <w:pPr>
        <w:pStyle w:val="TextBody"/>
        <w:bidi w:val="0"/>
        <w:spacing w:lineRule="auto" w:line="480" w:before="0" w:after="0"/>
        <w:jc w:val="both"/>
        <w:rPr>
          <w:rFonts w:ascii="sans-serif" w:hAnsi="sans-serif"/>
          <w:b w:val="false"/>
          <w:color w:val="000000"/>
          <w:sz w:val="24"/>
        </w:rPr>
      </w:pPr>
      <w:r>
        <w:rPr>
          <w:rFonts w:ascii="sans-serif" w:hAnsi="sans-serif"/>
          <w:b w:val="false"/>
          <w:color w:val="000000"/>
          <w:sz w:val="24"/>
        </w:rPr>
        <w:t>IN WITNESS WHEREOF, and intending to be legally bound hereby, the parties have executed the foregoing Agreement this 21st day of April, 2026.</w:t>
      </w:r>
    </w:p>
    <w:p>
      <w:pPr>
        <w:pStyle w:val="TextBody"/>
        <w:bidi w:val="0"/>
        <w:spacing w:before="0" w:after="0"/>
        <w:jc w:val="left"/>
        <w:rPr/>
      </w:pPr>
      <w:r>
        <w:rPr/>
      </w:r>
    </w:p>
    <w:p>
      <w:pPr>
        <w:pStyle w:val="TextBody"/>
        <w:bidi w:val="0"/>
        <w:spacing w:lineRule="auto" w:line="417" w:before="0" w:after="0"/>
        <w:ind w:left="0" w:right="0" w:firstLine="5760"/>
        <w:jc w:val="left"/>
        <w:rPr>
          <w:rFonts w:ascii="sans-serif" w:hAnsi="sans-serif"/>
          <w:b w:val="false"/>
          <w:color w:val="000000"/>
          <w:sz w:val="24"/>
        </w:rPr>
      </w:pPr>
      <w:r>
        <w:rPr>
          <w:rFonts w:ascii="sans-serif" w:hAnsi="sans-serif"/>
          <w:b w:val="false"/>
          <w:color w:val="000000"/>
          <w:sz w:val="24"/>
        </w:rPr>
        <w:t>EMPLOYEE</w:t>
      </w:r>
    </w:p>
    <w:p>
      <w:pPr>
        <w:pStyle w:val="TextBody"/>
        <w:bidi w:val="0"/>
        <w:spacing w:lineRule="auto" w:line="417" w:before="0" w:after="0"/>
        <w:ind w:left="0" w:right="0" w:firstLine="5760"/>
        <w:jc w:val="both"/>
        <w:rPr>
          <w:rFonts w:ascii="sans-serif" w:hAnsi="sans-serif"/>
          <w:b w:val="false"/>
          <w:color w:val="000000"/>
          <w:sz w:val="24"/>
        </w:rPr>
      </w:pPr>
      <w:r>
        <w:rPr>
          <w:rFonts w:ascii="sans-serif" w:hAnsi="sans-serif"/>
          <w:b w:val="false"/>
          <w:color w:val="000000"/>
          <w:sz w:val="24"/>
        </w:rPr>
        <w:t>/s/ ANNA RANSLEY</w:t>
      </w:r>
    </w:p>
    <w:p>
      <w:pPr>
        <w:pStyle w:val="TextBody"/>
        <w:bidi w:val="0"/>
        <w:spacing w:lineRule="auto" w:line="556" w:before="0" w:after="0"/>
        <w:ind w:left="0" w:right="0" w:firstLine="5760"/>
        <w:jc w:val="both"/>
        <w:rPr>
          <w:rFonts w:ascii="sans-serif" w:hAnsi="sans-serif"/>
          <w:b w:val="false"/>
          <w:color w:val="000000"/>
          <w:sz w:val="24"/>
        </w:rPr>
      </w:pPr>
      <w:r>
        <w:rPr>
          <w:rFonts w:ascii="sans-serif" w:hAnsi="sans-serif"/>
          <w:b w:val="false"/>
          <w:color w:val="000000"/>
          <w:sz w:val="24"/>
        </w:rPr>
        <w:t>DATE: 04/21/2026</w:t>
      </w:r>
    </w:p>
    <w:p>
      <w:pPr>
        <w:pStyle w:val="TextBody"/>
        <w:bidi w:val="0"/>
        <w:spacing w:lineRule="auto" w:line="417" w:before="0" w:after="0"/>
        <w:ind w:left="0" w:right="0" w:firstLine="5760"/>
        <w:jc w:val="both"/>
        <w:rPr>
          <w:rFonts w:ascii="sans-serif" w:hAnsi="sans-serif"/>
          <w:b w:val="false"/>
          <w:color w:val="000000"/>
          <w:sz w:val="24"/>
        </w:rPr>
      </w:pPr>
      <w:r>
        <w:rPr>
          <w:rFonts w:ascii="sans-serif" w:hAnsi="sans-serif"/>
          <w:b w:val="false"/>
          <w:color w:val="000000"/>
          <w:sz w:val="24"/>
        </w:rPr>
        <w:t>EMPLOYER</w:t>
      </w:r>
    </w:p>
    <w:p>
      <w:pPr>
        <w:pStyle w:val="TextBody"/>
        <w:bidi w:val="0"/>
        <w:spacing w:lineRule="auto" w:line="288" w:before="0" w:after="0"/>
        <w:ind w:left="0" w:right="0" w:firstLine="5760"/>
        <w:jc w:val="both"/>
        <w:rPr>
          <w:rFonts w:ascii="sans-serif" w:hAnsi="sans-serif"/>
          <w:b w:val="false"/>
          <w:color w:val="000000"/>
          <w:sz w:val="24"/>
        </w:rPr>
      </w:pPr>
      <w:r>
        <w:rPr>
          <w:rFonts w:ascii="sans-serif" w:hAnsi="sans-serif"/>
          <w:b w:val="false"/>
          <w:color w:val="000000"/>
          <w:sz w:val="24"/>
        </w:rPr>
        <w:t>/s/ RICHARD SHAPREN VP HRBP</w:t>
      </w:r>
    </w:p>
    <w:p>
      <w:pPr>
        <w:pStyle w:val="TextBody"/>
        <w:bidi w:val="0"/>
        <w:spacing w:lineRule="auto" w:line="288" w:before="0" w:after="0"/>
        <w:ind w:left="0" w:right="0" w:firstLine="5760"/>
        <w:jc w:val="both"/>
        <w:rPr>
          <w:rFonts w:ascii="sans-serif" w:hAnsi="sans-serif"/>
          <w:b w:val="false"/>
          <w:color w:val="000000"/>
          <w:sz w:val="24"/>
        </w:rPr>
      </w:pPr>
      <w:r>
        <w:rPr>
          <w:rFonts w:ascii="sans-serif" w:hAnsi="sans-serif"/>
          <w:b w:val="false"/>
          <w:color w:val="000000"/>
          <w:sz w:val="24"/>
        </w:rPr>
        <w:t>QUAKER HOUGHTON DBA</w:t>
      </w:r>
    </w:p>
    <w:p>
      <w:pPr>
        <w:pStyle w:val="TextBody"/>
        <w:bidi w:val="0"/>
        <w:spacing w:lineRule="auto" w:line="417" w:before="0" w:after="0"/>
        <w:ind w:left="0" w:right="0" w:firstLine="5760"/>
        <w:jc w:val="left"/>
        <w:rPr>
          <w:rFonts w:ascii="sans-serif" w:hAnsi="sans-serif"/>
          <w:b w:val="false"/>
          <w:color w:val="000000"/>
          <w:sz w:val="24"/>
        </w:rPr>
      </w:pPr>
      <w:r>
        <w:rPr>
          <w:rFonts w:ascii="sans-serif" w:hAnsi="sans-serif"/>
          <w:b w:val="false"/>
          <w:color w:val="000000"/>
          <w:sz w:val="24"/>
        </w:rPr>
        <w:t>QUAKER HOUGHTON</w:t>
      </w:r>
    </w:p>
    <w:p>
      <w:pPr>
        <w:pStyle w:val="TextBody"/>
        <w:bidi w:val="0"/>
        <w:spacing w:lineRule="auto" w:line="417" w:before="0" w:after="0"/>
        <w:ind w:left="0" w:right="0" w:firstLine="5760"/>
        <w:jc w:val="left"/>
        <w:rPr>
          <w:rFonts w:ascii="sans-serif" w:hAnsi="sans-serif"/>
          <w:b w:val="false"/>
          <w:color w:val="000000"/>
          <w:sz w:val="24"/>
        </w:rPr>
      </w:pPr>
      <w:r>
        <w:rPr>
          <w:rFonts w:ascii="sans-serif" w:hAnsi="sans-serif"/>
          <w:b w:val="false"/>
          <w:color w:val="000000"/>
          <w:sz w:val="24"/>
        </w:rPr>
        <w:t>DATE: 4/21/2026</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5440"/>
                <wp:effectExtent l="0" t="0" r="0" b="0"/>
                <wp:wrapNone/>
                <wp:docPr id="57" name="Frame56"/>
                <a:graphic xmlns:a="http://schemas.openxmlformats.org/drawingml/2006/main">
                  <a:graphicData uri="http://schemas.microsoft.com/office/word/2010/wordprocessingShape">
                    <wps:wsp>
                      <wps:cNvSpPr txBox="1"/>
                      <wps:spPr>
                        <a:xfrm>
                          <a:off x="0" y="0"/>
                          <a:ext cx="6480175" cy="34544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8    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8    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182458096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OF THE COMPANY PURSUANT TO RULE 13a 14(a) 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A. Berquist,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Quaker Chemical Corporation;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778" w:type="dxa"/>
        <w:jc w:val="left"/>
        <w:tblInd w:w="0" w:type="dxa"/>
        <w:tblLayout w:type="fixed"/>
        <w:tblCellMar>
          <w:top w:w="28" w:type="dxa"/>
          <w:left w:w="28" w:type="dxa"/>
          <w:bottom w:w="28" w:type="dxa"/>
          <w:right w:w="28" w:type="dxa"/>
        </w:tblCellMar>
      </w:tblPr>
      <w:tblGrid>
        <w:gridCol w:w="618"/>
        <w:gridCol w:w="544"/>
        <w:gridCol w:w="547"/>
        <w:gridCol w:w="605"/>
        <w:gridCol w:w="605"/>
        <w:gridCol w:w="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OF THE COMPANY PURSUANT TO RULE 13a-14(a) OF THE SECURITIES EXCHANGE ACT OF 1934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Thomas Coler,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Quaker Chemical Corporation;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764" w:type="dxa"/>
        <w:jc w:val="left"/>
        <w:tblInd w:w="0" w:type="dxa"/>
        <w:tblLayout w:type="fixed"/>
        <w:tblCellMar>
          <w:top w:w="28" w:type="dxa"/>
          <w:left w:w="28" w:type="dxa"/>
          <w:bottom w:w="28" w:type="dxa"/>
          <w:right w:w="28" w:type="dxa"/>
        </w:tblCellMar>
      </w:tblPr>
      <w:tblGrid>
        <w:gridCol w:w="618"/>
        <w:gridCol w:w="544"/>
        <w:gridCol w:w="547"/>
        <w:gridCol w:w="602"/>
        <w:gridCol w:w="602"/>
        <w:gridCol w:w="8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Thomas Coler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June 30,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523" w:type="dxa"/>
        <w:jc w:val="left"/>
        <w:tblInd w:w="0" w:type="dxa"/>
        <w:tblLayout w:type="fixed"/>
        <w:tblCellMar>
          <w:top w:w="28" w:type="dxa"/>
          <w:left w:w="28" w:type="dxa"/>
          <w:bottom w:w="28" w:type="dxa"/>
          <w:right w:w="28" w:type="dxa"/>
        </w:tblCellMar>
      </w:tblPr>
      <w:tblGrid>
        <w:gridCol w:w="618"/>
        <w:gridCol w:w="544"/>
        <w:gridCol w:w="547"/>
        <w:gridCol w:w="1408"/>
        <w:gridCol w:w="1408"/>
        <w:gridCol w:w="199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81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of Quaker Chemical Corporation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June 30,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463" w:type="dxa"/>
        <w:jc w:val="left"/>
        <w:tblInd w:w="0" w:type="dxa"/>
        <w:tblLayout w:type="fixed"/>
        <w:tblCellMar>
          <w:top w:w="28" w:type="dxa"/>
          <w:left w:w="28" w:type="dxa"/>
          <w:bottom w:w="28" w:type="dxa"/>
          <w:right w:w="28" w:type="dxa"/>
        </w:tblCellMar>
      </w:tblPr>
      <w:tblGrid>
        <w:gridCol w:w="618"/>
        <w:gridCol w:w="544"/>
        <w:gridCol w:w="547"/>
        <w:gridCol w:w="1392"/>
        <w:gridCol w:w="1392"/>
        <w:gridCol w:w="197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of Quaker Chemical Corporation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110465922128616/tm2233147d1_ex3-1.htm" TargetMode="External"/><Relationship Id="rId4" Type="http://schemas.openxmlformats.org/officeDocument/2006/relationships/hyperlink" Target="https://www.sec.gov/Archives/edgar/data/81362/000110465922128616/tm2233147d1_ex3-1.htm" TargetMode="External"/><Relationship Id="rId5" Type="http://schemas.openxmlformats.org/officeDocument/2006/relationships/hyperlink" Target="https://www.sec.gov/Archives/edgar/data/81362/000162828026025084/a101creditagreement.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28897</Words>
  <Characters>163175</Characters>
  <CharactersWithSpaces>190103</CharactersWithSpaces>
  <Paragraphs>3329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