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July 31, 2024</w:t>
            </w:r>
          </w:p>
        </w:tc>
        <w:tc>
          <w:tcPr>
            <w:tcW w:w="4760" w:type="dxa"/>
            <w:vAlign w:val="bottom"/>
          </w:tcPr>
          <w:p>
            <w:pPr>
              <w:jc w:val="right"/>
              <w:ind w:right="2648"/>
              <w:spacing w:after="0"/>
              <w:rPr>
                <w:sz w:val="20"/>
                <w:szCs w:val="20"/>
                <w:color w:val="auto"/>
              </w:rPr>
            </w:pPr>
            <w:r>
              <w:rPr>
                <w:rFonts w:ascii="Times New Roman" w:cs="Times New Roman" w:eastAsia="Times New Roman" w:hAnsi="Times New Roman"/>
                <w:sz w:val="14"/>
                <w:szCs w:val="14"/>
                <w:b w:val="1"/>
                <w:bCs w:val="1"/>
                <w:color w:val="auto"/>
              </w:rPr>
              <w:t>17,912,155</w:t>
            </w:r>
          </w:p>
        </w:tc>
      </w:tr>
      <w:tr>
        <w:trPr>
          <w:trHeight w:val="1110"/>
        </w:trPr>
        <w:tc>
          <w:tcPr>
            <w:tcW w:w="64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June 30,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2024 and June 30,</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June 30,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Six Months Ended June 30, 2024 and June 30,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8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0"/>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2"/>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12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2"/>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3"/>
          </w:tcPr>
          <w:p>
            <w:pPr>
              <w:jc w:val="right"/>
              <w:ind w:right="16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40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590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590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320" w:type="dxa"/>
            <w:vAlign w:val="bottom"/>
            <w:gridSpan w:val="6"/>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80" w:type="dxa"/>
            <w:vAlign w:val="bottom"/>
            <w:gridSpan w:val="8"/>
          </w:tcPr>
          <w:p>
            <w:pPr>
              <w:jc w:val="center"/>
              <w:ind w:left="133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1"/>
                <w:szCs w:val="21"/>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995,592</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644,451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351,141</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239,402</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37"/>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106,724</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 and equity in net income of associated companies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74,916</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equity in net income of associated companies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51,553</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w:t>
            </w:r>
          </w:p>
        </w:tc>
        <w:tc>
          <w:tcPr>
            <w:tcW w:w="0" w:type="dxa"/>
            <w:vAlign w:val="bottom"/>
          </w:tcPr>
          <w:p>
            <w:pPr>
              <w:spacing w:after="0"/>
              <w:rPr>
                <w:sz w:val="1"/>
                <w:szCs w:val="1"/>
                <w:color w:val="auto"/>
              </w:rPr>
            </w:pPr>
          </w:p>
        </w:tc>
      </w:tr>
      <w:tr>
        <w:trPr>
          <w:trHeight w:val="24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 basic</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5"/>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shareholders – diluted</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0.870</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3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w:t>
            </w:r>
          </w:p>
        </w:tc>
      </w:tr>
      <w:tr>
        <w:trPr>
          <w:trHeight w:val="237"/>
        </w:trPr>
        <w:tc>
          <w:tcPr>
            <w:tcW w:w="5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7"/>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67,031</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67,012</w:t>
            </w: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194,527</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67,485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919,100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927,889</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453,419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(246,985)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(245,608)</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207,811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lease assets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38,614</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512,518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896,721</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2,672,192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184,813</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55,194</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89,281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350,077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367,510</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730,623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22,937</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1,276,586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1,329,289</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June 30, 2024 – 17,940,532 shares; December 31, 2023 – 17,991,988 shares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940,101</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550,641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1,395,019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1,384,319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1,395,606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1,384,922</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2,672,192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70,168</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deferred taxes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cash from changes in current assets and current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116,052</w:t>
            </w:r>
          </w:p>
        </w:tc>
      </w:tr>
      <w:tr>
        <w:trPr>
          <w:trHeight w:val="237"/>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36"/>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(payments) on revolving credit facilities,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(62,778)</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other debt,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stock related activity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(89,016)</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8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70"/>
        </w:trPr>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180,963</w:t>
            </w:r>
          </w:p>
        </w:tc>
      </w:tr>
      <w:tr>
        <w:trPr>
          <w:trHeight w:val="27"/>
        </w:trPr>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188,568</w:t>
            </w:r>
          </w:p>
        </w:tc>
        <w:tc>
          <w:tcPr>
            <w:tcW w:w="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189,405</w:t>
            </w:r>
          </w:p>
        </w:tc>
      </w:tr>
      <w:tr>
        <w:trPr>
          <w:trHeight w:val="27"/>
        </w:trPr>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2">
            <w:col w:w="7800" w:space="720"/>
            <w:col w:w="2700"/>
          </w:cols>
          <w:pgMar w:left="320" w:top="121"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Excess of</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9"/>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928,288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469,920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(138,240)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1,278,585</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29,541</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15,066</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($0.435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2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929,674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491,632</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(123,177)</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1,316,788</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29,393</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($0.435 per share)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r>
      <w:tr>
        <w:trPr>
          <w:trHeight w:val="237"/>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4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1,336,666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1,384,922</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35,258</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(22,645)</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($0.455 per share)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r>
      <w:tr>
        <w:trPr>
          <w:trHeight w:val="24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942,546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577,682</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(146,987)</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1,391,792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34,910</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reported in other comprehensive loss</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(18,774)</w:t>
            </w:r>
          </w:p>
        </w:tc>
      </w:tr>
      <w:tr>
        <w:trPr>
          <w:trHeight w:val="253"/>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($0.455 per share)</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r>
      <w:tr>
        <w:trPr>
          <w:trHeight w:val="233"/>
        </w:trPr>
        <w:tc>
          <w:tcPr>
            <w:tcW w:w="4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purchased under share repurchase program</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(8,355)</w:t>
            </w:r>
          </w:p>
        </w:tc>
      </w:tr>
      <w:tr>
        <w:trPr>
          <w:trHeight w:val="24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 issuance and equity-based compensation plans</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938,436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604,404</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1,395,606</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June 30, 2024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six months ended June 30, 2024 are not necessarily indicative of the results to be expected for the full year. These financial statements should be read in conjunction with the Company’s Annual Report filed on Form 10-K for the year ended December 31, 2023 (as amended, the “2023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and six months ended June 30, 2024, the Company's Argentine and Turkish subsidiaries together represented 1% and 2% of the Company’s consolidated total assets and net sales, respectively. During the three and six months ended June 30, 2024, the Company recorded $0.6 million of remeasurement losses and $0.3 million of net remeasurement gains associated with the applicable currency conversions, respectively. Comparatively, during the three and six months ended June 30, 2023, the Company recorded $1.1 million and $1.6 million of remeasurement losses associated with the applicable currency conversions, respectively. These gains and losses were recorded within Other income (expense), net, in the Company’s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Subsequent to the date of these financial statements, in July 2024, the Company acquired Sutai Group (“Sutai”), for approximately 2.3 billion Japanese yen, or approximately $14.6 million, subject to routine and customary post-closing adjustments and earn-out provisions. Sutai is based in Japan and provides impregnation treatment products and services to the automotive industry and a variety of other industries. Sutai will be reported as part of the Asia/Pacific reportable segment. This acquisition strengthens Quaker Houghton’s technology portfolio, enabling the Company to better support and optimize production processes for customers across the Japanese, Asia Pacific and global markets.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February 2024, the Company acquired I.K.V. Tribologie IKVT and its subsidiaries (“IKV”) for 32.6 million EUR, or $35.2 million, including an initial cash payment of 27.6 million EUR, or $29.7 million, subject to routine and customary post-closing adjustments related to working capital and net indebtedness levels as well as earn-out provisions related to the finalization of 2023 earnings. Assets acquired included approximately $4.8 million of cash and cash equivalents. IKV, which is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preliminarily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$16.4 million of goodwill in the EMEA segment, none of which is deductible for tax purposes. The goodwill recognized on the transaction is primarily attributable to expected cost and growth synergies. Subsequent to the date of these financial statements, the 2023 earnings were finalized and the Company made a payment of 5.0 million EUR, or $5.5 million, in connection with the post-closing adjustments and earn-out provision. As of June 30, 2024, the allocation of the purchase price has not been finalized.</w:t>
      </w:r>
    </w:p>
    <w:p>
      <w:pPr>
        <w:spacing w:after="0" w:line="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of IKV subsequent to the acquisition date are included in the unaudited Condensed Consolidated Statements of Operations for the three and six months ended June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in November 2023. This ASU expands on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defined as those expenses that are regularly provided to the chief operating decision maker and included in the reported measure of segment profit or loss. ASU 2023-07 is effective for annual reports for fiscal years beginning after December 15, 2023, with early adoption permitted. The Company is currently evaluating the disclosure requirements of this standard and the impact on its Consolidated Financial Statements.</w:t>
      </w:r>
    </w:p>
    <w:p>
      <w:pPr>
        <w:spacing w:after="0" w:line="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in December 2023. This ASU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disclosure requirements of this standard and the impact on its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and Restructuring and related charges, net, are not included in segment operating earnings. Other items not specifically identified with the Company’s reportable segments include Interest expense, net and Other income (expense), net.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504,632</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295,982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194,978</w:t>
            </w:r>
          </w:p>
        </w:tc>
        <w:tc>
          <w:tcPr>
            <w:tcW w:w="0" w:type="dxa"/>
            <w:vAlign w:val="bottom"/>
          </w:tcPr>
          <w:p>
            <w:pPr>
              <w:spacing w:after="0"/>
              <w:rPr>
                <w:sz w:val="1"/>
                <w:szCs w:val="1"/>
                <w:color w:val="auto"/>
              </w:rPr>
            </w:pPr>
          </w:p>
        </w:tc>
      </w:tr>
      <w:tr>
        <w:trPr>
          <w:trHeight w:val="26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463,567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495,444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995,592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135,132</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55,641</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earnings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243,927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income of associated companies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inter-segment revenues. All inter-segment transactions have been eliminated from each reportable segment’s net sales and earnings for all periods presented in the above tables.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gridSpan w:val="2"/>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2,385</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EMEA</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5,479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Asia/Pacific</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1,945</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Resulting in Net Reporting</w:t>
      </w:r>
    </w:p>
    <w:p>
      <w:pPr>
        <w:spacing w:after="0" w:line="11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As part of the Company’s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business, certain third-party product sales to customers are managed by the Company. The Company transferred third-party products under arrangements recognized on a net reporting basis of $19.2 million and $39.0 million for the three and six months ended June 30, 2024, respectively, and $21.0 million and $41.7 million for the three and six months ended June 30,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automobiles, aerospace, industrial and agricultural equipment, and durable goods. As previously disclosed in the Company’s 2023 Form 10-K, the Company’s five largest customers combined (each composed of multiple subsidiaries or divisions with semiautonomous purchasing authority) accounted for approximately 12% of consolidated net sales for 2023,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June 30, 2024 or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had approximately $3.2 million and $4.5 million of deferred revenue as of June 30, 2024 and December 31, 2023, respectively. For the six months ended June 30, 2024, the Company satisfied materially all of the associated performance obligations and recognized into revenue materially all advance payments received and recorded as of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149,210</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314,357</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463,567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298,967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634,359</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933,326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149,515</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345,929</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303,412</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692,180</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504,632</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995,592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11 years. Operating lease expense is recognized on a straight-line basis over the lease term. In addition, the Company has certain land use leases with remaining lease terms up to 91 years.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and six months ended June 30, 2024 and 2023. The components of the Company’s lease expense are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3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5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200" w:lineRule="exact"/>
        <w:rPr>
          <w:sz w:val="20"/>
          <w:szCs w:val="20"/>
          <w:color w:val="auto"/>
        </w:rPr>
      </w:pPr>
    </w:p>
    <w:p>
      <w:pPr>
        <w:sectPr>
          <w:pgSz w:w="11900" w:h="16838" w:orient="portrait"/>
          <w:cols w:equalWidth="0" w:num="1">
            <w:col w:w="11240"/>
          </w:cols>
          <w:pgMar w:left="320" w:top="121" w:right="339" w:bottom="1082"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8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6"/>
        </w:trPr>
        <w:tc>
          <w:tcPr>
            <w:tcW w:w="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6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0"/>
        </w:trPr>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3,736</w:t>
            </w:r>
          </w:p>
        </w:tc>
        <w:tc>
          <w:tcPr>
            <w:tcW w:w="8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3,773</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7,397</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0" w:type="dxa"/>
            <w:vAlign w:val="bottom"/>
            <w:tcBorders>
              <w:right w:val="single" w:sz="8" w:color="CCEEFF"/>
            </w:tcBorders>
            <w:shd w:val="clear" w:color="auto" w:fill="CCEEFF"/>
          </w:tcPr>
          <w:p>
            <w:pPr>
              <w:spacing w:after="0"/>
              <w:rPr>
                <w:sz w:val="22"/>
                <w:szCs w:val="22"/>
                <w:color w:val="auto"/>
              </w:rPr>
            </w:pPr>
          </w:p>
        </w:tc>
        <w:tc>
          <w:tcPr>
            <w:tcW w:w="5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tcBorders>
              <w:left w:val="single" w:sz="8" w:color="CCEEFF"/>
            </w:tcBorders>
            <w:shd w:val="clear" w:color="auto" w:fill="CCEEFF"/>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2,130</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5,364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418"/>
        </w:trPr>
        <w:tc>
          <w:tcPr>
            <w:tcW w:w="60" w:type="dxa"/>
            <w:vAlign w:val="bottom"/>
          </w:tcPr>
          <w:p>
            <w:pPr>
              <w:spacing w:after="0"/>
              <w:rPr>
                <w:sz w:val="24"/>
                <w:szCs w:val="24"/>
                <w:color w:val="auto"/>
              </w:rPr>
            </w:pPr>
          </w:p>
        </w:tc>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the Company’s leases is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38,614</w:t>
            </w:r>
          </w:p>
        </w:tc>
        <w:tc>
          <w:tcPr>
            <w:tcW w:w="40" w:type="dxa"/>
            <w:vAlign w:val="bottom"/>
          </w:tcPr>
          <w:p>
            <w:pPr>
              <w:spacing w:after="0"/>
              <w:rPr>
                <w:sz w:val="21"/>
                <w:szCs w:val="21"/>
                <w:color w:val="auto"/>
              </w:rPr>
            </w:pPr>
          </w:p>
        </w:tc>
      </w:tr>
      <w:tr>
        <w:trPr>
          <w:trHeight w:val="257"/>
        </w:trPr>
        <w:tc>
          <w:tcPr>
            <w:tcW w:w="6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6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11,965</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22,937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3"/>
        </w:trPr>
        <w:tc>
          <w:tcPr>
            <w:tcW w:w="60" w:type="dxa"/>
            <w:vAlign w:val="bottom"/>
          </w:tcPr>
          <w:p>
            <w:pPr>
              <w:spacing w:after="0"/>
              <w:rPr>
                <w:sz w:val="24"/>
                <w:szCs w:val="24"/>
                <w:color w:val="auto"/>
              </w:rPr>
            </w:pP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33,148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34,902</w:t>
            </w:r>
          </w:p>
        </w:tc>
        <w:tc>
          <w:tcPr>
            <w:tcW w:w="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6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7"/>
              </w:rPr>
              <w:t>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40" w:type="dxa"/>
            <w:vAlign w:val="bottom"/>
          </w:tcPr>
          <w:p>
            <w:pPr>
              <w:spacing w:after="0"/>
              <w:rPr>
                <w:sz w:val="21"/>
                <w:szCs w:val="21"/>
                <w:color w:val="auto"/>
              </w:rPr>
            </w:pPr>
          </w:p>
        </w:tc>
      </w:tr>
      <w:tr>
        <w:trPr>
          <w:trHeight w:val="432"/>
        </w:trPr>
        <w:tc>
          <w:tcPr>
            <w:tcW w:w="60" w:type="dxa"/>
            <w:vAlign w:val="bottom"/>
          </w:tcPr>
          <w:p>
            <w:pPr>
              <w:spacing w:after="0"/>
              <w:rPr>
                <w:sz w:val="24"/>
                <w:szCs w:val="24"/>
                <w:color w:val="auto"/>
              </w:rPr>
            </w:pPr>
          </w:p>
        </w:tc>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were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2024</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40" w:type="dxa"/>
            <w:vAlign w:val="bottom"/>
            <w:tcBorders>
              <w:left w:val="single" w:sz="8" w:color="CCEEFF"/>
            </w:tcBorders>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40" w:type="dxa"/>
            <w:vAlign w:val="bottom"/>
            <w:tcBorders>
              <w:left w:val="single" w:sz="8" w:color="CCEEFF"/>
            </w:tcBorders>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40" w:type="dxa"/>
            <w:vAlign w:val="bottom"/>
            <w:tcBorders>
              <w:left w:val="single" w:sz="8" w:color="CCEEFF"/>
            </w:tcBorders>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 and beyond</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5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40" w:type="dxa"/>
            <w:vAlign w:val="bottom"/>
            <w:tcBorders>
              <w:left w:val="single" w:sz="8" w:color="CCEEFF"/>
            </w:tcBorders>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3"/>
        </w:trPr>
        <w:tc>
          <w:tcPr>
            <w:tcW w:w="60" w:type="dxa"/>
            <w:vAlign w:val="bottom"/>
            <w:tcBorders>
              <w:right w:val="single" w:sz="8" w:color="CCEEFF"/>
            </w:tcBorders>
          </w:tcPr>
          <w:p>
            <w:pPr>
              <w:spacing w:after="0"/>
              <w:rPr>
                <w:sz w:val="24"/>
                <w:szCs w:val="24"/>
                <w:color w:val="auto"/>
              </w:rPr>
            </w:pPr>
          </w:p>
        </w:tc>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40" w:type="dxa"/>
            <w:vAlign w:val="bottom"/>
            <w:tcBorders>
              <w:left w:val="single" w:sz="8" w:color="CCEEFF"/>
            </w:tcBorders>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to improve its cost structure and drive a more profitable and productive organization. As of June 30, 2024, the program included restructuring and associated severance costs to reduce headcount by approximately 120 positions globally. These headcount reductions began in the fourth quarter of 2022 and are expected to be completed in 2024.</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Employee separation benefits vary depending on local regulations within certain foreign countries and include severance and other benefits. The exact timing to complete, and final costs associated with, all actions will depend on a number of factors and are subject to change. Restructuring costs incurred during the three and six months ended June 30, 2024 and 2023 include employee severance and facility closure costs that are recorded in Restructuring and related charges, net in the Company’s Condensed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accruals for its restructuring program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June 30, 2024</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plans for closure of certain manufacturing and non-manufacturing facilities, the Company has made available for sale certain facilities and property. As of June 30, 2024, the Company classified certain properties with aggregate book value of approximately $2.1 million as held-for-sale. These assets are recorded in Prepaid expenses and other current assets on the Company’s Condensed Consolidated Balance Sheets. The Company expects to complete the sale of these properties over the next 12 months. During the three and six months ended June 30, 2024, the Company completed the sale of certain facilities previously classified as held for sale for a net gain of $0.5 million, which is recorded in Other income (expenses), net in the Company’s Condensed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recognized the following share-based compensation expense in its Condensed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 and restricted stock units</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2,593</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7"/>
        </w:trPr>
        <w:tc>
          <w:tcPr>
            <w:tcW w:w="5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stock ownership plan</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7"/>
        </w:trPr>
        <w:tc>
          <w:tcPr>
            <w:tcW w:w="5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4,244</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unrecognized compensation expense related to unvested stock options was $0.1 million, to be recognized over a weighted average remaining period of 0.8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872 non-vested restricted share awards under its long-term incentive plan (“LTIP”), which are subject to time-based vesting, generally over one to three years. As of June 30, 2024, unrecognized compensation expense related to non-vested restricted shares was $2.8 million, to be recognized over a weighted average remaining period of 1.2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55,227 restricted stock units under its LTIP, which are subject to time-based vesting, generally over one to three years. The fair value of these grants is based on the closing price of the Company’s common stock on the date of grant. As of June 30, 2024, unrecognized compensation expense related to non-vested restricted stock units was $9.4 million, to be recognized over a weighted average remaining period of 1.7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 objectives is generally from January 1 of the year of grant through December 31 of the year prior to issuance of the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mentioned above, a portion of the Company’s PSU valuation is subject to the achievement of the Company’s TSR relative to the performance of a selected peer group. For PSUs granted prior to 2024, the Company’s peer group was the S&amp;P Midcap 400 Materials group. For the 2024 annual LTIP grants, the Company made an election to change peer groups to the S&amp;P 1500 Chemical group to measure the Company’s relative TSR.</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During the six months ended June 30, 2024, the Company granted 20,205 PSUs with a ROIC condition at a grant date fair value of $200.16 per unit, which was based on the closing trading price of the Company’s common stock on the date of grant. PSUs granted with a relative TSR condition are valued using a Monte Carlo simulation on the date of grant. The grant-date fair value of the PSUs valued using a Monte Carlo simulation was $234.19 per unit, which incorporated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PSUs granted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$12.0 million of total unrecognized compensation cost related to PSUs, which the Company expects to recognize over a weighted-average period of 2.3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 (income) are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0" w:type="dxa"/>
            <w:vAlign w:val="bottom"/>
          </w:tcPr>
          <w:p>
            <w:pPr>
              <w:spacing w:after="0"/>
              <w:rPr>
                <w:sz w:val="20"/>
                <w:szCs w:val="20"/>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5"/>
        </w:trPr>
        <w:tc>
          <w:tcPr>
            <w:tcW w:w="23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9"/>
        </w:trPr>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$1.9 million of contributions have been made to the Company’s U.S. and foreign pension plans. Contributions to other postretirement benefit plans were not material. Taking into consideration current minimum cash contribution requirements, the Company currently expects to make full year cash contributions of approximately $5.7 million to its U.S. and foreign pension plans and approximately $0.2 million to its other postretirement benefit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income (expense), net</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Other income (expense), net are as follows: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5720" w:type="dxa"/>
            <w:vAlign w:val="bottom"/>
          </w:tcPr>
          <w:p>
            <w:pPr>
              <w:spacing w:after="0"/>
              <w:rPr>
                <w:sz w:val="24"/>
                <w:szCs w:val="24"/>
                <w:color w:val="auto"/>
              </w:rPr>
            </w:pPr>
          </w:p>
        </w:tc>
        <w:tc>
          <w:tcPr>
            <w:tcW w:w="280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3,023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third party license fees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disposals of property, plant, equipment and other assets, net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(1,175)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remediation recoveries, net</w:t>
            </w:r>
          </w:p>
        </w:tc>
        <w:tc>
          <w:tcPr>
            <w:tcW w:w="860" w:type="dxa"/>
            <w:vAlign w:val="bottom"/>
          </w:tcPr>
          <w:p>
            <w:pPr>
              <w:spacing w:after="0"/>
              <w:rPr>
                <w:sz w:val="21"/>
                <w:szCs w:val="21"/>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liability claim</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5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1,502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Gain on disposals of property, plant, equipment and other assets, net includes the net gains recognized for the sale of certain facilities previously classified as held for sale during the three and six months ended June 30, 2024. See Note 7 of Notes to the Condensed Consolidated Financial Statements.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Facility remediation recoveries, net, during the three and six months ended June 30, 2023, reflect insurance recoveries of costs for remediation and restoration of property damage. See Note 18 for discussion regarding the Company’s related business interruption claims.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 represents expense related to the payments by the Company in connection with a product liability dispute with a customer during the six months ended June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2024 were 32.8% and 30.1%, respectively, compared to 34.2% and 31.2% for the three and six months ended June 30, 2023, respectively. The Company’s effective tax rates for the three and six months ended June 30, 2024 were largely driven by the mix of pre-tax earnings, certain one-time charges related to an intercompany intangible asset transfer, and withholding taxes, offset by changes in uncertain tax positions. Comparatively, the effective tax rates for the three and six months ended June 30, 2023 were largely impacted by the mix of pre-tax earnings, changes to the valuation allowance for and the usage of certain foreign tax credits, and withholding taxes, partially offset by changes in uncertain tax positions and favorable return to provision adjustments.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6"/>
        </w:trPr>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58,880</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7"/>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69,836</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58,581</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17,921,395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17,892,444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17,915,104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17,879,629</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58,581</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17,921,395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17,892,444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17,915,104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17,879,629</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r>
      <w:tr>
        <w:trPr>
          <w:trHeight w:val="237"/>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17,940,156</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17,921,414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17,934,950</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17,909,906</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5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have been anti-dilutive. The calculated amount of anti-diluted shares not included were 16,098 and 31,000 for the three and six months ended June 30, 2024, respectively, and 8,232 and 10,940 for the three and six months ended June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for the six months ended June 30, 2024 were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512,518</w:t>
            </w:r>
          </w:p>
        </w:tc>
      </w:tr>
      <w:tr>
        <w:trPr>
          <w:trHeight w:val="243"/>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additions</w:t>
            </w:r>
          </w:p>
        </w:tc>
        <w:tc>
          <w:tcPr>
            <w:tcW w:w="2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6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280,176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517,582</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rights to sell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597,690</w:t>
            </w:r>
          </w:p>
        </w:tc>
        <w:tc>
          <w:tcPr>
            <w:tcW w:w="0" w:type="dxa"/>
            <w:vAlign w:val="bottom"/>
          </w:tcPr>
          <w:p>
            <w:pPr>
              <w:spacing w:after="0"/>
              <w:rPr>
                <w:sz w:val="1"/>
                <w:szCs w:val="1"/>
                <w:color w:val="auto"/>
              </w:rPr>
            </w:pPr>
          </w:p>
        </w:tc>
      </w:tr>
      <w:tr>
        <w:trPr>
          <w:trHeight w:val="2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formulations and</w:t>
            </w:r>
          </w:p>
        </w:tc>
        <w:tc>
          <w:tcPr>
            <w:tcW w:w="1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162,620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161,613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105,734</w:t>
            </w:r>
          </w:p>
        </w:tc>
        <w:tc>
          <w:tcPr>
            <w:tcW w:w="0" w:type="dxa"/>
            <w:vAlign w:val="bottom"/>
          </w:tcPr>
          <w:p>
            <w:pPr>
              <w:spacing w:after="0"/>
              <w:rPr>
                <w:sz w:val="1"/>
                <w:szCs w:val="1"/>
                <w:color w:val="auto"/>
              </w:rPr>
            </w:pPr>
          </w:p>
        </w:tc>
      </w:tr>
      <w:tr>
        <w:trPr>
          <w:trHeight w:val="12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product technology</w:t>
            </w: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5"/>
        </w:trPr>
        <w:tc>
          <w:tcPr>
            <w:tcW w:w="27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definite-lived intangible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1,006,380</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1,009,067</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329,507</w:t>
            </w:r>
          </w:p>
        </w:tc>
        <w:tc>
          <w:tcPr>
            <w:tcW w:w="8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305,527</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676,873</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703,540</w:t>
            </w:r>
          </w:p>
        </w:tc>
        <w:tc>
          <w:tcPr>
            <w:tcW w:w="0" w:type="dxa"/>
            <w:vAlign w:val="bottom"/>
          </w:tcPr>
          <w:p>
            <w:pPr>
              <w:spacing w:after="0"/>
              <w:rPr>
                <w:sz w:val="1"/>
                <w:szCs w:val="1"/>
                <w:color w:val="auto"/>
              </w:rPr>
            </w:pPr>
          </w:p>
        </w:tc>
      </w:tr>
      <w:tr>
        <w:trPr>
          <w:trHeight w:val="113"/>
        </w:trPr>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r>
      <w:tr>
        <w:trPr>
          <w:trHeight w:val="419"/>
        </w:trPr>
        <w:tc>
          <w:tcPr>
            <w:tcW w:w="20" w:type="dxa"/>
            <w:vAlign w:val="bottom"/>
          </w:tcPr>
          <w:p>
            <w:pPr>
              <w:spacing w:after="0"/>
              <w:rPr>
                <w:sz w:val="24"/>
                <w:szCs w:val="24"/>
                <w:color w:val="auto"/>
              </w:rPr>
            </w:pPr>
          </w:p>
        </w:tc>
        <w:tc>
          <w:tcPr>
            <w:tcW w:w="83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56,875</w:t>
            </w: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w:t>
            </w:r>
          </w:p>
        </w:tc>
      </w:tr>
      <w:tr>
        <w:trPr>
          <w:trHeight w:val="243"/>
        </w:trPr>
        <w:tc>
          <w:tcPr>
            <w:tcW w:w="20" w:type="dxa"/>
            <w:vAlign w:val="bottom"/>
          </w:tcPr>
          <w:p>
            <w:pPr>
              <w:spacing w:after="0"/>
              <w:rPr>
                <w:sz w:val="21"/>
                <w:szCs w:val="21"/>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56,020</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indefinite-lived intangible assets for trademarks and tradenames totaling $189.3 million and $193.2 million,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6.55%</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529,008</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561,250</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146,024</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737,425</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755,612</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(32,448)</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(23,444)</w:t>
            </w:r>
          </w:p>
        </w:tc>
      </w:tr>
      <w:tr>
        <w:trPr>
          <w:trHeight w:val="263"/>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703,655</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730,623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Company was in compliance with all of the Credit Facility covenants. See Note 19 of Notes to Consolidated Financial Statements in the Company’s 2023 Form 10-K.</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six months ended June 30, 2024 were approximately 6.2% and 6.3%, respectively. As of June 30, 2024, the interest rate on the outstanding borrowings under the Credit Facility was approximately 6.1%.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$445 million, which is net of bank letters of credit of approximately $3 million, as of June 30,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As of June 30, 2024, the aggregate interest rate on the swaps, including the fixed base rate plus the applicable margin, was 5.3%. See Note 17 of Notes to Condensed Consolidated Financial Statements.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executing the original credit facility in 2019 and the amended Credit Facility during the second quarter of 2022, the Company capitalized an aggregate of $2.2 million of certain third-party and creditor debt issuance costs. Approximately $0.7 million of the capitalized costs were attributed to the Euro Term Loan and U.S. Term Loan. These costs were recorded as a direct offset of Long-term debt on the Condensed Consolidated Balance Sheet. Approximately $1.5 million of the capitalized costs were attributed to the Revolver and recorded within Other assets on the Condensed Consolidated Balance Sheet. These capitalized costs will collectively be amortized into Interest expense over the five-year term of the Credit Facility. As of June 30, 2024, the Company had $1.3 million of debt issuance costs recorded as an offset of Long-term debt on the Condensed Consolidated Balance Sheets and $2.9 million of debt issuance costs recorded within Other assets on the Condensed Consolidated Balance Sheet. Comparatively, as of December 31, 2023, the Company had $1.5 million of debt issuance costs recorded as an offset of Long-term debt on the Condensed Consolidated Balance Sheets and $3.3 million of debt issuance costs recorded within Other assets on the Condensed Consolidated Balance Sheets.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June 30, 2024 was approximately $34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June 30, 2024 were approximately $4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net, 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28,265</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DFF"/>
            </w:tcBorders>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80" w:type="dxa"/>
            <w:vAlign w:val="bottom"/>
            <w:tcBorders>
              <w:bottom w:val="single" w:sz="8" w:color="CCEDFF"/>
            </w:tcBorders>
            <w:shd w:val="clear" w:color="auto" w:fill="CCEDFF"/>
          </w:tcPr>
          <w:p>
            <w:pPr>
              <w:spacing w:after="0"/>
              <w:rPr>
                <w:sz w:val="24"/>
                <w:szCs w:val="24"/>
                <w:color w:val="auto"/>
              </w:rPr>
            </w:pPr>
          </w:p>
        </w:tc>
        <w:tc>
          <w:tcPr>
            <w:tcW w:w="400" w:type="dxa"/>
            <w:vAlign w:val="bottom"/>
            <w:tcBorders>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80" w:type="dxa"/>
            <w:vAlign w:val="bottom"/>
            <w:tcBorders>
              <w:bottom w:val="single" w:sz="8" w:color="CCEDFF"/>
            </w:tcBorders>
            <w:shd w:val="clear" w:color="auto" w:fill="CCEDFF"/>
          </w:tcPr>
          <w:p>
            <w:pPr>
              <w:spacing w:after="0"/>
              <w:rPr>
                <w:sz w:val="24"/>
                <w:szCs w:val="24"/>
                <w:color w:val="auto"/>
              </w:rPr>
            </w:pPr>
          </w:p>
        </w:tc>
        <w:tc>
          <w:tcPr>
            <w:tcW w:w="380" w:type="dxa"/>
            <w:vAlign w:val="bottom"/>
            <w:tcBorders>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28,971</w:t>
            </w:r>
          </w:p>
        </w:tc>
      </w:tr>
      <w:tr>
        <w:trPr>
          <w:trHeight w:val="20"/>
        </w:trPr>
        <w:tc>
          <w:tcPr>
            <w:tcW w:w="55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00" w:type="dxa"/>
            <w:vAlign w:val="bottom"/>
            <w:tcBorders>
              <w:top w:val="single" w:sz="8" w:color="CCEDFF"/>
              <w:bottom w:val="single" w:sz="8" w:color="auto"/>
            </w:tcBorders>
          </w:tcPr>
          <w:p>
            <w:pPr>
              <w:spacing w:after="0" w:line="20" w:lineRule="exact"/>
              <w:rPr>
                <w:sz w:val="1"/>
                <w:szCs w:val="1"/>
                <w:color w:val="auto"/>
              </w:rPr>
            </w:pPr>
          </w:p>
        </w:tc>
        <w:tc>
          <w:tcPr>
            <w:tcW w:w="9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98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June 30, 2024 and as of December 31, 2023, the amounts at which the Company’s total debt were recorded are not materially different from their fair market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4"/>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9"/>
              </w:rPr>
              <w:t>Note 15 – Accumulated Other Comprehensive Income</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9860" w:type="dxa"/>
            <w:vAlign w:val="bottom"/>
            <w:gridSpan w:val="20"/>
          </w:tcPr>
          <w:p>
            <w:pPr>
              <w:ind w:left="320"/>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 Gain in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8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(146,987)</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DFF"/>
            </w:tcBorders>
            <w:shd w:val="clear" w:color="auto" w:fill="CCEDFF"/>
          </w:tcPr>
          <w:p>
            <w:pPr>
              <w:spacing w:after="0"/>
              <w:rPr>
                <w:sz w:val="24"/>
                <w:szCs w:val="24"/>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(159,574)</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20" w:type="dxa"/>
            <w:vAlign w:val="bottom"/>
            <w:tcBorders>
              <w:bottom w:val="single" w:sz="8" w:color="auto"/>
            </w:tcBorders>
            <w:shd w:val="clear" w:color="auto" w:fill="CCEDFF"/>
          </w:tcPr>
          <w:p>
            <w:pPr>
              <w:spacing w:after="0"/>
              <w:rPr>
                <w:sz w:val="24"/>
                <w:szCs w:val="24"/>
                <w:color w:val="auto"/>
              </w:rPr>
            </w:pPr>
          </w:p>
        </w:tc>
      </w:tr>
      <w:tr>
        <w:trPr>
          <w:trHeight w:val="20"/>
        </w:trPr>
        <w:tc>
          <w:tcPr>
            <w:tcW w:w="20" w:type="dxa"/>
            <w:vAlign w:val="bottom"/>
            <w:tcBorders>
              <w:top w:val="single" w:sz="8" w:color="CCEDFF"/>
            </w:tcBorders>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(117,696)</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DFF"/>
            </w:tcBorders>
            <w:shd w:val="clear" w:color="auto" w:fill="CCEDFF"/>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Borders>
              <w:bottom w:val="single" w:sz="8" w:color="CCEDFF"/>
            </w:tcBorders>
            <w:shd w:val="clear" w:color="auto" w:fill="CCED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DFF"/>
            </w:tcBorders>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DFF"/>
            </w:tcBorders>
            <w:shd w:val="clear" w:color="auto" w:fill="CCEDFF"/>
          </w:tcPr>
          <w:p>
            <w:pPr>
              <w:spacing w:after="0"/>
              <w:rPr>
                <w:sz w:val="24"/>
                <w:szCs w:val="24"/>
                <w:color w:val="auto"/>
              </w:rPr>
            </w:pPr>
          </w:p>
        </w:tc>
        <w:tc>
          <w:tcPr>
            <w:tcW w:w="410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Borders>
              <w:bottom w:val="single" w:sz="8" w:color="auto"/>
            </w:tcBorders>
            <w:shd w:val="clear" w:color="auto" w:fill="CCEDFF"/>
          </w:tcPr>
          <w:p>
            <w:pPr>
              <w:spacing w:after="0"/>
              <w:rPr>
                <w:sz w:val="24"/>
                <w:szCs w:val="24"/>
                <w:color w:val="auto"/>
              </w:rPr>
            </w:pPr>
          </w:p>
        </w:tc>
        <w:tc>
          <w:tcPr>
            <w:tcW w:w="6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CCEDFF"/>
            </w:tcBorders>
            <w:shd w:val="clear" w:color="auto" w:fill="CCEDFF"/>
          </w:tcPr>
          <w:p>
            <w:pPr>
              <w:spacing w:after="0"/>
              <w:rPr>
                <w:sz w:val="24"/>
                <w:szCs w:val="24"/>
                <w:color w:val="auto"/>
              </w:rPr>
            </w:pP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20" w:type="dxa"/>
            <w:vAlign w:val="bottom"/>
            <w:tcBorders>
              <w:bottom w:val="single" w:sz="8" w:color="auto"/>
            </w:tcBorders>
            <w:shd w:val="clear" w:color="auto" w:fill="CCEDFF"/>
          </w:tcPr>
          <w:p>
            <w:pPr>
              <w:spacing w:after="0"/>
              <w:rPr>
                <w:sz w:val="24"/>
                <w:szCs w:val="24"/>
                <w:color w:val="auto"/>
              </w:rPr>
            </w:pPr>
          </w:p>
        </w:tc>
      </w:tr>
      <w:tr>
        <w:trPr>
          <w:trHeight w:val="20"/>
        </w:trPr>
        <w:tc>
          <w:tcPr>
            <w:tcW w:w="20" w:type="dxa"/>
            <w:vAlign w:val="bottom"/>
            <w:tcBorders>
              <w:top w:val="single" w:sz="8" w:color="CCEDFF"/>
            </w:tcBorders>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Borders>
              <w:top w:val="single" w:sz="8" w:color="CCEDFF"/>
              <w:bottom w:val="single" w:sz="8" w:color="auto"/>
            </w:tcBorders>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 Gain in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 Securities</w:t>
            </w:r>
          </w:p>
        </w:tc>
        <w:tc>
          <w:tcPr>
            <w:tcW w:w="140" w:type="dxa"/>
            <w:vAlign w:val="bottom"/>
          </w:tcPr>
          <w:p>
            <w:pPr>
              <w:spacing w:after="0"/>
              <w:rPr>
                <w:sz w:val="20"/>
                <w:szCs w:val="20"/>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(124,415)</w:t>
            </w:r>
          </w:p>
        </w:tc>
        <w:tc>
          <w:tcPr>
            <w:tcW w:w="2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(159,574)</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8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(132,161)</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(138,240)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Borders>
              <w:bottom w:val="single" w:sz="8" w:color="CCEDFF"/>
            </w:tcBorders>
            <w:shd w:val="clear" w:color="auto" w:fill="CCEDFF"/>
          </w:tcPr>
          <w:p>
            <w:pPr>
              <w:spacing w:after="0"/>
              <w:rPr>
                <w:sz w:val="21"/>
                <w:szCs w:val="21"/>
                <w:color w:val="auto"/>
              </w:rPr>
            </w:pPr>
          </w:p>
        </w:tc>
        <w:tc>
          <w:tcPr>
            <w:tcW w:w="6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41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shd w:val="clear" w:color="auto" w:fill="CCEDFF"/>
          </w:tcPr>
          <w:p>
            <w:pPr>
              <w:spacing w:after="0"/>
              <w:rPr>
                <w:sz w:val="24"/>
                <w:szCs w:val="24"/>
                <w:color w:val="auto"/>
              </w:rPr>
            </w:pPr>
          </w:p>
        </w:tc>
        <w:tc>
          <w:tcPr>
            <w:tcW w:w="60" w:type="dxa"/>
            <w:vAlign w:val="bottom"/>
            <w:shd w:val="clear" w:color="auto" w:fill="CCEDFF"/>
          </w:tcPr>
          <w:p>
            <w:pPr>
              <w:spacing w:after="0"/>
              <w:rPr>
                <w:sz w:val="24"/>
                <w:szCs w:val="24"/>
                <w:color w:val="auto"/>
              </w:rPr>
            </w:pPr>
          </w:p>
        </w:tc>
        <w:tc>
          <w:tcPr>
            <w:tcW w:w="20" w:type="dxa"/>
            <w:vAlign w:val="bottom"/>
            <w:shd w:val="clear" w:color="auto" w:fill="CCEDFF"/>
          </w:tcPr>
          <w:p>
            <w:pPr>
              <w:spacing w:after="0"/>
              <w:rPr>
                <w:sz w:val="24"/>
                <w:szCs w:val="24"/>
                <w:color w:val="auto"/>
              </w:rPr>
            </w:pPr>
          </w:p>
        </w:tc>
        <w:tc>
          <w:tcPr>
            <w:tcW w:w="28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reclassifications related to unrealized (loss) gain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During June 2023, the Company surrendered and liquidated $1.9 million of these life insurance policies. As a result, the Company owns an immaterial amount of company-owned life insurance policies as of June 30, 2024 and December 31,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17 for a description of the Company’s derivative instruments.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certain foreign currencies. These forward contracts are marked-to-market at each reporting date. Changes in the fair value of the underlying instrument and settlements are recognized in earnings in Other income (expense),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foreign exchange forward contracts as of June 30, 2024 were entered into as hedges in Japanese yen, Mexican peso and Chinese yuan against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 As of June 30, 2024, the Company had open foreign exchange forward contracts with notional U.S. dollar values of the following:</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800" w:type="dxa"/>
            <w:vAlign w:val="bottom"/>
          </w:tcPr>
          <w:p>
            <w:pPr>
              <w:spacing w:after="0"/>
              <w:rPr>
                <w:sz w:val="20"/>
                <w:szCs w:val="20"/>
                <w:color w:val="auto"/>
              </w:rPr>
            </w:pPr>
          </w:p>
        </w:tc>
        <w:tc>
          <w:tcPr>
            <w:tcW w:w="7180" w:type="dxa"/>
            <w:vAlign w:val="bottom"/>
            <w:gridSpan w:val="3"/>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28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180" w:type="dxa"/>
            <w:vAlign w:val="bottom"/>
            <w:tcBorders>
              <w:bottom w:val="single" w:sz="8" w:color="CCEDFF"/>
            </w:tcBorders>
            <w:gridSpan w:val="3"/>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30,600</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28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8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Chinese Yuan</w:t>
            </w:r>
          </w:p>
        </w:tc>
        <w:tc>
          <w:tcPr>
            <w:tcW w:w="684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260" w:type="dxa"/>
            <w:vAlign w:val="bottom"/>
            <w:tcBorders>
              <w:bottom w:val="single" w:sz="8" w:color="CCEDFF"/>
            </w:tcBorders>
            <w:shd w:val="clear" w:color="auto" w:fill="CCEDFF"/>
          </w:tcPr>
          <w:p>
            <w:pPr>
              <w:spacing w:after="0"/>
              <w:rPr>
                <w:sz w:val="23"/>
                <w:szCs w:val="23"/>
                <w:color w:val="auto"/>
              </w:rPr>
            </w:pPr>
          </w:p>
        </w:tc>
        <w:tc>
          <w:tcPr>
            <w:tcW w:w="1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37"/>
        </w:trPr>
        <w:tc>
          <w:tcPr>
            <w:tcW w:w="2800" w:type="dxa"/>
            <w:vAlign w:val="bottom"/>
          </w:tcPr>
          <w:p>
            <w:pPr>
              <w:spacing w:after="0"/>
              <w:rPr>
                <w:sz w:val="20"/>
                <w:szCs w:val="20"/>
                <w:color w:val="auto"/>
              </w:rPr>
            </w:pPr>
          </w:p>
        </w:tc>
        <w:tc>
          <w:tcPr>
            <w:tcW w:w="69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39,800</w:t>
            </w:r>
          </w:p>
        </w:tc>
      </w:tr>
      <w:tr>
        <w:trPr>
          <w:trHeight w:val="27"/>
        </w:trPr>
        <w:tc>
          <w:tcPr>
            <w:tcW w:w="28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foreign exchange forward contracts as of June 30, 2024 had maturities occurring over a period of one month.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 rate borrowings into a fixed rate obligation. See Note 14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these hedged transactions affect earnings or it becomes probable that the forecasted transaction will not occur.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40" w:type="dxa"/>
            <w:vAlign w:val="bottom"/>
            <w:tcBorders>
              <w:bottom w:val="single" w:sz="8" w:color="CCED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DFF"/>
            </w:tcBorders>
            <w:gridSpan w:val="4"/>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43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57"/>
        </w:trPr>
        <w:tc>
          <w:tcPr>
            <w:tcW w:w="3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080" w:type="dxa"/>
            <w:vAlign w:val="bottom"/>
            <w:tcBorders>
              <w:bottom w:val="single" w:sz="8" w:color="CCEDFF"/>
            </w:tcBorders>
            <w:gridSpan w:val="4"/>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3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405"/>
        </w:trPr>
        <w:tc>
          <w:tcPr>
            <w:tcW w:w="846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unrealized gain deferred to AOCI:</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6"/>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39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4080" w:type="dxa"/>
            <w:vAlign w:val="bottom"/>
            <w:gridSpan w:val="4"/>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438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AOCI</w:t>
            </w:r>
          </w:p>
        </w:tc>
        <w:tc>
          <w:tcPr>
            <w:tcW w:w="240" w:type="dxa"/>
            <w:vAlign w:val="bottom"/>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80" w:type="dxa"/>
            <w:vAlign w:val="bottom"/>
            <w:shd w:val="clear" w:color="auto" w:fill="CCEDFF"/>
          </w:tcPr>
          <w:p>
            <w:pPr>
              <w:spacing w:after="0"/>
              <w:rPr>
                <w:sz w:val="20"/>
                <w:szCs w:val="20"/>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7"/>
        </w:trPr>
        <w:tc>
          <w:tcPr>
            <w:tcW w:w="3960" w:type="dxa"/>
            <w:vAlign w:val="bottom"/>
            <w:shd w:val="clear" w:color="auto" w:fill="CCEDFF"/>
          </w:tcPr>
          <w:p>
            <w:pPr>
              <w:spacing w:after="0"/>
              <w:rPr>
                <w:sz w:val="2"/>
                <w:szCs w:val="2"/>
                <w:color w:val="auto"/>
              </w:rPr>
            </w:pPr>
          </w:p>
        </w:tc>
        <w:tc>
          <w:tcPr>
            <w:tcW w:w="40" w:type="dxa"/>
            <w:vAlign w:val="bottom"/>
            <w:shd w:val="clear" w:color="auto" w:fill="CCEDFF"/>
          </w:tcPr>
          <w:p>
            <w:pPr>
              <w:spacing w:after="0"/>
              <w:rPr>
                <w:sz w:val="2"/>
                <w:szCs w:val="2"/>
                <w:color w:val="auto"/>
              </w:rPr>
            </w:pPr>
          </w:p>
        </w:tc>
        <w:tc>
          <w:tcPr>
            <w:tcW w:w="40" w:type="dxa"/>
            <w:vAlign w:val="bottom"/>
            <w:shd w:val="clear" w:color="auto" w:fill="CCEDFF"/>
          </w:tcPr>
          <w:p>
            <w:pPr>
              <w:spacing w:after="0"/>
              <w:rPr>
                <w:sz w:val="2"/>
                <w:szCs w:val="2"/>
                <w:color w:val="auto"/>
              </w:rPr>
            </w:pPr>
          </w:p>
        </w:tc>
        <w:tc>
          <w:tcPr>
            <w:tcW w:w="40" w:type="dxa"/>
            <w:vAlign w:val="bottom"/>
            <w:shd w:val="clear" w:color="auto" w:fill="CCEDFF"/>
          </w:tcPr>
          <w:p>
            <w:pPr>
              <w:spacing w:after="0"/>
              <w:rPr>
                <w:sz w:val="2"/>
                <w:szCs w:val="2"/>
                <w:color w:val="auto"/>
              </w:rPr>
            </w:pPr>
          </w:p>
        </w:tc>
        <w:tc>
          <w:tcPr>
            <w:tcW w:w="430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240" w:type="dxa"/>
            <w:vAlign w:val="bottom"/>
            <w:shd w:val="clear" w:color="auto" w:fill="CCEDFF"/>
          </w:tcPr>
          <w:p>
            <w:pPr>
              <w:spacing w:after="0"/>
              <w:rPr>
                <w:sz w:val="2"/>
                <w:szCs w:val="2"/>
                <w:color w:val="auto"/>
              </w:rPr>
            </w:pPr>
          </w:p>
        </w:tc>
        <w:tc>
          <w:tcPr>
            <w:tcW w:w="110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140" w:type="dxa"/>
            <w:vAlign w:val="bottom"/>
            <w:shd w:val="clear" w:color="auto" w:fill="CCEDFF"/>
          </w:tcPr>
          <w:p>
            <w:pPr>
              <w:spacing w:after="0"/>
              <w:rPr>
                <w:sz w:val="2"/>
                <w:szCs w:val="2"/>
                <w:color w:val="auto"/>
              </w:rPr>
            </w:pPr>
          </w:p>
        </w:tc>
        <w:tc>
          <w:tcPr>
            <w:tcW w:w="1220" w:type="dxa"/>
            <w:vAlign w:val="bottom"/>
            <w:shd w:val="clear" w:color="auto" w:fill="CCED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location and the amount of net gain or loss recognized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related to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4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its 2023 Form 10-K, the Company is party to certain environmental matters and other litigation. See Note 25 of Notes to Consolidated Financial Statements in the Company’s 2023 Form 10-K. During the three and six months ended June 30, 2024,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 million as of June 30, 2024 and December 31, 2023, respectively, for these ongoing matters.</w:t>
      </w:r>
    </w:p>
    <w:p>
      <w:pPr>
        <w:spacing w:after="0" w:line="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locations suffered property damage as a result of an electrical fire. The Company and its insurance carrier reviewed the impact of the electrical fire on the production facility’s operations as it relates to a potential business interruption insurance claim. Subsequent to the date of these financial statements, in July 2024, the Company and its insurance carrier settled this claim for $1.0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completed its acquisition of Coral Chemical Company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Since the second quarter of 2022, there have been no material changes to the facts and circumstances of the claim asserted by the Sellers, and the Company continues to believe the potential range of exposure for this claim is $0 to $1.5 million.</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during the three and six months ended June 30, 2024, there are no new environmental matters or litigation that the Company believes will have a material adverse effect on the Company’s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Quaker Houghton delivered solid results in the second quarter of 2024. Net sales in the second quarter of 2024 were $463.6 million, a decrease of 6% compared to $495.4 million in the second quarter of 2023. This was primarily driven by a decrease in selling price and product mix of approximately 4%, a 1% decrease in sales volumes, and an unfavorable impact from foreign currency translation of 1%. The decrease in selling price and product mix was primarily attributable to our index-based customer contracts. The decline in sales volumes was a result of a continuation of soft end market conditions compared to the prior year, primarily in the Americas and EMEA segments, partially offset by an increase in end market activity in the Asia/Pacific segment as well as new business wins across all segments.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generated net income in the second quarter of 2024 of $34.9 million, or $1.94 per diluted share, compared to net income of $29.3 million, or $1.63 per diluted share in the second quarter of 2023. Excluding non-recurring and non-core items in each period, the Company’s second quarter 2024 non-GAAP earnings per diluted share was $2.13 compared to $1.93 in the prior year quarter and the Company’s current quarter adjusted EBITDA was $84.3 million compared to $80.2 million in the second quarter of 2023. The increase in current quarter earnings was primarily driven by an improvement in gross margins related to pricing actions, lower raw material costs and selling, general and administrative expenses (“SG&amp;A”), and favorable impacts from foreign exchange, partially offset by higher professional fees. See the Non-GAAP Measures section of this Item below, as well as other items discussed in the Company’s Consolidated Operations Review in the Operations section of this Item, below.</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second quarter 2024 operating performance in each of its three reportable segments: (i) Americas; (ii) Europe, Middle East and Africa (“EMEA”); and (iii) Asia/Pacific, reflects similar drivers to that of the Company’s consolidated performance. Operating earnings for the Asia/Pacific and EMEA segments increased compared to the prior year quarter, primarily driven by an improvement in operating margins in each segment. Operating earnings for the Americas segment decreased compared to the prior year quarter, primarily driven by lower sales partially offset by improved segment operating margins. Additional details of each segment’s operating performance are further discussed in the Company’s Reportable Segments Review, in the Operations section of this Item, below.</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$73.5 million in the first six months of 2024 compared to $116.1 million in the first six months of 2023. The lower operating cash flow year-over-year reflects an increase in the net cash outflows from working capital in the first six months of 2024 partially offset by higher operating performance in the first six months of 2024 compared to 2023. The key drivers of the Company’s operating cash flow and working capital are further discussed in the Company’s Liquidity and Capital Resources section of this Item, below.</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Overall, the Company delivered solid results in the second quarter of 2024 highlighted by an improvement in margins which translated into earnings growth, notwithstanding the persistent macroeconomic and geopolitical challenges, continued soft end market conditions and other factors that have impacted the Company’s customers and end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2023 Form 10-K. There have been no material changes to the critical accounting policies and estimates previously disclosed in its 2023 Form 10-K remain materially consistent.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3 of Notes to Condensed Consolidated Financial Statements in Item 1 of this Report for a discussion regarding recently issued accounting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we had cash and cash equivalents of $188.6 million. Total cash and cash equivalents were $194.5 million as of December 31, 2023. The approximately $6.0 million decrease in cash and cash equivalents was the net result of $73.5 million of cash provided by operating activities, offset by $39.3 million of cash used in financing activities, $33.2 million of cash used in investing activities and an unfavorable impact of foreign currency translation of approximately $7.0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$73.5 million in the first six months of 2024 compared to $116.1 million in the first six months of 2023. The decrease in net operating cash flow year-over-year reflects higher cash outflows from working capital in 2024, driven by an outflow from Inventory due to timing of sales and orders and higher Accounts payable and accrued liabilities outflows due primarily to higher incentive compensation payments in the current year. The decrease in net operating cash flows was partially offset by higher operating performance in 2024 compared to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were $33.2 million in the first six months of 2024 compared to $17.0 million in the first six months of 2023. The increase in cash used in investing activities year-over-year is the result of payments in the current year related to the IKV acquisition. See Note 2 of Notes to Condensed Consolidated Financial Statements in Item 1 of this Report for further information about business acquisitions.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used in financing activities were $39.3 million in the first six months of 2024 compared to net cash flows used in financing activities of $89.0 million in the first six months of 2023. The decrease in net cash outflows was primarily related to net borrowings on the Company’s revolving credit facility in the first six months of 2024 compared to net repayments in the first six months of 2023. In addition, during the first six months of 2024, the Company made payments of approximately $7.8 million for repurchases of its common stock under its share repurchase program. Also, the Company paid $16.4 million of cash dividends during the first six months of 2024, a $0.7 million, or 5%, increase compared to the prior year period.</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June 30, 2024, the Company was in compliance with all of the Credit Facility covenants. Refer to the description of the Company’s primary Credit Facility in Note 19 of Notes to Consolidated Financial Statements in its 2023 Form 10-K.</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Credit Facility borrowings outstanding of $726.5 million. As of December 31, 2023, the Company had Credit Facility borrowings outstanding of $744.5 million. The Company’s other debt obligations are primarily industrial development bonds, bank lines of credit and municipality-related loans, which totaled $11.0 million as of June 30, 2024 and $11.1 million as of December 31, 2023. Total unused capacity under these arrangements as of June 30, 2024 was approximately $34 million. The Company’s total net debt as of June 30, 2024, which consists of total borrowings of $737.4 million less cash and cash equivalents of $188.6 million, was approximately $548.9 million.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six months ended June 30, 2024 were approximately 6.2% and 6.3%, respectively. As of June 30, 2024, the interest rate on the outstanding borrowings under the Credit Facility was approximately 6.1%.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$445 million, which is net of bank letters of credit of approximately $3 million, as of June 30,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June 30, 2024, the aggregate interest rate on the swaps, including the fixed base rate plus the applicable margin, was 5.3%. See Note 17 of Notes to Condensed Consolidated Financial Statements in Item 1 of this Report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offset of Long-term debt on the Condensed Consolidated Balance Sheet. Costs attributed to the Revolver were recorded within Other assets on the Condensed Consolidated Balance Sheet. These capitalized costs are collectively being amortized into Interest expense over the five-year term of the Credit Facility. As of June 30, 2024, the Company had $1.3 million of debt issuance costs recorded as an offset of Long-term debt on the Condensed Consolidated Balance Sheets and $2.9 million of debt issuance costs recorded within Other assets on the Condensed Consolidated Balance Sheet. Comparatively, as of December 31, 2023, the Company had $1.5 million of debt issuance costs recorded as an offset of Long-term debt on the Condensed Consolidated Balance Sheets and $3.3 million of debt issuance costs recorded within Other assets on the Condensed Consolidated Balance Sheet in Item 1 of this Report.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certain foreign currencies. During the first six months of 2024, the Company entered into and settled forward contracts resulting in other expense of $0.7 million as compared to other income of $2.1 million during the first six months of 2023. See Note 17 of Notes to Condensed Consolidated Financial Statements in Item 1 of this Report for further information.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2022, the Company’s management initiated a global cost and optimization program to improve its cost structure and drive a more profitable and productive organization. The Company expects to generate full run-rate cost savings from the global cost and optimization program of approximately $20 million by the end of 2024. The Company expects total cash costs of this program to be approximately 1 to 1.5 times annualized savings. The Company recognized Restructuring and related charges of $2.2 million and $5.0 million for the six months ended June 30, 2024, and 2023, respectively, under this program. The Company made cash payments related to the settlement of restructuring liabilities under the restructuring program during the first six months of 2024 of approximately $4.4 million compared to $5.4 million in the first six months of 2023. The Company has remaining restructuring accruals, as of June 30, 2024, for this program of $1.0 million, which the Company expects to settle during 2024. See Note 7 of Notes to Condensed Consolidated Financial Statements in Item 1 of this Report for further information.</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 Company’s gross liability for uncertain tax positions, including interest and penalties, was $19.6 million. The Company cannot determine a reliable estimate of the timing of cash flows by period related to its uncertain tax position liability. However, should the entire liability be paid, the amount of the payment may be reduced by up to $6.6 million as a result of offsetting benefits in other tax jurisdictions.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2023 Form 10-K, on February 28, 2024, the Board of Directors of the Company approved a new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made certain repurchases under the 2024 Repurchase Program during the six months ended June 30, 2024, as mentioned above. See Item 2 within Part II of this Report for further information.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locations suffered property damage as a result of an electrical fire. The Company and its insurance carrier continue to review the impact of the electrical fire on the production facility’s operations as it relates to a potential business interruption insurance claim, and the Company has not recorded a gain contingency for a possible business interruption insurance claim as of June 30, 2024. Subsequent to the date of these financial statements, in July 2024, the Company and its insurance carrier settled this claim for $1.0 million.</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information in this Form 10-Q includes non-GAAP financial information that includes EBITDA, adjusted EBITDA, adjusted EBITDA margin, non-GAAP operating income, non-GAAP operating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Company’s financial performance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taxes on income before equity in net income of associated companies – adjusted, non-GAAP net income and non-GAAP earnings per diluted share, as discussed and reconciled below to the most comparable respective GAAP measures, may not be comparable to similarly named measures reported by other companies.</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4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40" w:type="dxa"/>
            <w:vAlign w:val="bottom"/>
            <w:tcBorders>
              <w:bottom w:val="single" w:sz="8" w:color="CCEDFF"/>
            </w:tcBorders>
          </w:tcPr>
          <w:p>
            <w:pPr>
              <w:spacing w:after="0"/>
              <w:rPr>
                <w:sz w:val="2"/>
                <w:szCs w:val="2"/>
                <w:color w:val="auto"/>
              </w:rPr>
            </w:pPr>
          </w:p>
        </w:tc>
        <w:tc>
          <w:tcPr>
            <w:tcW w:w="52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bottom w:val="single" w:sz="8" w:color="CCEDFF"/>
            </w:tcBorders>
            <w:gridSpan w:val="2"/>
            <w:shd w:val="clear" w:color="auto" w:fill="CCEDFF"/>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58,449</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56,795</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113,975</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106,724</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5,015</w:t>
            </w: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Strategic planning expenses (credits) (b)</w:t>
            </w:r>
          </w:p>
        </w:tc>
        <w:tc>
          <w:tcPr>
            <w:tcW w:w="52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1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9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2,666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Other charges (d)</w:t>
            </w:r>
          </w:p>
        </w:tc>
        <w:tc>
          <w:tcPr>
            <w:tcW w:w="520" w:type="dxa"/>
            <w:vAlign w:val="bottom"/>
            <w:tcBorders>
              <w:bottom w:val="single" w:sz="8" w:color="CCEDFF"/>
            </w:tcBorders>
            <w:shd w:val="clear" w:color="auto" w:fill="CCEDFF"/>
          </w:tcPr>
          <w:p>
            <w:pPr>
              <w:spacing w:after="0"/>
              <w:rPr>
                <w:sz w:val="23"/>
                <w:szCs w:val="23"/>
                <w:color w:val="auto"/>
              </w:rPr>
            </w:pPr>
          </w:p>
        </w:tc>
        <w:tc>
          <w:tcPr>
            <w:tcW w:w="320" w:type="dxa"/>
            <w:vAlign w:val="bottom"/>
            <w:tcBorders>
              <w:bottom w:val="single" w:sz="8" w:color="CCEDFF"/>
            </w:tcBorders>
            <w:shd w:val="clear" w:color="auto" w:fill="CCEDFF"/>
          </w:tcPr>
          <w:p>
            <w:pPr>
              <w:spacing w:after="0"/>
              <w:rPr>
                <w:sz w:val="23"/>
                <w:szCs w:val="23"/>
                <w:color w:val="auto"/>
              </w:rPr>
            </w:pPr>
          </w:p>
        </w:tc>
        <w:tc>
          <w:tcPr>
            <w:tcW w:w="10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Borders>
              <w:bottom w:val="single" w:sz="8" w:color="CCEDFF"/>
            </w:tcBorders>
            <w:shd w:val="clear" w:color="auto" w:fill="CCEDFF"/>
          </w:tcPr>
          <w:p>
            <w:pPr>
              <w:spacing w:after="0"/>
              <w:rPr>
                <w:sz w:val="23"/>
                <w:szCs w:val="23"/>
                <w:color w:val="auto"/>
              </w:rPr>
            </w:pPr>
          </w:p>
        </w:tc>
        <w:tc>
          <w:tcPr>
            <w:tcW w:w="380" w:type="dxa"/>
            <w:vAlign w:val="bottom"/>
            <w:tcBorders>
              <w:bottom w:val="single" w:sz="8" w:color="CCEDFF"/>
            </w:tcBorders>
            <w:shd w:val="clear" w:color="auto" w:fill="CCEDFF"/>
          </w:tcPr>
          <w:p>
            <w:pPr>
              <w:spacing w:after="0"/>
              <w:rPr>
                <w:sz w:val="23"/>
                <w:szCs w:val="23"/>
                <w:color w:val="auto"/>
              </w:rPr>
            </w:pPr>
          </w:p>
        </w:tc>
        <w:tc>
          <w:tcPr>
            <w:tcW w:w="9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DFF"/>
            </w:tcBorders>
            <w:shd w:val="clear" w:color="auto" w:fill="CCEDFF"/>
          </w:tcPr>
          <w:p>
            <w:pPr>
              <w:spacing w:after="0"/>
              <w:rPr>
                <w:sz w:val="23"/>
                <w:szCs w:val="23"/>
                <w:color w:val="auto"/>
              </w:rPr>
            </w:pPr>
          </w:p>
        </w:tc>
        <w:tc>
          <w:tcPr>
            <w:tcW w:w="300" w:type="dxa"/>
            <w:vAlign w:val="bottom"/>
            <w:tcBorders>
              <w:bottom w:val="single" w:sz="8" w:color="CCEDFF"/>
            </w:tcBorders>
            <w:shd w:val="clear" w:color="auto" w:fill="CCEDFF"/>
          </w:tcPr>
          <w:p>
            <w:pPr>
              <w:spacing w:after="0"/>
              <w:rPr>
                <w:sz w:val="23"/>
                <w:szCs w:val="23"/>
                <w:color w:val="auto"/>
              </w:rPr>
            </w:pPr>
          </w:p>
        </w:tc>
        <w:tc>
          <w:tcPr>
            <w:tcW w:w="10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bottom w:val="single" w:sz="8" w:color="CCEDFF"/>
            </w:tcBorders>
            <w:shd w:val="clear" w:color="auto" w:fill="CCEDFF"/>
          </w:tcPr>
          <w:p>
            <w:pPr>
              <w:spacing w:after="0"/>
              <w:rPr>
                <w:sz w:val="23"/>
                <w:szCs w:val="23"/>
                <w:color w:val="auto"/>
              </w:rPr>
            </w:pPr>
          </w:p>
        </w:tc>
        <w:tc>
          <w:tcPr>
            <w:tcW w:w="400" w:type="dxa"/>
            <w:vAlign w:val="bottom"/>
            <w:tcBorders>
              <w:bottom w:val="single" w:sz="8" w:color="CCEDFF"/>
            </w:tcBorders>
            <w:shd w:val="clear" w:color="auto" w:fill="CCEDFF"/>
          </w:tcPr>
          <w:p>
            <w:pPr>
              <w:spacing w:after="0"/>
              <w:rPr>
                <w:sz w:val="23"/>
                <w:szCs w:val="23"/>
                <w:color w:val="auto"/>
              </w:rPr>
            </w:pPr>
          </w:p>
        </w:tc>
        <w:tc>
          <w:tcPr>
            <w:tcW w:w="9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649</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5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59,815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58,761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119,057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115,054</w:t>
            </w:r>
          </w:p>
        </w:tc>
      </w:tr>
      <w:tr>
        <w:trPr>
          <w:trHeight w:val="20"/>
        </w:trPr>
        <w:tc>
          <w:tcPr>
            <w:tcW w:w="5040" w:type="dxa"/>
            <w:vAlign w:val="bottom"/>
            <w:tcBorders>
              <w:bottom w:val="single" w:sz="8" w:color="CCEDFF"/>
            </w:tcBorders>
          </w:tcPr>
          <w:p>
            <w:pPr>
              <w:spacing w:after="0" w:line="20" w:lineRule="exact"/>
              <w:rPr>
                <w:sz w:val="1"/>
                <w:szCs w:val="1"/>
                <w:color w:val="auto"/>
              </w:rPr>
            </w:pPr>
          </w:p>
        </w:tc>
        <w:tc>
          <w:tcPr>
            <w:tcW w:w="52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operating margin (%) (l)</w:t>
            </w:r>
          </w:p>
        </w:tc>
        <w:tc>
          <w:tcPr>
            <w:tcW w:w="52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shd w:val="clear" w:color="auto" w:fill="CCEDFF"/>
          </w:tcPr>
          <w:p>
            <w:pPr>
              <w:spacing w:after="0"/>
              <w:rPr>
                <w:sz w:val="21"/>
                <w:szCs w:val="21"/>
                <w:color w:val="auto"/>
              </w:rPr>
            </w:pPr>
          </w:p>
        </w:tc>
        <w:tc>
          <w:tcPr>
            <w:tcW w:w="9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shd w:val="clear" w:color="auto" w:fill="CCEDFF"/>
          </w:tcPr>
          <w:p>
            <w:pPr>
              <w:spacing w:after="0"/>
              <w:rPr>
                <w:sz w:val="21"/>
                <w:szCs w:val="21"/>
                <w:color w:val="auto"/>
              </w:rPr>
            </w:pPr>
          </w:p>
        </w:tc>
        <w:tc>
          <w:tcPr>
            <w:tcW w:w="9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742"/>
        </w:trPr>
        <w:tc>
          <w:tcPr>
            <w:tcW w:w="5040" w:type="dxa"/>
            <w:vAlign w:val="bottom"/>
          </w:tcPr>
          <w:p>
            <w:pPr>
              <w:spacing w:after="0"/>
              <w:rPr>
                <w:sz w:val="24"/>
                <w:szCs w:val="24"/>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w:t>
            </w:r>
          </w:p>
        </w:tc>
        <w:tc>
          <w:tcPr>
            <w:tcW w:w="380" w:type="dxa"/>
            <w:vAlign w:val="bottom"/>
          </w:tcPr>
          <w:p>
            <w:pPr>
              <w:spacing w:after="0"/>
              <w:rPr>
                <w:sz w:val="18"/>
                <w:szCs w:val="18"/>
                <w:color w:val="auto"/>
              </w:rPr>
            </w:pPr>
          </w:p>
        </w:tc>
        <w:tc>
          <w:tcPr>
            <w:tcW w:w="224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Reconciliations</w:t>
            </w:r>
          </w:p>
        </w:tc>
        <w:tc>
          <w:tcPr>
            <w:tcW w:w="380" w:type="dxa"/>
            <w:vAlign w:val="bottom"/>
          </w:tcPr>
          <w:p>
            <w:pPr>
              <w:spacing w:after="0"/>
              <w:rPr>
                <w:sz w:val="20"/>
                <w:szCs w:val="20"/>
                <w:color w:val="auto"/>
              </w:rPr>
            </w:pPr>
          </w:p>
        </w:tc>
        <w:tc>
          <w:tcPr>
            <w:tcW w:w="13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480" w:type="dxa"/>
            <w:vAlign w:val="bottom"/>
            <w:tcBorders>
              <w:bottom w:val="single" w:sz="8" w:color="CCEDFF"/>
            </w:tcBorders>
            <w:gridSpan w:val="3"/>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70,112</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420" w:type="dxa"/>
            <w:vAlign w:val="bottom"/>
            <w:tcBorders>
              <w:bottom w:val="single" w:sz="8" w:color="CCEDFF"/>
            </w:tcBorders>
            <w:gridSpan w:val="3"/>
            <w:shd w:val="clear" w:color="auto" w:fill="CCED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58,880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(j)</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41,344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21,578</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25,963</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 (k)</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23,363</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76,731</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162,460</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149,550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loss in a captive insurance company (e)</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5,015</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planning expenses (credits) (b)</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2,666</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remediation recoveries (c)</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(h)</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(f)</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1,640</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charges (d)</w:t>
            </w:r>
          </w:p>
        </w:tc>
        <w:tc>
          <w:tcPr>
            <w:tcW w:w="380" w:type="dxa"/>
            <w:vAlign w:val="bottom"/>
            <w:tcBorders>
              <w:bottom w:val="single" w:sz="8" w:color="CCEDFF"/>
            </w:tcBorders>
            <w:shd w:val="clear" w:color="auto" w:fill="CCEDFF"/>
          </w:tcPr>
          <w:p>
            <w:pPr>
              <w:spacing w:after="0"/>
              <w:rPr>
                <w:sz w:val="23"/>
                <w:szCs w:val="23"/>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22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2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200" w:type="dxa"/>
            <w:vAlign w:val="bottom"/>
            <w:tcBorders>
              <w:bottom w:val="single" w:sz="8" w:color="CCEDFF"/>
            </w:tcBorders>
            <w:shd w:val="clear" w:color="auto" w:fill="CCEDFF"/>
          </w:tcPr>
          <w:p>
            <w:pPr>
              <w:spacing w:after="0"/>
              <w:rPr>
                <w:sz w:val="23"/>
                <w:szCs w:val="23"/>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Borders>
              <w:bottom w:val="single" w:sz="8" w:color="CCEDFF"/>
            </w:tcBorders>
            <w:shd w:val="clear" w:color="auto" w:fill="CCEDFF"/>
          </w:tcPr>
          <w:p>
            <w:pPr>
              <w:spacing w:after="0"/>
              <w:rPr>
                <w:sz w:val="23"/>
                <w:szCs w:val="23"/>
                <w:color w:val="auto"/>
              </w:rPr>
            </w:pPr>
          </w:p>
        </w:tc>
        <w:tc>
          <w:tcPr>
            <w:tcW w:w="20" w:type="dxa"/>
            <w:vAlign w:val="bottom"/>
            <w:tcBorders>
              <w:bottom w:val="single" w:sz="8" w:color="CCEDFF"/>
            </w:tcBorders>
            <w:shd w:val="clear" w:color="auto" w:fill="CCEDFF"/>
          </w:tcPr>
          <w:p>
            <w:pPr>
              <w:spacing w:after="0"/>
              <w:rPr>
                <w:sz w:val="23"/>
                <w:szCs w:val="23"/>
                <w:color w:val="auto"/>
              </w:rPr>
            </w:pPr>
          </w:p>
        </w:tc>
        <w:tc>
          <w:tcPr>
            <w:tcW w:w="2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320" w:type="dxa"/>
            <w:vAlign w:val="bottom"/>
            <w:tcBorders>
              <w:bottom w:val="single" w:sz="8" w:color="CCEDFF"/>
            </w:tcBorders>
            <w:shd w:val="clear" w:color="auto" w:fill="CCEDFF"/>
          </w:tcPr>
          <w:p>
            <w:pPr>
              <w:spacing w:after="0"/>
              <w:rPr>
                <w:sz w:val="23"/>
                <w:szCs w:val="23"/>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1,168</w:t>
            </w:r>
          </w:p>
        </w:tc>
      </w:tr>
      <w:tr>
        <w:trPr>
          <w:trHeight w:val="26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1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80,242</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167,573</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159,033</w:t>
            </w:r>
          </w:p>
        </w:tc>
      </w:tr>
      <w:tr>
        <w:trPr>
          <w:trHeight w:val="20"/>
        </w:trPr>
        <w:tc>
          <w:tcPr>
            <w:tcW w:w="5560" w:type="dxa"/>
            <w:vAlign w:val="bottom"/>
            <w:tcBorders>
              <w:bottom w:val="single" w:sz="8" w:color="CCED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 margin (%) (l)</w:t>
            </w:r>
          </w:p>
        </w:tc>
        <w:tc>
          <w:tcPr>
            <w:tcW w:w="38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57"/>
        </w:trPr>
        <w:tc>
          <w:tcPr>
            <w:tcW w:w="5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CCEDFF"/>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480" w:type="dxa"/>
            <w:vAlign w:val="bottom"/>
            <w:tcBorders>
              <w:bottom w:val="single" w:sz="8" w:color="CCEDFF"/>
            </w:tcBorders>
            <w:gridSpan w:val="3"/>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80,242</w:t>
            </w: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167,573</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420" w:type="dxa"/>
            <w:vAlign w:val="bottom"/>
            <w:tcBorders>
              <w:bottom w:val="single" w:sz="8" w:color="CCEDFF"/>
            </w:tcBorders>
            <w:gridSpan w:val="3"/>
            <w:shd w:val="clear" w:color="auto" w:fill="CCED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159,033</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 (j)</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41,344</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2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9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21,578</w:t>
            </w:r>
          </w:p>
        </w:tc>
        <w:tc>
          <w:tcPr>
            <w:tcW w:w="8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25,963</w:t>
            </w:r>
          </w:p>
        </w:tc>
      </w:tr>
      <w:tr>
        <w:trPr>
          <w:trHeight w:val="225"/>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 - adjusted (k)</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22,960</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55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80" w:type="dxa"/>
            <w:vAlign w:val="bottom"/>
            <w:tcBorders>
              <w:bottom w:val="single" w:sz="8" w:color="auto"/>
            </w:tcBorders>
            <w:shd w:val="clear" w:color="auto" w:fill="CCED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180" w:type="dxa"/>
            <w:vAlign w:val="bottom"/>
            <w:tcBorders>
              <w:bottom w:val="single" w:sz="8" w:color="auto"/>
            </w:tcBorders>
            <w:shd w:val="clear" w:color="auto" w:fill="CCEDFF"/>
          </w:tcPr>
          <w:p>
            <w:pPr>
              <w:spacing w:after="0"/>
              <w:rPr>
                <w:sz w:val="24"/>
                <w:szCs w:val="24"/>
                <w:color w:val="auto"/>
              </w:rPr>
            </w:pPr>
          </w:p>
        </w:tc>
        <w:tc>
          <w:tcPr>
            <w:tcW w:w="80" w:type="dxa"/>
            <w:vAlign w:val="bottom"/>
            <w:tcBorders>
              <w:bottom w:val="single" w:sz="8" w:color="CCEDFF"/>
            </w:tcBorders>
            <w:shd w:val="clear" w:color="auto" w:fill="CCEDFF"/>
          </w:tcPr>
          <w:p>
            <w:pPr>
              <w:spacing w:after="0"/>
              <w:rPr>
                <w:sz w:val="24"/>
                <w:szCs w:val="24"/>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DFF"/>
          </w:tcPr>
          <w:p>
            <w:pPr>
              <w:spacing w:after="0"/>
              <w:rPr>
                <w:sz w:val="24"/>
                <w:szCs w:val="24"/>
                <w:color w:val="auto"/>
              </w:rPr>
            </w:pPr>
          </w:p>
        </w:tc>
        <w:tc>
          <w:tcPr>
            <w:tcW w:w="140" w:type="dxa"/>
            <w:vAlign w:val="bottom"/>
            <w:tcBorders>
              <w:bottom w:val="single" w:sz="8" w:color="auto"/>
            </w:tcBorders>
            <w:shd w:val="clear" w:color="auto" w:fill="CCEDFF"/>
          </w:tcPr>
          <w:p>
            <w:pPr>
              <w:spacing w:after="0"/>
              <w:rPr>
                <w:sz w:val="24"/>
                <w:szCs w:val="24"/>
                <w:color w:val="auto"/>
              </w:rPr>
            </w:pPr>
          </w:p>
        </w:tc>
        <w:tc>
          <w:tcPr>
            <w:tcW w:w="7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200" w:type="dxa"/>
            <w:vAlign w:val="bottom"/>
            <w:tcBorders>
              <w:bottom w:val="single" w:sz="8" w:color="auto"/>
            </w:tcBorders>
            <w:shd w:val="clear" w:color="auto" w:fill="CCEDFF"/>
          </w:tcPr>
          <w:p>
            <w:pPr>
              <w:spacing w:after="0"/>
              <w:rPr>
                <w:sz w:val="24"/>
                <w:szCs w:val="24"/>
                <w:color w:val="auto"/>
              </w:rPr>
            </w:pP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DFF"/>
          </w:tcPr>
          <w:p>
            <w:pPr>
              <w:spacing w:after="0"/>
              <w:rPr>
                <w:sz w:val="24"/>
                <w:szCs w:val="24"/>
                <w:color w:val="auto"/>
              </w:rPr>
            </w:pPr>
          </w:p>
        </w:tc>
        <w:tc>
          <w:tcPr>
            <w:tcW w:w="200" w:type="dxa"/>
            <w:vAlign w:val="bottom"/>
            <w:tcBorders>
              <w:bottom w:val="single" w:sz="8" w:color="auto"/>
            </w:tcBorders>
            <w:shd w:val="clear" w:color="auto" w:fill="CCEDFF"/>
          </w:tcPr>
          <w:p>
            <w:pPr>
              <w:spacing w:after="0"/>
              <w:rPr>
                <w:sz w:val="24"/>
                <w:szCs w:val="24"/>
                <w:color w:val="auto"/>
              </w:rPr>
            </w:pPr>
          </w:p>
        </w:tc>
        <w:tc>
          <w:tcPr>
            <w:tcW w:w="94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75,905</w:t>
            </w:r>
          </w:p>
        </w:tc>
        <w:tc>
          <w:tcPr>
            <w:tcW w:w="80" w:type="dxa"/>
            <w:vAlign w:val="bottom"/>
            <w:tcBorders>
              <w:bottom w:val="single" w:sz="8" w:color="CCEDFF"/>
            </w:tcBorders>
            <w:shd w:val="clear" w:color="auto" w:fill="CCEDFF"/>
          </w:tcPr>
          <w:p>
            <w:pPr>
              <w:spacing w:after="0"/>
              <w:rPr>
                <w:sz w:val="24"/>
                <w:szCs w:val="24"/>
                <w:color w:val="auto"/>
              </w:rPr>
            </w:pPr>
          </w:p>
        </w:tc>
        <w:tc>
          <w:tcPr>
            <w:tcW w:w="20" w:type="dxa"/>
            <w:vAlign w:val="bottom"/>
            <w:tcBorders>
              <w:bottom w:val="single" w:sz="8" w:color="auto"/>
            </w:tcBorders>
            <w:shd w:val="clear" w:color="auto" w:fill="CCEDFF"/>
          </w:tcPr>
          <w:p>
            <w:pPr>
              <w:spacing w:after="0"/>
              <w:rPr>
                <w:sz w:val="24"/>
                <w:szCs w:val="24"/>
                <w:color w:val="auto"/>
              </w:rPr>
            </w:pPr>
          </w:p>
        </w:tc>
        <w:tc>
          <w:tcPr>
            <w:tcW w:w="420" w:type="dxa"/>
            <w:vAlign w:val="bottom"/>
            <w:tcBorders>
              <w:bottom w:val="single" w:sz="8" w:color="auto"/>
            </w:tcBorders>
            <w:gridSpan w:val="3"/>
            <w:shd w:val="clear" w:color="auto" w:fill="CCED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68,766</w:t>
            </w: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424"/>
        </w:trPr>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940" w:type="dxa"/>
            <w:vAlign w:val="bottom"/>
            <w:tcBorders>
              <w:bottom w:val="single" w:sz="8" w:color="CCEDFF"/>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gridSpan w:val="2"/>
            <w:shd w:val="clear" w:color="auto" w:fill="CCEDFF"/>
          </w:tcPr>
          <w:p>
            <w:pPr>
              <w:ind w:left="20"/>
              <w:spacing w:after="0" w:line="205" w:lineRule="exact"/>
              <w:rPr>
                <w:sz w:val="20"/>
                <w:szCs w:val="20"/>
                <w:color w:val="auto"/>
              </w:rPr>
            </w:pPr>
            <w:r>
              <w:rPr>
                <w:rFonts w:ascii="Times New Roman" w:cs="Times New Roman" w:eastAsia="Times New Roman" w:hAnsi="Times New Roman"/>
                <w:sz w:val="18"/>
                <w:szCs w:val="18"/>
                <w:color w:val="auto"/>
              </w:rPr>
              <w:t>GAAP earnings per diluted share attributable to Quaker Chemical Corporation</w:t>
            </w:r>
          </w:p>
        </w:tc>
        <w:tc>
          <w:tcPr>
            <w:tcW w:w="820" w:type="dxa"/>
            <w:vAlign w:val="bottom"/>
            <w:shd w:val="clear" w:color="auto" w:fill="CCEDFF"/>
          </w:tcPr>
          <w:p>
            <w:pPr>
              <w:spacing w:after="0"/>
              <w:rPr>
                <w:sz w:val="17"/>
                <w:szCs w:val="17"/>
                <w:color w:val="auto"/>
              </w:rPr>
            </w:pPr>
          </w:p>
        </w:tc>
        <w:tc>
          <w:tcPr>
            <w:tcW w:w="1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140" w:type="dxa"/>
            <w:vAlign w:val="bottom"/>
            <w:shd w:val="clear" w:color="auto" w:fill="CCEDFF"/>
          </w:tcPr>
          <w:p>
            <w:pPr>
              <w:spacing w:after="0"/>
              <w:rPr>
                <w:sz w:val="17"/>
                <w:szCs w:val="17"/>
                <w:color w:val="auto"/>
              </w:rPr>
            </w:pPr>
          </w:p>
        </w:tc>
        <w:tc>
          <w:tcPr>
            <w:tcW w:w="72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1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94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320" w:type="dxa"/>
            <w:vAlign w:val="bottom"/>
            <w:shd w:val="clear" w:color="auto" w:fill="CCEDFF"/>
          </w:tcPr>
          <w:p>
            <w:pPr>
              <w:spacing w:after="0"/>
              <w:rPr>
                <w:sz w:val="17"/>
                <w:szCs w:val="17"/>
                <w:color w:val="auto"/>
              </w:rPr>
            </w:pPr>
          </w:p>
        </w:tc>
        <w:tc>
          <w:tcPr>
            <w:tcW w:w="920" w:type="dxa"/>
            <w:vAlign w:val="bottom"/>
            <w:shd w:val="clear" w:color="auto" w:fill="CCEDFF"/>
          </w:tcPr>
          <w:p>
            <w:pPr>
              <w:spacing w:after="0"/>
              <w:rPr>
                <w:sz w:val="17"/>
                <w:szCs w:val="17"/>
                <w:color w:val="auto"/>
              </w:rPr>
            </w:pPr>
          </w:p>
        </w:tc>
      </w:tr>
      <w:tr>
        <w:trPr>
          <w:trHeight w:val="241"/>
        </w:trPr>
        <w:tc>
          <w:tcPr>
            <w:tcW w:w="55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380" w:type="dxa"/>
            <w:vAlign w:val="bottom"/>
            <w:tcBorders>
              <w:bottom w:val="single" w:sz="8" w:color="CCEDFF"/>
            </w:tcBorders>
            <w:shd w:val="clear" w:color="auto" w:fill="CCEDFF"/>
          </w:tcPr>
          <w:p>
            <w:pPr>
              <w:spacing w:after="0"/>
              <w:rPr>
                <w:sz w:val="20"/>
                <w:szCs w:val="20"/>
                <w:color w:val="auto"/>
              </w:rPr>
            </w:pPr>
          </w:p>
        </w:tc>
        <w:tc>
          <w:tcPr>
            <w:tcW w:w="820" w:type="dxa"/>
            <w:vAlign w:val="bottom"/>
            <w:tcBorders>
              <w:bottom w:val="single" w:sz="8" w:color="CCEDFF"/>
            </w:tcBorders>
            <w:shd w:val="clear" w:color="auto" w:fill="CCED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DFF"/>
            </w:tcBorders>
            <w:shd w:val="clear" w:color="auto" w:fill="CCEDFF"/>
          </w:tcPr>
          <w:p>
            <w:pPr>
              <w:spacing w:after="0"/>
              <w:rPr>
                <w:sz w:val="20"/>
                <w:szCs w:val="20"/>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1.63</w:t>
            </w:r>
          </w:p>
        </w:tc>
        <w:tc>
          <w:tcPr>
            <w:tcW w:w="80" w:type="dxa"/>
            <w:vAlign w:val="bottom"/>
            <w:tcBorders>
              <w:bottom w:val="single" w:sz="8" w:color="CCEDFF"/>
            </w:tcBorders>
            <w:shd w:val="clear" w:color="auto" w:fill="CCEDFF"/>
          </w:tcPr>
          <w:p>
            <w:pPr>
              <w:spacing w:after="0"/>
              <w:rPr>
                <w:sz w:val="20"/>
                <w:szCs w:val="20"/>
                <w:color w:val="auto"/>
              </w:rPr>
            </w:pPr>
          </w:p>
        </w:tc>
        <w:tc>
          <w:tcPr>
            <w:tcW w:w="20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Borders>
              <w:bottom w:val="single" w:sz="8" w:color="CCEDFF"/>
            </w:tcBorders>
            <w:shd w:val="clear" w:color="auto" w:fill="CCEDFF"/>
          </w:tcPr>
          <w:p>
            <w:pPr>
              <w:spacing w:after="0"/>
              <w:rPr>
                <w:sz w:val="20"/>
                <w:szCs w:val="20"/>
                <w:color w:val="auto"/>
              </w:rPr>
            </w:pPr>
          </w:p>
        </w:tc>
        <w:tc>
          <w:tcPr>
            <w:tcW w:w="420" w:type="dxa"/>
            <w:vAlign w:val="bottom"/>
            <w:tcBorders>
              <w:bottom w:val="single" w:sz="8" w:color="CCEDFF"/>
            </w:tcBorders>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loss in a captive insurance company per diluted share (e)</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6"/>
              </w:rPr>
              <w:t>(0.05)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per diluted share (a)</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planning expenses (credits) per diluted share (b)</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Customer insolvency costs per diluted share (g)</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1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gridSpan w:val="3"/>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remediation recoveries per diluted share (c)</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Product liability claim costs per diluted share (h)</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180" w:type="dxa"/>
            <w:vAlign w:val="bottom"/>
            <w:tcBorders>
              <w:bottom w:val="single" w:sz="8" w:color="CCEDFF"/>
            </w:tcBorders>
            <w:shd w:val="clear" w:color="auto" w:fill="CCEDFF"/>
          </w:tcPr>
          <w:p>
            <w:pPr>
              <w:spacing w:after="0"/>
              <w:rPr>
                <w:sz w:val="21"/>
                <w:szCs w:val="21"/>
                <w:color w:val="auto"/>
              </w:rPr>
            </w:pPr>
          </w:p>
        </w:tc>
        <w:tc>
          <w:tcPr>
            <w:tcW w:w="380" w:type="dxa"/>
            <w:vAlign w:val="bottom"/>
            <w:tcBorders>
              <w:bottom w:val="single" w:sz="8" w:color="CCEDFF"/>
            </w:tcBorders>
            <w:gridSpan w:val="3"/>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4"/>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per diluted share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6"/>
              </w:rPr>
              <w:t>(0.02)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Other charges per diluted share (d)</w:t>
            </w:r>
          </w:p>
        </w:tc>
        <w:tc>
          <w:tcPr>
            <w:tcW w:w="380" w:type="dxa"/>
            <w:vAlign w:val="bottom"/>
            <w:tcBorders>
              <w:bottom w:val="single" w:sz="8" w:color="CCEDFF"/>
            </w:tcBorders>
            <w:shd w:val="clear" w:color="auto" w:fill="CCEDFF"/>
          </w:tcPr>
          <w:p>
            <w:pPr>
              <w:spacing w:after="0"/>
              <w:rPr>
                <w:sz w:val="21"/>
                <w:szCs w:val="21"/>
                <w:color w:val="auto"/>
              </w:rPr>
            </w:pPr>
          </w:p>
        </w:tc>
        <w:tc>
          <w:tcPr>
            <w:tcW w:w="82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720" w:type="dxa"/>
            <w:vAlign w:val="bottom"/>
            <w:tcBorders>
              <w:bottom w:val="single" w:sz="8" w:color="CCEDFF"/>
            </w:tcBorders>
            <w:shd w:val="clear" w:color="auto" w:fill="CCEDFF"/>
          </w:tcPr>
          <w:p>
            <w:pPr>
              <w:spacing w:after="0"/>
              <w:rPr>
                <w:sz w:val="21"/>
                <w:szCs w:val="21"/>
                <w:color w:val="auto"/>
              </w:rPr>
            </w:pPr>
          </w:p>
        </w:tc>
        <w:tc>
          <w:tcPr>
            <w:tcW w:w="40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Borders>
              <w:bottom w:val="single" w:sz="8" w:color="CCEDFF"/>
            </w:tcBorders>
            <w:shd w:val="clear" w:color="auto" w:fill="CCEDFF"/>
          </w:tcPr>
          <w:p>
            <w:pPr>
              <w:spacing w:after="0"/>
              <w:rPr>
                <w:sz w:val="21"/>
                <w:szCs w:val="21"/>
                <w:color w:val="auto"/>
              </w:rPr>
            </w:pPr>
          </w:p>
        </w:tc>
        <w:tc>
          <w:tcPr>
            <w:tcW w:w="2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certain discrete tax items per diluted share (i)</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5560" w:type="dxa"/>
            <w:vAlign w:val="bottom"/>
            <w:tcBorders>
              <w:bottom w:val="single" w:sz="8" w:color="CCEDFF"/>
            </w:tcBorders>
          </w:tcPr>
          <w:p>
            <w:pPr>
              <w:spacing w:after="0"/>
              <w:rPr>
                <w:sz w:val="2"/>
                <w:szCs w:val="2"/>
                <w:color w:val="auto"/>
              </w:rPr>
            </w:pPr>
          </w:p>
        </w:tc>
        <w:tc>
          <w:tcPr>
            <w:tcW w:w="380" w:type="dxa"/>
            <w:vAlign w:val="bottom"/>
            <w:tcBorders>
              <w:bottom w:val="single" w:sz="8" w:color="CCED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55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(m)</w:t>
            </w:r>
          </w:p>
        </w:tc>
        <w:tc>
          <w:tcPr>
            <w:tcW w:w="380" w:type="dxa"/>
            <w:vAlign w:val="bottom"/>
            <w:shd w:val="clear" w:color="auto" w:fill="CCEDFF"/>
          </w:tcPr>
          <w:p>
            <w:pPr>
              <w:spacing w:after="0"/>
              <w:rPr>
                <w:sz w:val="24"/>
                <w:szCs w:val="24"/>
                <w:color w:val="auto"/>
              </w:rPr>
            </w:pPr>
          </w:p>
        </w:tc>
        <w:tc>
          <w:tcPr>
            <w:tcW w:w="820" w:type="dxa"/>
            <w:vAlign w:val="bottom"/>
            <w:shd w:val="clear" w:color="auto" w:fill="CCED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DFF"/>
          </w:tcPr>
          <w:p>
            <w:pPr>
              <w:spacing w:after="0"/>
              <w:rPr>
                <w:sz w:val="24"/>
                <w:szCs w:val="24"/>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DFF"/>
          </w:tcPr>
          <w:p>
            <w:pPr>
              <w:spacing w:after="0"/>
              <w:rPr>
                <w:sz w:val="24"/>
                <w:szCs w:val="24"/>
                <w:color w:val="auto"/>
              </w:rPr>
            </w:pPr>
          </w:p>
        </w:tc>
        <w:tc>
          <w:tcPr>
            <w:tcW w:w="400" w:type="dxa"/>
            <w:vAlign w:val="bottom"/>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5"/>
              </w:rPr>
              <w:t>1.93</w:t>
            </w:r>
          </w:p>
        </w:tc>
        <w:tc>
          <w:tcPr>
            <w:tcW w:w="80" w:type="dxa"/>
            <w:vAlign w:val="bottom"/>
            <w:shd w:val="clear" w:color="auto" w:fill="CCEDFF"/>
          </w:tcPr>
          <w:p>
            <w:pPr>
              <w:spacing w:after="0"/>
              <w:rPr>
                <w:sz w:val="24"/>
                <w:szCs w:val="24"/>
                <w:color w:val="auto"/>
              </w:rPr>
            </w:pPr>
          </w:p>
        </w:tc>
        <w:tc>
          <w:tcPr>
            <w:tcW w:w="2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DFF"/>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shd w:val="clear" w:color="auto" w:fill="CCEDFF"/>
          </w:tcPr>
          <w:p>
            <w:pPr>
              <w:spacing w:after="0"/>
              <w:rPr>
                <w:sz w:val="24"/>
                <w:szCs w:val="24"/>
                <w:color w:val="auto"/>
              </w:rPr>
            </w:pPr>
          </w:p>
        </w:tc>
        <w:tc>
          <w:tcPr>
            <w:tcW w:w="420" w:type="dxa"/>
            <w:vAlign w:val="bottom"/>
            <w:gridSpan w:val="3"/>
            <w:shd w:val="clear" w:color="auto" w:fill="CCED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556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340" w:hanging="332"/>
        <w:spacing w:after="0" w:line="266"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related charges, net represent the costs incurred by the Company associated with the Company’s restructuring program. These costs are not indicative of the future operating performance of the Company. See Note 7 of Notes to Condensed Consolidated Financial Statements, which appears in Item 1 of this Report,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planning expenses (credits) include consultant and advisory costs (credits) incurred in connection with long-term strategic planning, as well as planning to further optimize the Company’s footprint, processes and functions. These credits and costs recorded in SG&amp;A are not indicative of the future operating performance of the Company.</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right="20" w:hanging="332"/>
        <w:spacing w:after="0" w:line="261"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remediation recoveries represent insurance recoveries of costs incurred for remediation and restoration of property damage to certain of the Company’s facilities. These costs and recoveries recorded in Other income (expense), net, are non-recurring and are not indicative of the future operating performance of the Company. There were no such gains recognized for the three and six months ended June 30, 2024. See Note 10 of Notes to Condensed Consolidated Financial Statements, which appears in Item 1 of this Report.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include executive transition costs, charges incurred by an inactive subsidiary of the Company as a result of the termination of restrictions on insurance settlement reserves, net gains recognized for the sale of certain facilities previously classified as held for sale, non-service components of the Company’s pension and postretirement net periodic benefit income and expense, and certain legal, financial, and other advisory and consultant costs and indemnification asset related adjustments incurred in connection with the Company's recent acquisitions. See Notes 2, 9, and 10 of Notes to Condensed Consolidated Financial Statements, which appear in Item 1 of this Report.</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loss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loss attributable to Primex is not indicative of the future operating performance of the Company and is not considered core to the Company’s operations.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six months ended June 30, 2024 and 2023. The charges (credits) incurred relate to the immediate recognition of foreign currency remeasurement in the Condensed Consolidated Statements of Operations and are not indicative of the future operating performance of the Company. See Note 1 of Notes to Condensed Consolidated Financial Statements, which appears in Item 1 of this Report.</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charges associated with a specific reserve for trade accounts receivable within the Company’s EMEA reportable segment related to a specific customer that filed for bankruptcy protection. These expenses are not indicative of the future operating performance of the Company.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 represents expense related to the payments by the Company in connection with a product liability dispute with a customer during the six months ended June 30, 2024. See Note 10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certain discrete tax items include certain impacts of tax law changes, valuation allowance adjustments, uncertain tax positions and prior year true-ups, and the impact on certain intercompany asset transfers. The Company does not believe these items are core or indicative of future performance of the Company. See Note 11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and six months ended June 30, 2024 and 2023 includes approximately $0.2 million and $0.5 million, respectively,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adjustments.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and non-GAAP operating margin as the percentage of adjusted EBITDA and non-GAAP operating income to consolidated net sales.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non-GAAP earnings per diluted share as non-GAAP net income attributable to the Company divided by the weighted average number of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off-balance sheet items outstanding as of June 30, 2024 include approximately $4 million of bank letters of credit and guarantees. The bank letters of credit and guarantees are not significant to the Company’s liquidity or capital resources. See Note 14 of Notes to Condensed Consolidated Financial Statements in Item 1 of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Second Quarter of 2024 with the Second Quarter of 2023</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sales were $463.6 million in the second quarter of 2024 compared to $495.4 million in the second quarter of 2023. The net sales decrease of $31.8 million, or 6%, year-over-year reflects a decrease in selling price and product mix of approximately 4%, a decline in sales volumes of approximately 1%, and an unfavorable impact from foreign currency translation of 1%. The decrease in selling price and product mix was primarily attributable to our index-based customer contracts. The decline in sales volumes was primarily attributable to a continuation of soft end market conditions across the Company’s EMEA and Americas segments, partially offset by an increase in sales volumes in the Asia/Pacific segment, the IKV acquisition and new business wins in all segments.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(“COGS”) was $287.8 million in the second quarter of 2024 compared to $317.8 million in the second quarter of 2023, a decrease of approximately $30.0 million, or 9%. The decrease in COGS reflects lower spend on the decline in current year sales volumes and a decline in the Company’s global raw material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was $175.7 million in the second quarter of 2024 compared to $177.7 million in the second quarter of 2023, a decrease of $2.0 million, or 1%. The Company’s reported gross margin in the second quarter of 2024 was 37.9% compared to 35.9% in the second quarter of 2023 primarily driven by a reduction in raw material costs.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SG&amp;A expense was $116.9 million in the second quarter of 2024 compared to $119.9 million in the second quarter of 2023, a decrease of approximately $3.0 million, or 3%, driven by lower incentive compensation costs.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and related charges of $0.3 million and $1.0 million during the second quarters of 2024 and 2023, respectively, related to reductions in headcount and site closures under the Company’s restructuring program. See the Non-GAAP Measures section of this Item above for additional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second quarter of 2024 was $58.4 million compared to $56.8 million in the second quarter of 2023. Excluding non-recurring and non-core expenses that are not indicative of the future operating performance of the Company described in the Non-GAAP Measures section of this Item, above, the Company’s non-GAAP operating income increased to $59.8 million in the second quarter of 2024 as compared to $58.8 million in the second quarter of 2023 primarily due to lower SG&amp;A expense, as described above.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had Other income, net of $0.4 million in the second quarter of 2024 as compared to Other expense, net of $3.6 million in the second quarter of 2023. Both the second quarter of 2024 and 2023 included foreign exchange transaction losses, which were higher in the prior year. The second quarter of 2024 also included a gain on disposal of property, plant, equipment and other assets of $0.5 million from the sale of certain facilities previously classified as held for sale. Additionally, the Company had Other income from non-income tax credits of $0.9 million in both the second quarter of 2024 and 2023. See the Non-GAAP Measures section of this Item, above.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was $10.8 million in the second quarter of 2024 compared to $12.7 million in the second quarter of 2023, a decrease of approximately $1.9 million, primarily as a result of lower outstanding borrowings.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second quarters of 2024 and 2023 were 32.8% and 34.2%, respectively. The Company’s effective tax rate for the second quarter of 2024 was largely driven by the mix of pre-tax earnings, certain one-time charges related to an intercompany intangible asset transfer, and withholding taxes. Comparatively, the effective tax rate for the second quarter of 2023 was largely driven by the mix of pre-tax earnings, changes to the valuation allowance for and the usage of certain foreign tax credits, and withholding taxes. Excluding the impact of non-core items in each quarter, described in the Non-GAAP Measures section of this Item above, the Company estimates that its effective tax rates for the second quarters of 2024 and 2023 would have been approximately 28% and 27%, respectively.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$2.6 million in the second quarter of 2024 compared to $2.8 million in the second quarter of 2023, a decrease of $0.2 million, primarily due to lower current year income from the Company’s 50% interest in a joint venture in Korea.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both the second quarter of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Six Months of 2024 with the First Six Months of 2023</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sales were $933.3 million in the first six months of 2024 compared to $995.6 million in the first six months of 2023. The net sales decrease of $62.3 million, or 6%, year-over-year reflects decreases in selling price and product mix of approximately 5% and a decline in sales volumes of approximately 1%. The decrease in selling price and product mix was primarily attributable to our index-based customer contracts. The decline in sales volumes was primarily attributable to a continuation of soft end market conditions across the Company’s EMEA and Americas segments, partially offset by an increase in sales volumes in the Asia/Pacific segment, the IKV acquisition and new business wins in all segments, as mentioned above.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COGS were $576.0 million in the first six months of 2024 compared to $644.5 million in the first six months of 2023. The decrease in COGS of approximately $68.5 million, or 11%, reflects lower spend on the decline in current year sales volumes and a decline in the Company’s global raw material costs.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was $357.3 million in the first six months of 2024 compared to $351.1 million in the first six months of 2023, an increase of approximately $6.2 million, or 2%. The Company’s reported gross margin in the first six months of 2024 was 38.3% compared to 35.3% in the first six months of 2023. The Company’s current year-to-date improvement in gross margin was driven primarily by lower raw material costs compared to the prior year.</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was $241.1 million in the first six months of 2024 compared to $239.4 million in to the first six months of 2023, an increase of $1.7 million, or 1%, driven by higher levels of incentive compensation on improved Company performance, partially offset by lower SG&amp;A due to foreign currency translation compared to the prior year.</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Restructuring and related charges of $2.2 million and $5.0 million during the first six months of 2024 and 2023, respectively, related to reductions in headcount and site closures under the Company’s restructuring program. See the Non-GAAP Measures section of this Item, above.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first six months of 2024 was $114.0 million compared to $106.7 million in the first six months of 2023. Excluding non-recurring and non-core expenses that are not indicative of the future operating performance of the Company described in the Non-GAAP Measures section of this Item, above, the Company’s current year non-GAAP operating income increased to $119.1 million for the first six months of 2024 compared to $115.1 million in the prior year’s first six months primarily due to higher gross profit, partially offset by higher SG&amp;A, described above.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had Other income, net of $1.5 million in the first six months of 2024 compared to Other expense, net of $5.8 million in the first six months of 2023, as the Company had lower foreign exchange losses of $1.2 million in the current year compared to losses of $7.6 million in the prior year period. The first six months of 2024 results also included $3.0 million of non-income tax refunds and other related credits partially offset by a $0.9 million expense associated with a payment related to a product liability dispute with one of the Company’s customers, whereas the prior year’s first six months of 2023 included $1.0 million of insurance reimbursements related to remediation and restoration of property damage to certain of the Company’s facilities. See the Non-GAAP Measures section of this Item, above.</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decreased $4.4 million in the first six months of 2024 compared to the first six months of 2023 as a result of lower outstanding borrowings.</w:t>
      </w:r>
    </w:p>
    <w:p>
      <w:pPr>
        <w:spacing w:after="0" w:line="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six months of 2024 and 2023 were 30.1% and 31.2%, respectively. The Company’s effective tax rate for the six months ended June 30, 2024 was primarily impacted by the mix of pre-tax earnings, certain one-time charges related to an intercompany intangible asset transfer, and withholding taxes, offset by changes in uncertain tax positions. Comparatively, the effective tax rate for the six months ended June 30, 2023 was largely driven by the mix of pre-tax earnings, changes to the valuation allowance for and the usage of certain foreign tax credits, and withholding taxes, partially offset with changes in uncertain tax positions and favorable return to provision adjustments. Excluding the impact of non-core items in each period, described in the Non-GAAP Measures section of this Item, above, the Company estimates that its effective tax rates for the first six months of 2024 and 2023 would have been approximately 28% and 27%,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decreased $2.8 million in the first six months of 2024 compared to the first six months of 2023, primarily due to lower current year income from the Company’s 50% interest in a joint venture in Korea.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both the first six months of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Second Quarter of 2024 with the Second Quarter of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the Company’s reportable segments are comprised of net sales less COGS and SG&amp;A directly related to the respective segment’s net sales. Operating expenses not directly attributable to the segments, such as certain corporate and administrative costs and Restructuring and related charges, net, are excluded from segment results. Other items not specifically identified with the Company’s reportable segments include Interest expense, net, and Other income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48% of the Company’s consolidated net sales in the second quarter of 2024. This segment’s net sales were $223.5 million, a decrease of $29.7 million, or 12%, compared to the second quarter of 2023. This was driven by a decrease in sales volumes of approximately 5%, lower selling price and product mix of approximately 6%, and an unfavorable impact from foreign currency translation of 1%. The current quarter decline in sales volumes compared to the prior year was primarily driven by softer market conditions and customer outages, partially offset by new business wins. The decrease in selling price and product mix was primarily attributable to our index-based customer contracts. The unfavorable foreign exchange impact was primarily due to the strengthening of the U.S. dollar against the Mexican peso. Segment operating earnings were $64.1 million, a decrease of $4.9 million, or 7%, compared to the second quarter of 2023, primarily driven by lower sales partially offset by improved segment operating margins, driven primarily by lower raw material costs and lower SG&amp;A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EMEA represented approximately 30% of the Company’s consolidated net sales in the second quarter of 2024. This segment’s net sales were $138.0 million, a decrease of $5.5 million, or 4%, compared to the second quarter of 2023. This was driven by lower selling price and product mix of approximately 3% and an unfavorable impact from foreign currency translation of 1%. Sales volumes were flat compared to the prior year quarter. The decrease in selling price and product mix was primarily attributable to our index-based customer contracts. The stable sales volumes reflect new business wins and the IKV acquisition, partially offset by softer market conditions compared to the prior year. The unfavorable foreign currency translation impact was primarily due to the strengthening of the U.S. dollar against the Euro. Segment operating earnings were $26.7 million, an increase of $1.1 million, or 4%, compared to the second quarter of 2023, as higher segment operating margins driven by lower raw material costs and lower SG&amp;A expenses more than offset lower sales.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Asia/Pacific represented approximately 22% of the Company’s consolidated net sales in the second quarter of 2024. This segment’s net sales were $102.0 million, an increase of $3.4 million, or 3%, compared to the second quarter of 2023. This was driven by higher sales volumes of 7%, partially offset by a decrease in selling price and product mix of 1% and an unfavorable impact from foreign currency translation of 3%. The increase in sales volumes was primarily driven by an increase in end market activity compared to the prior year period and new business wins. The decrease in selling price and product mix was primarily attributable to our index-based customer contracts. The unfavorable foreign exchange impact was primarily due to the strengthening of the U.S. dollar against the Chinese renminbi. Segment operating earnings were $31.0 million, an increase of $3.0 million, or 11%, compared to the second quarter of 2023 primarily driven by an increase in net sales and an improvement in segment operating margins.</w:t>
      </w:r>
    </w:p>
    <w:p>
      <w:pPr>
        <w:spacing w:after="0" w:line="79" w:lineRule="exact"/>
        <w:rPr>
          <w:sz w:val="20"/>
          <w:szCs w:val="20"/>
          <w:color w:val="auto"/>
        </w:rPr>
      </w:pPr>
    </w:p>
    <w:p>
      <w:pPr>
        <w:ind w:right="3360"/>
        <w:spacing w:after="0" w:line="376"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Reportable Segments Review - Comparison of the First Six Months of 2024 with the First Six Months of 2023 </w:t>
      </w:r>
      <w:r>
        <w:rPr>
          <w:rFonts w:ascii="Times New Roman" w:cs="Times New Roman" w:eastAsia="Times New Roman" w:hAnsi="Times New Roman"/>
          <w:sz w:val="18"/>
          <w:szCs w:val="18"/>
          <w:i w:val="1"/>
          <w:iCs w:val="1"/>
          <w:color w:val="auto"/>
        </w:rPr>
        <w:t>Americas</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49% of the Company’s consolidated net sales in the first six months of 2024. This segment’s net sales were $453.3 million, a decrease of $51.4 million, or 10%, compared to the first six months of 2023. This was driven by a decrease in selling price and product mix of 6% and a decrease in sales volumes of 5%, partially offset by a favorable impact of foreign currency translation of 1%. The decrease in selling price and product mix was primarily attributable to the year-over-year impact our index-based customer contracts. The decline in sales volumes compared to the prior year was primarily driven by softer market conditions and customer order patterns and outages, partially offset by new business wins, as mentioned above. The favorable foreign exchange impact was primarily due to the weakening of the U.S. dollar against the Mexican peso during the first six months of 2024 compared to 2023. This segment’s operating earnings were $130.9 million, a decrease of $4.2 million, or 3%, compared to the first six months of 2023 primarily driven by lower net sales partially offset by an improvement in segment operating margins.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six months of 2024. This segment’s net sales were $276.4 million, a decrease of $19.6 million, or 7%, compared to the first six months of 2023. This was a result of a decrease in selling price and product mix of 5% and a decrease in sales volumes of 2%. The decrease in selling price and product mix was primarily attributable to the year-over-year impact of our index-based customer contracts. The decline in sales volumes was primarily driven by softer market conditions, partially offset by new business wins and the IKV acquisition. This segment’s operating earnings were $56.2 million, an increase of $3.1 million, or 6%, compared to the first six months of 2023 primarily driven by an improvement in segment operating margins.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22% of the Company’s consolidated net sales in the first six months of 2024. This segment’s net sales were $203.6 million, an increase of $8.7 million, or 4%, compared to the first six months of 2023. This was driven by higher sales volumes of 11%, partially offset by an unfavorable impact of foreign currency translation of 4% and lower selling price and product mix of 3%. The higher sales volumes were primarily driven by a broad-based increase in end market activity compared to the prior year period and new business wins. The unfavorable foreign exchange impact was primarily due to the strengthening of the U.S. dollar against the Chinese renminbi. The decrease in selling price and product mix was primarily attributable to the year-over-year impact of our index-based customer contracts, as mentioned above. This segment’s operating earnings were $61.4 million, an increase of $5.7 million, or 10%, compared to the first six months of 2023. This was primarily driven by an improvement in segment operating margins coupled with the increase in net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We have based these forward-looking statements on assumptions, projections and expectations about future events that we believe are reasonable based on currently available information, including statements regarding the potential effects of the conflicts in Ukraine and the Middle East,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projected impacts on our business of acts of war or terrorism, including the conflicts in Ukraine and the Middle East, and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cost increases and the impacts of constraints and disruptions in the global supply chain;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realize synergies, integrate acquisitions or separate divested assets and businesses;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changes in global and regional economic conditions and for a variety of macroeconomic events, including the possibility of global or regional slowdowns or recessions, a global pandemic, interest rate changes, inflation, deflation or stagflation and its impact on our business, raw materials purchases and/or profitability of our business impact the value of our assets;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2023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inflationary pressures, including the potential for continued significant increases in raw material costs; supply chain disruptions; customer financial instability; high interest rates and the possibility of economic recession; economic and political disruptions particularly in light of numerous elections globally and the possibility of regime changes and including the impacts of the military conflicts between Russia and Ukraine and between Israel and Hamas;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and the potential expansion of military activity; foreign currency fluctuations; significant changes in applicable tax rates and regulations; future terrorist attacks and other acts of violence; the impacts of consolidation in our industry, including loss or consolidation of a major customer; and the potential occurrence of cyber-security breaches, cyber-security attacks and other technology outages and security incidents.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Company is subject to the same business cycles as those experienced by our customers in the steel, automobile, aircraft, industrial equipment, aluminum, and durable goods industries. Other factors could also adversely affect us, including those related to acquisitions and the integration of acquired businesses.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2023 Form 10-K and in our quarterly and other reports filed from time to time with the SEC. This discussion is provided as permitted by the Private Securities Litigation Reform Act of 1995.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2023, and we believe there has been no material change to that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June 30, 2024,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June 30, 2024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June 30,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Incorporated by reference is the information in Note 18 of Notes to the Condensed Consolidated Financial Statements in Part I, Item 1,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2023 Form 10-K. There have been no material changes to the risk factors described therein.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Purchased (1)(2)</w:t>
            </w:r>
          </w:p>
        </w:tc>
        <w:tc>
          <w:tcPr>
            <w:tcW w:w="2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 (1)(2)</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(2)</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140" w:type="dxa"/>
            <w:vAlign w:val="bottom"/>
            <w:tcBorders>
              <w:bottom w:val="single" w:sz="8" w:color="CCEEFF"/>
            </w:tcBorders>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8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141,646,305</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141,646,305</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1,884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2024, the Board of Directors of the Company approved, and the Company announced, a share repurchase program, pursuant to which the Company is authorized to repurchase up to $150,000,000 of Quaker Chemical Corporation common stock (the “2024 Share Repurchase Program”), and it has no expiration date. The number of shares to be repurchased and the timing of such transactions will depend on a variety of factors, including market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Facility has certain limitations on the payment of dividends and other so-called restricted payment covenants. See Note 14 of Notes to Condensed Consolidated Financial Statements, in Part I, Item 1,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 except as follows.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2024, Shane Hostetter, former Executive Vice President, Chief Financial Officer, entered into a Rule 10b5-1 written trading arrangement intended to satisfy the affirmative defense of Rule 10b5-1(c) under the Securities Exchange Act of 1934, as amended. Mr. Hostetter’s trading arrangement covers the sale of up to 1,697 shares of Company common stock from August 29, 2024 until September 28,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Amended and Restated Articles of Incorporation (as amended through July 24, 2019). Incorporated by reference to Exhibit 3.1 as</w:t>
        </w:r>
      </w:hyperlink>
    </w:p>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54">
        <w:r>
          <w:rPr>
            <w:rFonts w:ascii="Times New Roman" w:cs="Times New Roman" w:eastAsia="Times New Roman" w:hAnsi="Times New Roman"/>
            <w:sz w:val="18"/>
            <w:szCs w:val="18"/>
            <w:u w:val="single" w:color="auto"/>
            <w:color w:val="0000FF"/>
          </w:rPr>
          <w:t>filed by the Registrant with its quarterly report on Form 10-Q filed on August 1, 2019.</w:t>
        </w:r>
      </w:hyperlink>
    </w:p>
    <w:p>
      <w:pPr>
        <w:spacing w:after="0" w:line="16" w:lineRule="exact"/>
        <w:rPr>
          <w:rFonts w:ascii="Times New Roman" w:cs="Times New Roman" w:eastAsia="Times New Roman" w:hAnsi="Times New Roman"/>
          <w:sz w:val="18"/>
          <w:szCs w:val="18"/>
          <w:color w:val="0000FF"/>
        </w:rPr>
      </w:pPr>
    </w:p>
    <w:p>
      <w:pPr>
        <w:ind w:left="220"/>
        <w:spacing w:after="0" w:line="203"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Amended and Restated By-laws (effective December 19, 2022). Incorporated by reference to Exhibit 3.1 as filed by the Registrant</w:t>
        </w:r>
      </w:hyperlink>
    </w:p>
    <w:p>
      <w:pPr>
        <w:spacing w:after="0" w:line="209" w:lineRule="auto"/>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55">
        <w:r>
          <w:rPr>
            <w:rFonts w:ascii="Times New Roman" w:cs="Times New Roman" w:eastAsia="Times New Roman" w:hAnsi="Times New Roman"/>
            <w:sz w:val="18"/>
            <w:szCs w:val="18"/>
            <w:u w:val="single" w:color="auto"/>
            <w:color w:val="0000FF"/>
          </w:rPr>
          <w:t>within its current report on Form 8-K on December 20, 2022.</w:t>
        </w:r>
      </w:hyperlink>
    </w:p>
    <w:p>
      <w:pPr>
        <w:spacing w:after="0" w:line="18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29"/>
          <w:szCs w:val="29"/>
          <w:color w:val="000000"/>
          <w:vertAlign w:val="subscript"/>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Employment Agreement by and between the Registrant and Thomas Coler dated May 6, 2024, effective June 10, 2024.*†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Form of Change of Control Agreement by and between the Registrant and certain executive officers (including Thomas Coler).*†</w:t>
      </w:r>
    </w:p>
    <w:p>
      <w:pPr>
        <w:spacing w:after="0" w:line="51" w:lineRule="exact"/>
        <w:rPr>
          <w:rFonts w:ascii="Times New Roman" w:cs="Times New Roman" w:eastAsia="Times New Roman" w:hAnsi="Times New Roman"/>
          <w:sz w:val="18"/>
          <w:szCs w:val="18"/>
          <w:color w:val="0000FF"/>
        </w:rPr>
      </w:pPr>
    </w:p>
    <w:p>
      <w:pPr>
        <w:ind w:left="22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Quaker Chemical Corporation 2024 Long-Term Incentive Plan. Incorporated by reference to Exhibit 10.1 as filed by the Registrant</w:t>
        </w:r>
      </w:hyperlink>
    </w:p>
    <w:p>
      <w:pPr>
        <w:spacing w:after="0" w:line="209" w:lineRule="auto"/>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56">
        <w:r>
          <w:rPr>
            <w:rFonts w:ascii="Times New Roman" w:cs="Times New Roman" w:eastAsia="Times New Roman" w:hAnsi="Times New Roman"/>
            <w:sz w:val="18"/>
            <w:szCs w:val="18"/>
            <w:u w:val="single" w:color="auto"/>
            <w:color w:val="0000FF"/>
          </w:rPr>
          <w:t>within its current report on Form 8-K on May 9, 2024.†</w:t>
        </w:r>
      </w:hyperlink>
    </w:p>
    <w:p>
      <w:pPr>
        <w:ind w:left="220"/>
        <w:spacing w:after="0" w:line="20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Form of Restricted Stock Unit Award Agreement for executive officers and other employees under Registrant’s 2024 Long-Term</w:t>
      </w:r>
    </w:p>
    <w:p>
      <w:pPr>
        <w:spacing w:after="0" w:line="20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Performance Incentive Plan.*†</w:t>
      </w:r>
    </w:p>
    <w:p>
      <w:pPr>
        <w:ind w:left="220"/>
        <w:spacing w:after="0" w:line="20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Form of Restricted Stock Unit Award Agreement for executive officers and other employees under Registrant’s 2024 Long-Term</w:t>
      </w:r>
    </w:p>
    <w:p>
      <w:pPr>
        <w:spacing w:after="0" w:line="20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Performance Incentive Plan.*†</w:t>
      </w:r>
    </w:p>
    <w:p>
      <w:pPr>
        <w:ind w:left="220"/>
        <w:spacing w:after="0" w:line="20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Form of Performance Stock Unit Award Agreement for executive officers and other employees under Registrant’s 2024 Long-Term</w:t>
      </w:r>
    </w:p>
    <w:p>
      <w:pPr>
        <w:spacing w:after="0" w:line="20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Performance Incentive Plan.*†^</w:t>
      </w:r>
    </w:p>
    <w:p>
      <w:pPr>
        <w:ind w:left="220"/>
        <w:spacing w:after="0" w:line="20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Form of Performance Stock Unit Award Agreement for executive officers and other employees under Registrant’s 2016 Long-Term</w:t>
      </w:r>
    </w:p>
    <w:p>
      <w:pPr>
        <w:spacing w:after="0" w:line="20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Performance Incentive Plan.*†^</w:t>
      </w:r>
    </w:p>
    <w:p>
      <w:pPr>
        <w:spacing w:after="0" w:line="18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29"/>
          <w:szCs w:val="29"/>
          <w:color w:val="000000"/>
          <w:vertAlign w:val="subscript"/>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Certification of Chief Executive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18 U.S. C. Section 1350.**</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18 U.S. C. Section 1350.**</w:t>
      </w:r>
    </w:p>
    <w:p>
      <w:pPr>
        <w:spacing w:after="0" w:line="76"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Instance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Schema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Calculation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Definition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Label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Presentation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56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100"/>
            <w:col w:w="984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104" w:lineRule="exact"/>
        <w:rPr>
          <w:rFonts w:ascii="Times New Roman" w:cs="Times New Roman" w:eastAsia="Times New Roman" w:hAnsi="Times New Roman"/>
          <w:sz w:val="18"/>
          <w:szCs w:val="18"/>
          <w:u w:val="single" w:color="auto"/>
          <w:color w:val="0000FF"/>
        </w:rPr>
      </w:pPr>
    </w:p>
    <w:p>
      <w:pPr>
        <w:ind w:right="460" w:firstLine="8"/>
        <w:spacing w:after="0" w:line="266" w:lineRule="auto"/>
        <w:tabs>
          <w:tab w:leader="none" w:pos="1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exhibits that are not material and are of the type Quaker Houghton treats as confidential have been redacted pursuant to Item 601(b)(10)(iv) of Regulation S-K. Copies of the unredacted exhibits will be furnished to the SEC upon request</w:t>
      </w:r>
    </w:p>
    <w:p>
      <w:pPr>
        <w:spacing w:after="0" w:line="6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Coler</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5, 2024</w:t>
            </w:r>
          </w:p>
        </w:tc>
        <w:tc>
          <w:tcPr>
            <w:tcW w:w="208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Coler, Executive Vice President, Chief Financial Officer (officer</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duly authorized on behalf of, and principal financial officer of, the</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0" w:type="dxa"/>
            <w:vAlign w:val="bottom"/>
          </w:tcPr>
          <w:p>
            <w:pPr>
              <w:spacing w:after="0"/>
              <w:rPr>
                <w:sz w:val="1"/>
                <w:szCs w:val="1"/>
                <w:color w:val="auto"/>
              </w:rPr>
            </w:pPr>
          </w:p>
        </w:tc>
      </w:tr>
      <w:tr>
        <w:trPr>
          <w:trHeight w:val="769"/>
        </w:trPr>
        <w:tc>
          <w:tcPr>
            <w:tcW w:w="3520" w:type="dxa"/>
            <w:vAlign w:val="bottom"/>
          </w:tcPr>
          <w:p>
            <w:pPr>
              <w:spacing w:after="0"/>
              <w:rPr>
                <w:sz w:val="24"/>
                <w:szCs w:val="24"/>
                <w:color w:val="auto"/>
              </w:rPr>
            </w:pPr>
          </w:p>
        </w:tc>
        <w:tc>
          <w:tcPr>
            <w:tcW w:w="77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4254500</wp:posOffset>
            </wp:positionH>
            <wp:positionV relativeFrom="page">
              <wp:posOffset>88900</wp:posOffset>
            </wp:positionV>
            <wp:extent cx="3086100"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30861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May 6, 2024</w:t>
      </w:r>
    </w:p>
    <w:p>
      <w:pPr>
        <w:spacing w:after="0" w:line="40" w:lineRule="exact"/>
        <w:rPr>
          <w:sz w:val="20"/>
          <w:szCs w:val="20"/>
          <w:color w:val="auto"/>
        </w:rPr>
      </w:pPr>
    </w:p>
    <w:p>
      <w:pPr>
        <w:ind w:left="20"/>
        <w:spacing w:after="0"/>
        <w:tabs>
          <w:tab w:leader="none" w:pos="230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Tom Coler</w:t>
      </w:r>
    </w:p>
    <w:p>
      <w:pPr>
        <w:spacing w:after="0" w:line="34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parties to this Employment Agreement (“Agreement”) are Tom Coler (“You” or the “Executive”) and Quaker Chemical Corporation, d/b/a Quaker Houghton, a Pennsylvania corporation (“Quaker Houghton” or the “Company”).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are hereby appointed as the Company’s EVP and Chief Financial Officer (“CFO”) effective June 10, 2024.</w:t>
      </w:r>
    </w:p>
    <w:p>
      <w:pPr>
        <w:spacing w:after="0" w:line="256" w:lineRule="exact"/>
        <w:rPr>
          <w:sz w:val="20"/>
          <w:szCs w:val="20"/>
          <w:color w:val="auto"/>
        </w:rPr>
      </w:pPr>
    </w:p>
    <w:p>
      <w:pPr>
        <w:ind w:firstLine="20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promises and covenants herein contained and intending to be legally bound hereby the parties hereto agree as follows:</w:t>
      </w:r>
    </w:p>
    <w:p>
      <w:pPr>
        <w:spacing w:after="0" w:line="19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Duties</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Quaker Houghton agrees to employ you and you agree to serve as Quaker Houghton’s CFO.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w:t>
      </w:r>
    </w:p>
    <w:p>
      <w:pPr>
        <w:spacing w:after="0" w:line="20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w:t>
      </w:r>
    </w:p>
    <w:p>
      <w:pPr>
        <w:spacing w:after="0" w:line="247" w:lineRule="exact"/>
        <w:rPr>
          <w:sz w:val="20"/>
          <w:szCs w:val="20"/>
          <w:color w:val="auto"/>
        </w:rPr>
      </w:pPr>
    </w:p>
    <w:p>
      <w:pPr>
        <w:jc w:val="both"/>
        <w:ind w:firstLine="251"/>
        <w:spacing w:after="0" w:line="253" w:lineRule="auto"/>
        <w:rPr>
          <w:sz w:val="20"/>
          <w:szCs w:val="20"/>
          <w:color w:val="auto"/>
        </w:rPr>
      </w:pPr>
      <w:r>
        <w:rPr>
          <w:rFonts w:ascii="Times New Roman" w:cs="Times New Roman" w:eastAsia="Times New Roman" w:hAnsi="Times New Roman"/>
          <w:sz w:val="20"/>
          <w:szCs w:val="20"/>
          <w:color w:val="auto"/>
        </w:rPr>
        <w:t>Your base salary will be determined from time to time by the Quaker Houghton Board of Directors. In addition, you will be entitled to participate, to the extent eligible, in any of Quaker Houghton’s annual and long-term incentive plans, retirement savings plan (401k plan), and will be entitled to vacations, paid holidays, and medical, dental, and other benefits as are made available by Quaker Houghton to its executives and full-time U.S. employees. During your employment with Quaker Houghton, your salary will not be reduced by Quaker Houghton without your prior written consent. Your initial compensation and benefits are outlined on Addendum 1, which is attached hereto and made a part hereof.</w:t>
      </w:r>
    </w:p>
    <w:p>
      <w:pPr>
        <w:spacing w:after="0" w:line="21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of Employment</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Quaker has the right to terminate your employment upon less than ninety (90) days’ notice for Cause (as defined below).</w:t>
      </w:r>
    </w:p>
    <w:p>
      <w:pPr>
        <w:spacing w:after="0" w:line="200" w:lineRule="exact"/>
        <w:rPr>
          <w:sz w:val="20"/>
          <w:szCs w:val="20"/>
          <w:color w:val="auto"/>
        </w:rPr>
      </w:pPr>
    </w:p>
    <w:p>
      <w:pPr>
        <w:spacing w:after="0" w:line="295"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 Not to Disclose</w:t>
      </w:r>
    </w:p>
    <w:p>
      <w:pPr>
        <w:spacing w:after="0" w:line="246" w:lineRule="exact"/>
        <w:rPr>
          <w:rFonts w:ascii="Times New Roman" w:cs="Times New Roman" w:eastAsia="Times New Roman" w:hAnsi="Times New Roman"/>
          <w:sz w:val="20"/>
          <w:szCs w:val="20"/>
          <w:b w:val="1"/>
          <w:bCs w:val="1"/>
          <w:color w:val="auto"/>
        </w:rPr>
      </w:pPr>
    </w:p>
    <w:p>
      <w:pPr>
        <w:jc w:val="both"/>
        <w:ind w:firstLine="656"/>
        <w:spacing w:after="0" w:line="264" w:lineRule="auto"/>
        <w:tabs>
          <w:tab w:leader="none" w:pos="1052" w:val="left"/>
        </w:tabs>
        <w:numPr>
          <w:ilvl w:val="2"/>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CFO,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 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all materials in your possession or control which include or contain any Quaker Houghton Confidential Information.</w:t>
      </w:r>
    </w:p>
    <w:p>
      <w:pPr>
        <w:spacing w:after="0" w:line="210" w:lineRule="exact"/>
        <w:rPr>
          <w:rFonts w:ascii="Times New Roman" w:cs="Times New Roman" w:eastAsia="Times New Roman" w:hAnsi="Times New Roman"/>
          <w:sz w:val="19"/>
          <w:szCs w:val="19"/>
          <w:color w:val="auto"/>
        </w:rPr>
      </w:pPr>
    </w:p>
    <w:p>
      <w:pPr>
        <w:ind w:firstLine="656"/>
        <w:spacing w:after="0" w:line="283" w:lineRule="auto"/>
        <w:tabs>
          <w:tab w:leader="none" w:pos="109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by this Section 4(b), you have been notified in accordance with the Defend Trade Secrets Act that, notwithstanding the foregoing:</w:t>
      </w:r>
    </w:p>
    <w:p>
      <w:pPr>
        <w:spacing w:after="0" w:line="17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2" w:val="left"/>
        </w:tabs>
        <w:numPr>
          <w:ilvl w:val="3"/>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spacing w:after="0" w:line="17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43" w:val="left"/>
        </w:tabs>
        <w:numPr>
          <w:ilvl w:val="3"/>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spacing w:after="0" w:line="161" w:lineRule="exact"/>
        <w:rPr>
          <w:rFonts w:ascii="Times New Roman" w:cs="Times New Roman" w:eastAsia="Times New Roman" w:hAnsi="Times New Roman"/>
          <w:sz w:val="20"/>
          <w:szCs w:val="20"/>
          <w:color w:val="auto"/>
        </w:rPr>
      </w:pPr>
    </w:p>
    <w:p>
      <w:pPr>
        <w:ind w:right="20" w:firstLine="206"/>
        <w:spacing w:after="0" w:line="258" w:lineRule="auto"/>
        <w:tabs>
          <w:tab w:leader="none" w:pos="52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sectPr>
          <w:pgSz w:w="11900" w:h="16838" w:orient="portrait"/>
          <w:cols w:equalWidth="0" w:num="1">
            <w:col w:w="11240"/>
          </w:cols>
          <w:pgMar w:left="320" w:top="1413" w:right="339" w:bottom="1440" w:gutter="0" w:footer="0" w:header="0"/>
        </w:sectPr>
      </w:pPr>
    </w:p>
    <w:bookmarkStart w:id="38" w:name="page39"/>
    <w:bookmarkEnd w:id="38"/>
    <w:p>
      <w:pPr>
        <w:ind w:left="360" w:hanging="352"/>
        <w:spacing w:after="0"/>
        <w:tabs>
          <w:tab w:leader="none" w:pos="36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Covenant Not to Compete</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consideration of your position of CFO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spacing w:after="0" w:line="195" w:lineRule="exact"/>
        <w:rPr>
          <w:sz w:val="20"/>
          <w:szCs w:val="20"/>
          <w:color w:val="auto"/>
        </w:rPr>
      </w:pPr>
    </w:p>
    <w:p>
      <w:pPr>
        <w:jc w:val="both"/>
        <w:ind w:firstLine="656"/>
        <w:spacing w:after="0" w:line="258" w:lineRule="auto"/>
        <w:tabs>
          <w:tab w:leader="none" w:pos="108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w:t>
      </w:r>
    </w:p>
    <w:p>
      <w:pPr>
        <w:spacing w:after="0" w:line="21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spacing w:after="0" w:line="208"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 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spacing w:after="0" w:line="200"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Contractual Restrictions</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sectPr>
          <w:pgSz w:w="11900" w:h="16838" w:orient="portrait"/>
          <w:cols w:equalWidth="0" w:num="1">
            <w:col w:w="11240"/>
          </w:cols>
          <w:pgMar w:left="320" w:top="1409" w:right="339" w:bottom="1440" w:gutter="0" w:footer="0" w:header="0"/>
        </w:sectPr>
      </w:pPr>
    </w:p>
    <w:bookmarkStart w:id="39" w:name="page40"/>
    <w:bookmarkEnd w:id="39"/>
    <w:p>
      <w:pPr>
        <w:ind w:left="360" w:hanging="352"/>
        <w:spacing w:after="0"/>
        <w:tabs>
          <w:tab w:leader="none" w:pos="3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Inventions</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spacing w:after="0" w:line="22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jc w:val="both"/>
        <w:ind w:left="980" w:hanging="324"/>
        <w:spacing w:after="0" w:line="258" w:lineRule="auto"/>
        <w:tabs>
          <w:tab w:leader="none" w:pos="97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spacing w:after="0" w:line="199" w:lineRule="exact"/>
        <w:rPr>
          <w:rFonts w:ascii="Times New Roman" w:cs="Times New Roman" w:eastAsia="Times New Roman" w:hAnsi="Times New Roman"/>
          <w:sz w:val="20"/>
          <w:szCs w:val="20"/>
          <w:color w:val="auto"/>
        </w:rPr>
      </w:pPr>
    </w:p>
    <w:p>
      <w:pPr>
        <w:jc w:val="both"/>
        <w:ind w:left="980" w:firstLine="648"/>
        <w:spacing w:after="0" w:line="257" w:lineRule="auto"/>
        <w:tabs>
          <w:tab w:leader="none" w:pos="2043"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the receipt of your request; and</w:t>
      </w:r>
    </w:p>
    <w:p>
      <w:pPr>
        <w:spacing w:after="0" w:line="199" w:lineRule="exact"/>
        <w:rPr>
          <w:rFonts w:ascii="Times New Roman" w:cs="Times New Roman" w:eastAsia="Times New Roman" w:hAnsi="Times New Roman"/>
          <w:sz w:val="20"/>
          <w:szCs w:val="20"/>
          <w:color w:val="auto"/>
        </w:rPr>
      </w:pPr>
    </w:p>
    <w:p>
      <w:pPr>
        <w:jc w:val="both"/>
        <w:ind w:left="980" w:firstLine="648"/>
        <w:spacing w:after="0" w:line="257" w:lineRule="auto"/>
        <w:tabs>
          <w:tab w:leader="none" w:pos="2008"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provided you sign a Release within 45 days of the later of the date you receive the Release or your Separation from Service. Continuation of all medical and dental coverage’s will also be available for 18 months at a level equal to the coverage provided before your Separation from Service.</w:t>
      </w:r>
    </w:p>
    <w:p>
      <w:pPr>
        <w:sectPr>
          <w:pgSz w:w="11900" w:h="16838" w:orient="portrait"/>
          <w:cols w:equalWidth="0" w:num="1">
            <w:col w:w="11240"/>
          </w:cols>
          <w:pgMar w:left="320" w:top="1409" w:right="339" w:bottom="1440" w:gutter="0" w:footer="0" w:header="0"/>
        </w:sectPr>
      </w:pPr>
    </w:p>
    <w:bookmarkStart w:id="40" w:name="page41"/>
    <w:bookmarkEnd w:id="40"/>
    <w:p>
      <w:pPr>
        <w:jc w:val="both"/>
        <w:ind w:left="980" w:hanging="324"/>
        <w:spacing w:after="0" w:line="250" w:lineRule="auto"/>
        <w:tabs>
          <w:tab w:leader="none" w:pos="96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p>
    <w:p>
      <w:pPr>
        <w:spacing w:after="0" w:line="226" w:lineRule="exact"/>
        <w:rPr>
          <w:rFonts w:ascii="Times New Roman" w:cs="Times New Roman" w:eastAsia="Times New Roman" w:hAnsi="Times New Roman"/>
          <w:sz w:val="20"/>
          <w:szCs w:val="20"/>
          <w:color w:val="auto"/>
        </w:rPr>
      </w:pPr>
    </w:p>
    <w:p>
      <w:pPr>
        <w:jc w:val="both"/>
        <w:ind w:left="980" w:hanging="324"/>
        <w:spacing w:after="0" w:line="248" w:lineRule="auto"/>
        <w:tabs>
          <w:tab w:leader="none" w:pos="97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isability of Executive</w:t>
      </w:r>
      <w:r>
        <w:rPr>
          <w:rFonts w:ascii="Times New Roman" w:cs="Times New Roman" w:eastAsia="Times New Roman" w:hAnsi="Times New Roman"/>
          <w:sz w:val="20"/>
          <w:szCs w:val="20"/>
          <w:color w:val="auto"/>
        </w:rPr>
        <w:t>.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w:t>
      </w:r>
    </w:p>
    <w:p>
      <w:pPr>
        <w:spacing w:after="0" w:line="200" w:lineRule="exact"/>
        <w:rPr>
          <w:sz w:val="20"/>
          <w:szCs w:val="20"/>
          <w:color w:val="auto"/>
        </w:rPr>
      </w:pPr>
    </w:p>
    <w:p>
      <w:pPr>
        <w:spacing w:after="0" w:line="27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“Separation from Service” </w:t>
      </w:r>
      <w:r>
        <w:rPr>
          <w:rFonts w:ascii="Times New Roman" w:cs="Times New Roman" w:eastAsia="Times New Roman" w:hAnsi="Times New Roman"/>
          <w:sz w:val="20"/>
          <w:szCs w:val="20"/>
          <w:color w:val="auto"/>
        </w:rPr>
        <w:t>means your separation from service with Quaker Houghton and its affiliates within the meaning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Treas. Reg. §1.409A-1(h) or any successor thereto.</w:t>
      </w:r>
    </w:p>
    <w:p>
      <w:pPr>
        <w:spacing w:after="0" w:line="192" w:lineRule="exact"/>
        <w:rPr>
          <w:sz w:val="20"/>
          <w:szCs w:val="20"/>
          <w:color w:val="auto"/>
        </w:rPr>
      </w:pPr>
    </w:p>
    <w:p>
      <w:pPr>
        <w:ind w:firstLine="252"/>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“Cause” </w:t>
      </w:r>
      <w:r>
        <w:rPr>
          <w:rFonts w:ascii="Times New Roman" w:cs="Times New Roman" w:eastAsia="Times New Roman" w:hAnsi="Times New Roman"/>
          <w:sz w:val="20"/>
          <w:szCs w:val="20"/>
          <w:color w:val="auto"/>
        </w:rPr>
        <w:t>means your employment with Quaker Houghton has been terminated by reason of (i) your willful and material breach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(after having received notice thereof and a reasonable</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20"/>
          <w:szCs w:val="20"/>
          <w:color w:val="auto"/>
        </w:rPr>
        <w:t>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spacing w:after="0" w:line="20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“Payment Date” </w:t>
      </w:r>
      <w:r>
        <w:rPr>
          <w:rFonts w:ascii="Times New Roman" w:cs="Times New Roman" w:eastAsia="Times New Roman" w:hAnsi="Times New Roman"/>
          <w:sz w:val="19"/>
          <w:szCs w:val="19"/>
          <w:color w:val="auto"/>
        </w:rPr>
        <w:t>means (x) the 60th day after your Separation from Service or (y) if you are a specified employee (as defined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Treas. Reg. §1.409A-1(i)) as of the date of your Separation 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“Release” </w:t>
      </w:r>
      <w:r>
        <w:rPr>
          <w:rFonts w:ascii="Times New Roman" w:cs="Times New Roman" w:eastAsia="Times New Roman" w:hAnsi="Times New Roman"/>
          <w:sz w:val="20"/>
          <w:szCs w:val="20"/>
          <w:color w:val="auto"/>
        </w:rPr>
        <w:t>means a release (in a form satisfactory to Quaker Houghton) of any and all claims against Quaker Houghton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spacing w:after="0" w:line="200" w:lineRule="exact"/>
        <w:rPr>
          <w:sz w:val="20"/>
          <w:szCs w:val="20"/>
          <w:color w:val="auto"/>
        </w:rPr>
      </w:pPr>
    </w:p>
    <w:p>
      <w:pPr>
        <w:spacing w:after="0" w:line="257"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Indemnification</w:t>
      </w:r>
    </w:p>
    <w:p>
      <w:pPr>
        <w:spacing w:after="0" w:line="260" w:lineRule="exact"/>
        <w:rPr>
          <w:sz w:val="20"/>
          <w:szCs w:val="20"/>
          <w:color w:val="auto"/>
        </w:rPr>
      </w:pPr>
    </w:p>
    <w:p>
      <w:pPr>
        <w:jc w:val="both"/>
        <w:ind w:firstLine="225"/>
        <w:spacing w:after="0" w:line="251" w:lineRule="auto"/>
        <w:rPr>
          <w:sz w:val="20"/>
          <w:szCs w:val="20"/>
          <w:color w:val="auto"/>
        </w:rPr>
      </w:pPr>
      <w:r>
        <w:rPr>
          <w:rFonts w:ascii="Times New Roman" w:cs="Times New Roman" w:eastAsia="Times New Roman" w:hAnsi="Times New Roman"/>
          <w:sz w:val="20"/>
          <w:szCs w:val="20"/>
          <w:color w:val="auto"/>
        </w:rPr>
        <w:t>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w:t>
      </w:r>
    </w:p>
    <w:p>
      <w:pPr>
        <w:spacing w:after="0" w:line="216"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w:t>
      </w:r>
    </w:p>
    <w:p>
      <w:pPr>
        <w:spacing w:after="0" w:line="112" w:lineRule="exact"/>
        <w:rPr>
          <w:sz w:val="20"/>
          <w:szCs w:val="20"/>
          <w:color w:val="auto"/>
        </w:rPr>
      </w:pPr>
    </w:p>
    <w:p>
      <w:pPr>
        <w:ind w:right="80" w:firstLine="194"/>
        <w:spacing w:after="0" w:line="283" w:lineRule="auto"/>
        <w:rPr>
          <w:sz w:val="20"/>
          <w:szCs w:val="20"/>
          <w:color w:val="auto"/>
        </w:rPr>
      </w:pPr>
      <w:r>
        <w:rPr>
          <w:rFonts w:ascii="Times New Roman" w:cs="Times New Roman" w:eastAsia="Times New Roman" w:hAnsi="Times New Roman"/>
          <w:sz w:val="20"/>
          <w:szCs w:val="20"/>
          <w:color w:val="auto"/>
        </w:rPr>
        <w:t>The provisions of this Agreement shall be construed in accordance with the laws of the Commonwealth of Pennsylvania without reference to principles of conflicts of laws.</w:t>
      </w:r>
    </w:p>
    <w:p>
      <w:pPr>
        <w:spacing w:after="0" w:line="169"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w:t>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20"/>
          <w:szCs w:val="20"/>
          <w:color w:val="auto"/>
        </w:rPr>
        <w:t>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the day and year first above written.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QUAKER CHEMICAL CORPORATION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DBA QUAKER HOUGHTON</w:t>
      </w:r>
    </w:p>
    <w:p>
      <w:pPr>
        <w:spacing w:after="0" w:line="200" w:lineRule="exact"/>
        <w:rPr>
          <w:sz w:val="20"/>
          <w:szCs w:val="20"/>
          <w:color w:val="auto"/>
        </w:rPr>
      </w:pPr>
    </w:p>
    <w:p>
      <w:pPr>
        <w:sectPr>
          <w:pgSz w:w="11900" w:h="16838" w:orient="portrait"/>
          <w:cols w:equalWidth="0" w:num="2">
            <w:col w:w="5120" w:space="720"/>
            <w:col w:w="540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WITNESS:</w:t>
      </w:r>
    </w:p>
    <w:p>
      <w:pPr>
        <w:spacing w:after="0" w:line="25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TOM COLER</w:t>
      </w:r>
    </w:p>
    <w:p>
      <w:pPr>
        <w:spacing w:after="0" w:line="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u w:val="single" w:color="auto"/>
          <w:color w:val="auto"/>
        </w:rPr>
        <w:t>[/s/ TOM COLER]</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9"/>
          <w:szCs w:val="19"/>
          <w:color w:val="auto"/>
        </w:rPr>
        <w:t>Executive to sign here</w:t>
      </w:r>
    </w:p>
    <w:p>
      <w:pPr>
        <w:sectPr>
          <w:pgSz w:w="11900" w:h="16838" w:orient="portrait"/>
          <w:cols w:equalWidth="0" w:num="1">
            <w:col w:w="11240"/>
          </w:cols>
          <w:pgMar w:left="320" w:top="1413"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62"/>
        </w:trPr>
        <w:tc>
          <w:tcPr>
            <w:tcW w:w="2540" w:type="dxa"/>
            <w:vAlign w:val="bottom"/>
          </w:tcPr>
          <w:p>
            <w:pPr>
              <w:spacing w:after="0"/>
              <w:rPr>
                <w:sz w:val="22"/>
                <w:szCs w:val="22"/>
                <w:color w:val="auto"/>
              </w:rPr>
            </w:pPr>
          </w:p>
        </w:tc>
        <w:tc>
          <w:tcPr>
            <w:tcW w:w="8660" w:type="dxa"/>
            <w:vAlign w:val="bottom"/>
          </w:tcPr>
          <w:p>
            <w:pPr>
              <w:ind w:left="2400"/>
              <w:spacing w:after="0"/>
              <w:rPr>
                <w:sz w:val="20"/>
                <w:szCs w:val="20"/>
                <w:color w:val="auto"/>
              </w:rPr>
            </w:pPr>
            <w:r>
              <w:rPr>
                <w:rFonts w:ascii="Times New Roman" w:cs="Times New Roman" w:eastAsia="Times New Roman" w:hAnsi="Times New Roman"/>
                <w:sz w:val="20"/>
                <w:szCs w:val="20"/>
                <w:b w:val="1"/>
                <w:bCs w:val="1"/>
                <w:color w:val="auto"/>
              </w:rPr>
              <w:t>ADDENDUM 1</w:t>
            </w:r>
          </w:p>
        </w:tc>
        <w:tc>
          <w:tcPr>
            <w:tcW w:w="0" w:type="dxa"/>
            <w:vAlign w:val="bottom"/>
          </w:tcPr>
          <w:p>
            <w:pPr>
              <w:spacing w:after="0"/>
              <w:rPr>
                <w:sz w:val="1"/>
                <w:szCs w:val="1"/>
                <w:color w:val="auto"/>
              </w:rPr>
            </w:pPr>
          </w:p>
        </w:tc>
      </w:tr>
      <w:tr>
        <w:trPr>
          <w:trHeight w:val="467"/>
        </w:trPr>
        <w:tc>
          <w:tcPr>
            <w:tcW w:w="25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Base Salary:</w:t>
            </w:r>
          </w:p>
        </w:tc>
        <w:tc>
          <w:tcPr>
            <w:tcW w:w="866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Your salary will be payable on a bi-weekly basis with an initial annualized salary of $515,000. You will</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 eligible for your next salary increase review in 2025.</w:t>
            </w:r>
          </w:p>
        </w:tc>
        <w:tc>
          <w:tcPr>
            <w:tcW w:w="0" w:type="dxa"/>
            <w:vAlign w:val="bottom"/>
          </w:tcPr>
          <w:p>
            <w:pPr>
              <w:spacing w:after="0"/>
              <w:rPr>
                <w:sz w:val="1"/>
                <w:szCs w:val="1"/>
                <w:color w:val="auto"/>
              </w:rPr>
            </w:pPr>
          </w:p>
        </w:tc>
      </w:tr>
      <w:tr>
        <w:trPr>
          <w:trHeight w:val="232"/>
        </w:trPr>
        <w:tc>
          <w:tcPr>
            <w:tcW w:w="254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For your position, you are eligible to participate in the full year 2024 Annual Incentive Plan (“AIP”)</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with a target award percentage of 65% of your base salary, dependent upon Quaker Houghton’s</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financial results, organizational context, and individual performance.</w:t>
            </w:r>
          </w:p>
        </w:tc>
        <w:tc>
          <w:tcPr>
            <w:tcW w:w="0" w:type="dxa"/>
            <w:vAlign w:val="bottom"/>
          </w:tcPr>
          <w:p>
            <w:pPr>
              <w:spacing w:after="0"/>
              <w:rPr>
                <w:sz w:val="1"/>
                <w:szCs w:val="1"/>
                <w:color w:val="auto"/>
              </w:rPr>
            </w:pPr>
          </w:p>
        </w:tc>
      </w:tr>
      <w:tr>
        <w:trPr>
          <w:trHeight w:val="457"/>
        </w:trPr>
        <w:tc>
          <w:tcPr>
            <w:tcW w:w="2540" w:type="dxa"/>
            <w:vAlign w:val="bottom"/>
          </w:tcPr>
          <w:p>
            <w:pPr>
              <w:spacing w:after="0"/>
              <w:rPr>
                <w:sz w:val="24"/>
                <w:szCs w:val="24"/>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You will be eligible to participate in the 2024-2026 Long-Term Incentive Plan (“LTIP”) for the full</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year of 2024. Your award for the 2024-2026 performance period includes a mix of time-based</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restricted stock units (RSU’s) (40%) and target performance stock units (PSU’s) (60%) of the total</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award. The value at a target level is $850,000.</w:t>
            </w:r>
          </w:p>
        </w:tc>
        <w:tc>
          <w:tcPr>
            <w:tcW w:w="0" w:type="dxa"/>
            <w:vAlign w:val="bottom"/>
          </w:tcPr>
          <w:p>
            <w:pPr>
              <w:spacing w:after="0"/>
              <w:rPr>
                <w:sz w:val="1"/>
                <w:szCs w:val="1"/>
                <w:color w:val="auto"/>
              </w:rPr>
            </w:pPr>
          </w:p>
        </w:tc>
      </w:tr>
      <w:tr>
        <w:trPr>
          <w:trHeight w:val="457"/>
        </w:trPr>
        <w:tc>
          <w:tcPr>
            <w:tcW w:w="2540" w:type="dxa"/>
            <w:vAlign w:val="bottom"/>
          </w:tcPr>
          <w:p>
            <w:pPr>
              <w:spacing w:after="0"/>
              <w:rPr>
                <w:sz w:val="24"/>
                <w:szCs w:val="24"/>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The PSU’s are for a three-year performance period and the RSU’S will vest ratably over a 3-year</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4"/>
                <w:szCs w:val="24"/>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Annual LTI awards are discretionary and require approval from the Compensation and Human</w:t>
            </w:r>
          </w:p>
        </w:tc>
        <w:tc>
          <w:tcPr>
            <w:tcW w:w="0" w:type="dxa"/>
            <w:vAlign w:val="bottom"/>
          </w:tcPr>
          <w:p>
            <w:pPr>
              <w:spacing w:after="0"/>
              <w:rPr>
                <w:sz w:val="1"/>
                <w:szCs w:val="1"/>
                <w:color w:val="auto"/>
              </w:rPr>
            </w:pPr>
          </w:p>
        </w:tc>
      </w:tr>
      <w:tr>
        <w:trPr>
          <w:trHeight w:val="237"/>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Annual and Long-</w:t>
            </w:r>
          </w:p>
        </w:tc>
        <w:tc>
          <w:tcPr>
            <w:tcW w:w="8660" w:type="dxa"/>
            <w:vAlign w:val="bottom"/>
          </w:tcPr>
          <w:p>
            <w:pPr>
              <w:ind w:left="520"/>
              <w:spacing w:after="0" w:line="236" w:lineRule="exact"/>
              <w:rPr>
                <w:sz w:val="20"/>
                <w:szCs w:val="20"/>
                <w:color w:val="auto"/>
              </w:rPr>
            </w:pPr>
            <w:r>
              <w:rPr>
                <w:rFonts w:ascii="Times New Roman" w:cs="Times New Roman" w:eastAsia="Times New Roman" w:hAnsi="Times New Roman"/>
                <w:sz w:val="20"/>
                <w:szCs w:val="20"/>
                <w:color w:val="auto"/>
              </w:rPr>
              <w:t>Resources Committee and are granted either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month of hire or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w:t>
            </w:r>
          </w:p>
        </w:tc>
        <w:tc>
          <w:tcPr>
            <w:tcW w:w="0" w:type="dxa"/>
            <w:vAlign w:val="bottom"/>
          </w:tcPr>
          <w:p>
            <w:pPr>
              <w:spacing w:after="0"/>
              <w:rPr>
                <w:sz w:val="1"/>
                <w:szCs w:val="1"/>
                <w:color w:val="auto"/>
              </w:rPr>
            </w:pPr>
          </w:p>
        </w:tc>
      </w:tr>
      <w:tr>
        <w:trPr>
          <w:trHeight w:val="262"/>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Term Bonus and Grants:</w:t>
            </w: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following month.</w:t>
            </w:r>
          </w:p>
        </w:tc>
        <w:tc>
          <w:tcPr>
            <w:tcW w:w="0" w:type="dxa"/>
            <w:vAlign w:val="bottom"/>
          </w:tcPr>
          <w:p>
            <w:pPr>
              <w:spacing w:after="0"/>
              <w:rPr>
                <w:sz w:val="1"/>
                <w:szCs w:val="1"/>
                <w:color w:val="auto"/>
              </w:rPr>
            </w:pPr>
          </w:p>
        </w:tc>
      </w:tr>
      <w:tr>
        <w:trPr>
          <w:trHeight w:val="511"/>
        </w:trPr>
        <w:tc>
          <w:tcPr>
            <w:tcW w:w="2540" w:type="dxa"/>
            <w:vAlign w:val="bottom"/>
          </w:tcPr>
          <w:p>
            <w:pPr>
              <w:spacing w:after="0"/>
              <w:rPr>
                <w:sz w:val="24"/>
                <w:szCs w:val="24"/>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 equity sign-on award of $400,000 RSU’s which will vest in its entirety on the two (2) year</w:t>
            </w:r>
          </w:p>
        </w:tc>
        <w:tc>
          <w:tcPr>
            <w:tcW w:w="0" w:type="dxa"/>
            <w:vAlign w:val="bottom"/>
          </w:tcPr>
          <w:p>
            <w:pPr>
              <w:spacing w:after="0"/>
              <w:rPr>
                <w:sz w:val="1"/>
                <w:szCs w:val="1"/>
                <w:color w:val="auto"/>
              </w:rPr>
            </w:pPr>
          </w:p>
        </w:tc>
      </w:tr>
      <w:tr>
        <w:trPr>
          <w:trHeight w:val="258"/>
        </w:trPr>
        <w:tc>
          <w:tcPr>
            <w:tcW w:w="25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Special One-time Grant:</w:t>
            </w: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anniversary of the grant date.</w:t>
            </w: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Such award is subject to a claw-back and must be repaid to the Company if you voluntarily terminate</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your employment with Quaker Houghton or are terminated for cause within the three (3) years of</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your tenure with Quaker Houghton.</w:t>
            </w:r>
          </w:p>
        </w:tc>
        <w:tc>
          <w:tcPr>
            <w:tcW w:w="0" w:type="dxa"/>
            <w:vAlign w:val="bottom"/>
          </w:tcPr>
          <w:p>
            <w:pPr>
              <w:spacing w:after="0"/>
              <w:rPr>
                <w:sz w:val="1"/>
                <w:szCs w:val="1"/>
                <w:color w:val="auto"/>
              </w:rPr>
            </w:pPr>
          </w:p>
        </w:tc>
      </w:tr>
      <w:tr>
        <w:trPr>
          <w:trHeight w:val="457"/>
        </w:trPr>
        <w:tc>
          <w:tcPr>
            <w:tcW w:w="2540" w:type="dxa"/>
            <w:vAlign w:val="bottom"/>
          </w:tcPr>
          <w:p>
            <w:pPr>
              <w:spacing w:after="0"/>
              <w:rPr>
                <w:sz w:val="24"/>
                <w:szCs w:val="24"/>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LTI awards are discretionary and require approval from the Compensation and Human Resources</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8660" w:type="dxa"/>
            <w:vAlign w:val="bottom"/>
          </w:tcPr>
          <w:p>
            <w:pPr>
              <w:ind w:left="520"/>
              <w:spacing w:after="0" w:line="242" w:lineRule="exact"/>
              <w:rPr>
                <w:sz w:val="20"/>
                <w:szCs w:val="20"/>
                <w:color w:val="auto"/>
              </w:rPr>
            </w:pPr>
            <w:r>
              <w:rPr>
                <w:rFonts w:ascii="Times New Roman" w:cs="Times New Roman" w:eastAsia="Times New Roman" w:hAnsi="Times New Roman"/>
                <w:sz w:val="20"/>
                <w:szCs w:val="20"/>
                <w:color w:val="auto"/>
              </w:rPr>
              <w:t>Committee and are granted either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month of hire or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following</w:t>
            </w:r>
          </w:p>
        </w:tc>
        <w:tc>
          <w:tcPr>
            <w:tcW w:w="0" w:type="dxa"/>
            <w:vAlign w:val="bottom"/>
          </w:tcPr>
          <w:p>
            <w:pPr>
              <w:spacing w:after="0"/>
              <w:rPr>
                <w:sz w:val="1"/>
                <w:szCs w:val="1"/>
                <w:color w:val="auto"/>
              </w:rPr>
            </w:pPr>
          </w:p>
        </w:tc>
      </w:tr>
      <w:tr>
        <w:trPr>
          <w:trHeight w:val="258"/>
        </w:trPr>
        <w:tc>
          <w:tcPr>
            <w:tcW w:w="2540" w:type="dxa"/>
            <w:vAlign w:val="bottom"/>
          </w:tcPr>
          <w:p>
            <w:pPr>
              <w:spacing w:after="0"/>
              <w:rPr>
                <w:sz w:val="22"/>
                <w:szCs w:val="22"/>
                <w:color w:val="auto"/>
              </w:rPr>
            </w:pPr>
          </w:p>
        </w:tc>
        <w:tc>
          <w:tcPr>
            <w:tcW w:w="86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month.</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09" w:right="359" w:bottom="1440" w:gutter="0" w:footer="0" w:header="0"/>
        </w:sectPr>
      </w:pPr>
    </w:p>
    <w:bookmarkStart w:id="44" w:name="page45"/>
    <w:bookmarkEnd w:id="44"/>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760" w:type="dxa"/>
            <w:vAlign w:val="bottom"/>
          </w:tcPr>
          <w:p>
            <w:pPr>
              <w:spacing w:after="0"/>
              <w:rPr>
                <w:sz w:val="22"/>
                <w:szCs w:val="22"/>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You will be provided with a one-time lump sum payment of approximately $12,000 to cover the</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cancellation of your current apartment lease and the movement of household goods from Utah to</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Minnesota. This payment will be grossed-up for federal, state, and local income and employment</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taxes. You will provide the company with documentation associated with these costs and will be paid</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one-time lump sum, as soon as administratively feasible after your start date.</w:t>
            </w:r>
          </w:p>
        </w:tc>
        <w:tc>
          <w:tcPr>
            <w:tcW w:w="0" w:type="dxa"/>
            <w:vAlign w:val="bottom"/>
          </w:tcPr>
          <w:p>
            <w:pPr>
              <w:spacing w:after="0"/>
              <w:rPr>
                <w:sz w:val="1"/>
                <w:szCs w:val="1"/>
                <w:color w:val="auto"/>
              </w:rPr>
            </w:pPr>
          </w:p>
        </w:tc>
      </w:tr>
      <w:tr>
        <w:trPr>
          <w:trHeight w:val="365"/>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If you voluntarily resign prior to completing two (2) years of employment with the company, you</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agree to reimburse Quaker Houghton for the full amount of the payment(s) that was made during the</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previous two-year period.</w:t>
            </w:r>
          </w:p>
        </w:tc>
        <w:tc>
          <w:tcPr>
            <w:tcW w:w="0" w:type="dxa"/>
            <w:vAlign w:val="bottom"/>
          </w:tcPr>
          <w:p>
            <w:pPr>
              <w:spacing w:after="0"/>
              <w:rPr>
                <w:sz w:val="1"/>
                <w:szCs w:val="1"/>
                <w:color w:val="auto"/>
              </w:rPr>
            </w:pPr>
          </w:p>
        </w:tc>
      </w:tr>
      <w:tr>
        <w:trPr>
          <w:trHeight w:val="702"/>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Quaker Houghton will provide temporary housing during the transition to the Philadelphia area for up</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to 90 days. Movement of household goods to support short term living will be paid by Quaker</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Houghton. Further information regarding these services will be provided upon acceptance of a formal</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offer of employment.</w:t>
            </w:r>
          </w:p>
        </w:tc>
        <w:tc>
          <w:tcPr>
            <w:tcW w:w="0" w:type="dxa"/>
            <w:vAlign w:val="bottom"/>
          </w:tcPr>
          <w:p>
            <w:pPr>
              <w:spacing w:after="0"/>
              <w:rPr>
                <w:sz w:val="1"/>
                <w:szCs w:val="1"/>
                <w:color w:val="auto"/>
              </w:rPr>
            </w:pPr>
          </w:p>
        </w:tc>
      </w:tr>
      <w:tr>
        <w:trPr>
          <w:trHeight w:val="715"/>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Forfeitures</w:t>
            </w: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You will be eligible to participate in the company’s health and welfare benefit programs in accordance</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with and subject to the terms and conditions of such plans or programs.</w:t>
            </w:r>
          </w:p>
        </w:tc>
        <w:tc>
          <w:tcPr>
            <w:tcW w:w="0" w:type="dxa"/>
            <w:vAlign w:val="bottom"/>
          </w:tcPr>
          <w:p>
            <w:pPr>
              <w:spacing w:after="0"/>
              <w:rPr>
                <w:sz w:val="1"/>
                <w:szCs w:val="1"/>
                <w:color w:val="auto"/>
              </w:rPr>
            </w:pPr>
          </w:p>
        </w:tc>
      </w:tr>
      <w:tr>
        <w:trPr>
          <w:trHeight w:val="365"/>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As a member of the Executive Leadership Team, you are eligible for our Executive Financial</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Wellbeing benefit.</w:t>
            </w:r>
          </w:p>
        </w:tc>
        <w:tc>
          <w:tcPr>
            <w:tcW w:w="0" w:type="dxa"/>
            <w:vAlign w:val="bottom"/>
          </w:tcPr>
          <w:p>
            <w:pPr>
              <w:spacing w:after="0"/>
              <w:rPr>
                <w:sz w:val="1"/>
                <w:szCs w:val="1"/>
                <w:color w:val="auto"/>
              </w:rPr>
            </w:pPr>
          </w:p>
        </w:tc>
      </w:tr>
      <w:tr>
        <w:trPr>
          <w:trHeight w:val="526"/>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Financial Wellbeing benefit provides you support for eligible expenses that you incur for</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financial and tax planning activities. Quaker Houghton partners with Goldman Sachs Ayco to assist</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you with these services. The cost of the Ayco’s Tax and Financial Planning service is up to $15,500</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annually and will be fully paid for by Quaker Houghton. You are only responsible for the taxes on</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any imputed income. The decision to use Goldman Sachs Ayco or another provider is your choice.</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Should you elect a different provider, you are eligible for a reimbursement on eligible expenses up to</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$3,500.</w:t>
            </w:r>
          </w:p>
        </w:tc>
        <w:tc>
          <w:tcPr>
            <w:tcW w:w="0" w:type="dxa"/>
            <w:vAlign w:val="bottom"/>
          </w:tcPr>
          <w:p>
            <w:pPr>
              <w:spacing w:after="0"/>
              <w:rPr>
                <w:sz w:val="1"/>
                <w:szCs w:val="1"/>
                <w:color w:val="auto"/>
              </w:rPr>
            </w:pPr>
          </w:p>
        </w:tc>
      </w:tr>
      <w:tr>
        <w:trPr>
          <w:trHeight w:val="525"/>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Temporary Housing</w:t>
            </w: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Either benefit option is provided on a calendar year basis and is a taxable benefit. You must be</w:t>
            </w: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2"/>
                <w:szCs w:val="22"/>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employed by Quaker Houghton when the services are provided to receive this reimbursement.</w:t>
            </w:r>
          </w:p>
        </w:tc>
        <w:tc>
          <w:tcPr>
            <w:tcW w:w="0" w:type="dxa"/>
            <w:vAlign w:val="bottom"/>
          </w:tcPr>
          <w:p>
            <w:pPr>
              <w:spacing w:after="0"/>
              <w:rPr>
                <w:sz w:val="1"/>
                <w:szCs w:val="1"/>
                <w:color w:val="auto"/>
              </w:rPr>
            </w:pPr>
          </w:p>
        </w:tc>
      </w:tr>
      <w:tr>
        <w:trPr>
          <w:trHeight w:val="457"/>
        </w:trPr>
        <w:tc>
          <w:tcPr>
            <w:tcW w:w="2760" w:type="dxa"/>
            <w:vAlign w:val="bottom"/>
          </w:tcPr>
          <w:p>
            <w:pPr>
              <w:spacing w:after="0"/>
              <w:rPr>
                <w:sz w:val="24"/>
                <w:szCs w:val="24"/>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Upon separation from service following retirement, company-initiated termination without cause,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long-term disability or death of a participating executive, Quaker Houghton will pay for the benefit</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 the year of the separation from service and one-year post separation from service.  In the event of</w:t>
            </w:r>
          </w:p>
        </w:tc>
        <w:tc>
          <w:tcPr>
            <w:tcW w:w="0" w:type="dxa"/>
            <w:vAlign w:val="bottom"/>
          </w:tcPr>
          <w:p>
            <w:pPr>
              <w:spacing w:after="0"/>
              <w:rPr>
                <w:sz w:val="1"/>
                <w:szCs w:val="1"/>
                <w:color w:val="auto"/>
              </w:rPr>
            </w:pPr>
          </w:p>
        </w:tc>
      </w:tr>
      <w:tr>
        <w:trPr>
          <w:trHeight w:val="243"/>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Financial Wellbeing</w:t>
            </w: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 change in control, Quaker Houghton will pay for the benefit for the year in which the change in</w:t>
            </w:r>
          </w:p>
        </w:tc>
        <w:tc>
          <w:tcPr>
            <w:tcW w:w="0" w:type="dxa"/>
            <w:vAlign w:val="bottom"/>
          </w:tcPr>
          <w:p>
            <w:pPr>
              <w:spacing w:after="0"/>
              <w:rPr>
                <w:sz w:val="1"/>
                <w:szCs w:val="1"/>
                <w:color w:val="auto"/>
              </w:rPr>
            </w:pPr>
          </w:p>
        </w:tc>
      </w:tr>
      <w:tr>
        <w:trPr>
          <w:trHeight w:val="239"/>
        </w:trPr>
        <w:tc>
          <w:tcPr>
            <w:tcW w:w="2760" w:type="dxa"/>
            <w:vAlign w:val="bottom"/>
            <w:vMerge w:val="continue"/>
          </w:tcPr>
          <w:p>
            <w:pPr>
              <w:spacing w:after="0"/>
              <w:rPr>
                <w:sz w:val="20"/>
                <w:szCs w:val="20"/>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control occurs and for one calendar year thereafter.</w:t>
            </w: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and Financial Planning:</w:t>
            </w:r>
          </w:p>
        </w:tc>
        <w:tc>
          <w:tcPr>
            <w:tcW w:w="4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In partnership with external medical providers, we will provide proactive and preventative healthcare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offerings in 3 available options to each of you and your spouse (should you choose): Executive</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Physical (in partnership with Penn Medicine), Executive Medical Concierge services (in partnership</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with Penn Medicine OR MDVIP), or Executive Medical reimbursement coverage through a provider</w:t>
            </w: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2"/>
                <w:szCs w:val="22"/>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of your choice (ex. Mayo Clinic). Quaker Houghton will cover the financial cost of these offerings.</w:t>
            </w:r>
          </w:p>
        </w:tc>
        <w:tc>
          <w:tcPr>
            <w:tcW w:w="0" w:type="dxa"/>
            <w:vAlign w:val="bottom"/>
          </w:tcPr>
          <w:p>
            <w:pPr>
              <w:spacing w:after="0"/>
              <w:rPr>
                <w:sz w:val="1"/>
                <w:szCs w:val="1"/>
                <w:color w:val="auto"/>
              </w:rPr>
            </w:pPr>
          </w:p>
        </w:tc>
      </w:tr>
      <w:tr>
        <w:trPr>
          <w:trHeight w:val="426"/>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Medical</w:t>
            </w:r>
          </w:p>
        </w:tc>
        <w:tc>
          <w:tcPr>
            <w:tcW w:w="4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Benefits</w:t>
            </w:r>
          </w:p>
        </w:tc>
        <w:tc>
          <w:tcPr>
            <w:tcW w:w="4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3"/>
                <w:szCs w:val="23"/>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Quaker Houghton offers a Flexible Benefits Program that is subject to change. This gives you the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opportunity to choose from a variety of options creating a customized benefits package. The</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following benefits are currently part of the program. In each of these areas, you are offered a range of</w:t>
            </w: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2"/>
                <w:szCs w:val="22"/>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options so you may choose the ones that make the most sense for your personal situation.</w:t>
            </w:r>
          </w:p>
        </w:tc>
        <w:tc>
          <w:tcPr>
            <w:tcW w:w="0" w:type="dxa"/>
            <w:vAlign w:val="bottom"/>
          </w:tcPr>
          <w:p>
            <w:pPr>
              <w:spacing w:after="0"/>
              <w:rPr>
                <w:sz w:val="1"/>
                <w:szCs w:val="1"/>
                <w:color w:val="auto"/>
              </w:rPr>
            </w:pPr>
          </w:p>
        </w:tc>
      </w:tr>
      <w:tr>
        <w:trPr>
          <w:trHeight w:val="457"/>
        </w:trPr>
        <w:tc>
          <w:tcPr>
            <w:tcW w:w="2760" w:type="dxa"/>
            <w:vAlign w:val="bottom"/>
          </w:tcPr>
          <w:p>
            <w:pPr>
              <w:spacing w:after="0"/>
              <w:rPr>
                <w:sz w:val="24"/>
                <w:szCs w:val="24"/>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Medical</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Dental</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Life &amp; AD&amp;D Insurance</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Long-term Disability</w:t>
            </w:r>
          </w:p>
        </w:tc>
        <w:tc>
          <w:tcPr>
            <w:tcW w:w="0" w:type="dxa"/>
            <w:vAlign w:val="bottom"/>
          </w:tcPr>
          <w:p>
            <w:pPr>
              <w:spacing w:after="0"/>
              <w:rPr>
                <w:sz w:val="1"/>
                <w:szCs w:val="1"/>
                <w:color w:val="auto"/>
              </w:rPr>
            </w:pPr>
          </w:p>
        </w:tc>
      </w:tr>
      <w:tr>
        <w:trPr>
          <w:trHeight w:val="229"/>
        </w:trPr>
        <w:tc>
          <w:tcPr>
            <w:tcW w:w="2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Benefits:</w:t>
            </w: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Health Care and Dependent Care Flexible Spending Accounts (FSAs)</w:t>
            </w:r>
          </w:p>
        </w:tc>
        <w:tc>
          <w:tcPr>
            <w:tcW w:w="0" w:type="dxa"/>
            <w:vAlign w:val="bottom"/>
          </w:tcPr>
          <w:p>
            <w:pPr>
              <w:spacing w:after="0"/>
              <w:rPr>
                <w:sz w:val="1"/>
                <w:szCs w:val="1"/>
                <w:color w:val="auto"/>
              </w:rPr>
            </w:pPr>
          </w:p>
        </w:tc>
      </w:tr>
      <w:tr>
        <w:trPr>
          <w:trHeight w:val="258"/>
        </w:trPr>
        <w:tc>
          <w:tcPr>
            <w:tcW w:w="2760" w:type="dxa"/>
            <w:vAlign w:val="bottom"/>
            <w:vMerge w:val="continue"/>
          </w:tcPr>
          <w:p>
            <w:pPr>
              <w:spacing w:after="0"/>
              <w:rPr>
                <w:sz w:val="22"/>
                <w:szCs w:val="22"/>
                <w:color w:val="auto"/>
              </w:rPr>
            </w:pP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Retirement Savings Plan (401K)</w:t>
            </w:r>
          </w:p>
        </w:tc>
        <w:tc>
          <w:tcPr>
            <w:tcW w:w="0" w:type="dxa"/>
            <w:vAlign w:val="bottom"/>
          </w:tcPr>
          <w:p>
            <w:pPr>
              <w:spacing w:after="0"/>
              <w:rPr>
                <w:sz w:val="1"/>
                <w:szCs w:val="1"/>
                <w:color w:val="auto"/>
              </w:rPr>
            </w:pPr>
          </w:p>
        </w:tc>
      </w:tr>
    </w:tbl>
    <w:p>
      <w:pPr>
        <w:sectPr>
          <w:pgSz w:w="11900" w:h="16838" w:orient="portrait"/>
          <w:cols w:equalWidth="0" w:num="1">
            <w:col w:w="11100"/>
          </w:cols>
          <w:pgMar w:left="400" w:top="1440" w:right="399" w:bottom="0"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EXHBIIT 10.2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234" w:lineRule="exact"/>
        <w:rPr>
          <w:sz w:val="20"/>
          <w:szCs w:val="20"/>
          <w:color w:val="auto"/>
        </w:rPr>
      </w:pPr>
    </w:p>
    <w:p>
      <w:pPr>
        <w:ind w:right="920" w:firstLine="648"/>
        <w:spacing w:after="0" w:line="271" w:lineRule="auto"/>
        <w:rPr>
          <w:sz w:val="20"/>
          <w:szCs w:val="20"/>
          <w:color w:val="auto"/>
        </w:rPr>
      </w:pPr>
      <w:r>
        <w:rPr>
          <w:rFonts w:ascii="Times New Roman" w:cs="Times New Roman" w:eastAsia="Times New Roman" w:hAnsi="Times New Roman"/>
          <w:sz w:val="22"/>
          <w:szCs w:val="22"/>
          <w:color w:val="auto"/>
        </w:rPr>
        <w:t>THIS AGREEMENT, dated June 10, 2024 between QUAKER CHEMICAL CORPORATION, d/b/a QUAKER HOUGHTON, a Pennsylvania corporation (the “Company”) and Tom Coler (the “Manager”),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T H A T</w:t>
      </w:r>
    </w:p>
    <w:p>
      <w:pPr>
        <w:spacing w:after="0" w:line="251" w:lineRule="exact"/>
        <w:rPr>
          <w:sz w:val="20"/>
          <w:szCs w:val="20"/>
          <w:color w:val="auto"/>
        </w:rPr>
      </w:pPr>
    </w:p>
    <w:p>
      <w:pPr>
        <w:ind w:right="60" w:firstLine="212"/>
        <w:spacing w:after="0" w:line="256" w:lineRule="auto"/>
        <w:rPr>
          <w:sz w:val="20"/>
          <w:szCs w:val="20"/>
          <w:color w:val="auto"/>
        </w:rPr>
      </w:pPr>
      <w:r>
        <w:rPr>
          <w:rFonts w:ascii="Times New Roman" w:cs="Times New Roman" w:eastAsia="Times New Roman" w:hAnsi="Times New Roman"/>
          <w:sz w:val="22"/>
          <w:szCs w:val="22"/>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203"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176" w:lineRule="exact"/>
        <w:rPr>
          <w:sz w:val="20"/>
          <w:szCs w:val="20"/>
          <w:color w:val="auto"/>
        </w:rPr>
      </w:pPr>
    </w:p>
    <w:p>
      <w:pPr>
        <w:ind w:right="220" w:firstLine="21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19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20" w:firstLine="212"/>
        <w:spacing w:after="0" w:line="250" w:lineRule="auto"/>
        <w:rPr>
          <w:sz w:val="20"/>
          <w:szCs w:val="20"/>
          <w:color w:val="auto"/>
        </w:rPr>
      </w:pPr>
      <w:r>
        <w:rPr>
          <w:rFonts w:ascii="Times New Roman" w:cs="Times New Roman" w:eastAsia="Times New Roman" w:hAnsi="Times New Roman"/>
          <w:sz w:val="22"/>
          <w:szCs w:val="22"/>
          <w:color w:val="auto"/>
        </w:rPr>
        <w:t>This Agreement shall become effective on your start date with the Company (the “Effective Date”), and shall continue in effect through December 31, 20243,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 used in this Agreement, a “Change in Control” of the Company shall be deemed to have occurred if:</w:t>
      </w:r>
    </w:p>
    <w:p>
      <w:pPr>
        <w:spacing w:after="0" w:line="247" w:lineRule="exact"/>
        <w:rPr>
          <w:sz w:val="20"/>
          <w:szCs w:val="20"/>
          <w:color w:val="auto"/>
        </w:rPr>
      </w:pPr>
    </w:p>
    <w:p>
      <w:pPr>
        <w:ind w:right="20" w:firstLine="656"/>
        <w:spacing w:after="0" w:line="262" w:lineRule="auto"/>
        <w:tabs>
          <w:tab w:leader="none" w:pos="1293"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spacing w:after="0" w:line="171" w:lineRule="exact"/>
        <w:rPr>
          <w:rFonts w:ascii="Times New Roman" w:cs="Times New Roman" w:eastAsia="Times New Roman" w:hAnsi="Times New Roman"/>
          <w:sz w:val="21"/>
          <w:szCs w:val="21"/>
          <w:color w:val="auto"/>
        </w:rPr>
      </w:pPr>
    </w:p>
    <w:p>
      <w:pPr>
        <w:ind w:right="20" w:firstLine="656"/>
        <w:spacing w:after="0" w:line="251" w:lineRule="auto"/>
        <w:tabs>
          <w:tab w:leader="none" w:pos="1291"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pacing w:after="0" w:line="181" w:lineRule="exact"/>
        <w:rPr>
          <w:rFonts w:ascii="Times New Roman" w:cs="Times New Roman" w:eastAsia="Times New Roman" w:hAnsi="Times New Roman"/>
          <w:sz w:val="22"/>
          <w:szCs w:val="22"/>
          <w:color w:val="auto"/>
        </w:rPr>
      </w:pPr>
    </w:p>
    <w:p>
      <w:pPr>
        <w:ind w:firstLine="656"/>
        <w:spacing w:after="0" w:line="265" w:lineRule="auto"/>
        <w:tabs>
          <w:tab w:leader="none" w:pos="1293"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16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shareholders or the Company’s Board of Directors shall approve the liquidation or dissolution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00" w:lineRule="exact"/>
        <w:rPr>
          <w:rFonts w:ascii="Times New Roman" w:cs="Times New Roman" w:eastAsia="Times New Roman" w:hAnsi="Times New Roman"/>
          <w:sz w:val="21"/>
          <w:szCs w:val="21"/>
          <w:color w:val="auto"/>
        </w:rPr>
      </w:pPr>
    </w:p>
    <w:p>
      <w:pPr>
        <w:spacing w:after="0" w:line="261"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Entitlement to Change in Control Benefits; Certain Definitions</w:t>
      </w:r>
      <w:r>
        <w:rPr>
          <w:rFonts w:ascii="Times New Roman" w:cs="Times New Roman" w:eastAsia="Times New Roman" w:hAnsi="Times New Roman"/>
          <w:sz w:val="22"/>
          <w:szCs w:val="22"/>
          <w:b w:val="1"/>
          <w:bCs w:val="1"/>
          <w:color w:val="auto"/>
        </w:rPr>
        <w: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355" w:lineRule="exact"/>
        <w:rPr>
          <w:rFonts w:ascii="Times New Roman" w:cs="Times New Roman" w:eastAsia="Times New Roman" w:hAnsi="Times New Roman"/>
          <w:sz w:val="22"/>
          <w:szCs w:val="22"/>
          <w:b w:val="1"/>
          <w:bCs w:val="1"/>
          <w:color w:val="auto"/>
        </w:rPr>
      </w:pPr>
    </w:p>
    <w:p>
      <w:pPr>
        <w:ind w:left="280" w:hanging="128"/>
        <w:spacing w:after="0"/>
        <w:tabs>
          <w:tab w:leader="none" w:pos="2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20"/>
          </w:cols>
          <w:pgMar w:left="320" w:top="1440" w:right="359" w:bottom="1440" w:gutter="0" w:footer="0" w:header="0"/>
        </w:sectPr>
      </w:pPr>
    </w:p>
    <w:bookmarkStart w:id="48" w:name="page49"/>
    <w:bookmarkEnd w:id="48"/>
    <w:p>
      <w:pPr>
        <w:spacing w:after="0" w:line="200" w:lineRule="exact"/>
        <w:rPr>
          <w:sz w:val="20"/>
          <w:szCs w:val="20"/>
          <w:color w:val="auto"/>
        </w:rPr>
      </w:pPr>
    </w:p>
    <w:p>
      <w:pPr>
        <w:spacing w:after="0" w:line="282" w:lineRule="exact"/>
        <w:rPr>
          <w:sz w:val="20"/>
          <w:szCs w:val="20"/>
          <w:color w:val="auto"/>
        </w:rPr>
      </w:pPr>
    </w:p>
    <w:p>
      <w:pPr>
        <w:ind w:right="20" w:firstLine="212"/>
        <w:spacing w:after="0" w:line="263" w:lineRule="auto"/>
        <w:rPr>
          <w:sz w:val="20"/>
          <w:szCs w:val="20"/>
          <w:color w:val="auto"/>
        </w:rPr>
      </w:pPr>
      <w:r>
        <w:rPr>
          <w:rFonts w:ascii="Times New Roman" w:cs="Times New Roman" w:eastAsia="Times New Roman" w:hAnsi="Times New Roman"/>
          <w:sz w:val="22"/>
          <w:szCs w:val="22"/>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194" w:lineRule="exact"/>
        <w:rPr>
          <w:sz w:val="20"/>
          <w:szCs w:val="20"/>
          <w:color w:val="auto"/>
        </w:rPr>
      </w:pPr>
    </w:p>
    <w:p>
      <w:pPr>
        <w:ind w:right="420" w:firstLine="656"/>
        <w:spacing w:after="0" w:line="271"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Termination shall have occurred in the event the Manager’s employment with the Company or its affiliates is terminated within two (2) years following a Change in Control by:</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affiliates without Cause (as defined below); or</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 of the Manager for Good Reason (as defined below).</w:t>
      </w:r>
    </w:p>
    <w:p>
      <w:pPr>
        <w:spacing w:after="0" w:line="220" w:lineRule="exact"/>
        <w:rPr>
          <w:sz w:val="20"/>
          <w:szCs w:val="20"/>
          <w:color w:val="auto"/>
        </w:rPr>
      </w:pPr>
    </w:p>
    <w:p>
      <w:pPr>
        <w:jc w:val="both"/>
        <w:ind w:right="80" w:firstLine="212"/>
        <w:spacing w:after="0" w:line="253" w:lineRule="auto"/>
        <w:rPr>
          <w:sz w:val="20"/>
          <w:szCs w:val="20"/>
          <w:color w:val="auto"/>
        </w:rPr>
      </w:pPr>
      <w:r>
        <w:rPr>
          <w:rFonts w:ascii="Times New Roman" w:cs="Times New Roman" w:eastAsia="Times New Roman" w:hAnsi="Times New Roman"/>
          <w:sz w:val="22"/>
          <w:szCs w:val="22"/>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his position.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together with any applicable regulations thereunder.</w:t>
      </w:r>
    </w:p>
    <w:p>
      <w:pPr>
        <w:spacing w:after="0" w:line="258"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19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140"/>
          </w:cols>
          <w:pgMar w:left="320" w:top="1440" w:right="439" w:bottom="1440" w:gutter="0" w:footer="0" w:header="0"/>
        </w:sectPr>
      </w:pPr>
    </w:p>
    <w:bookmarkStart w:id="49" w:name="page50"/>
    <w:bookmarkEnd w:id="49"/>
    <w:p>
      <w:pPr>
        <w:spacing w:after="0" w:line="200" w:lineRule="exact"/>
        <w:rPr>
          <w:sz w:val="20"/>
          <w:szCs w:val="20"/>
          <w:color w:val="auto"/>
        </w:rPr>
      </w:pPr>
    </w:p>
    <w:p>
      <w:pPr>
        <w:spacing w:after="0" w:line="2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shall mean the 60th day after the Manager’s Separation from Service, subject to Section 9.</w:t>
      </w:r>
    </w:p>
    <w:p>
      <w:pPr>
        <w:spacing w:after="0" w:line="247" w:lineRule="exact"/>
        <w:rPr>
          <w:sz w:val="20"/>
          <w:szCs w:val="20"/>
          <w:color w:val="auto"/>
        </w:rPr>
      </w:pPr>
    </w:p>
    <w:p>
      <w:pPr>
        <w:ind w:right="40" w:firstLine="21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his Covered Termination, and the Manager does not revoke the Release.</w:t>
      </w:r>
    </w:p>
    <w:p>
      <w:pPr>
        <w:spacing w:after="0" w:line="226" w:lineRule="exact"/>
        <w:rPr>
          <w:sz w:val="20"/>
          <w:szCs w:val="20"/>
          <w:color w:val="auto"/>
        </w:rPr>
      </w:pPr>
    </w:p>
    <w:p>
      <w:pPr>
        <w:ind w:right="34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the Manager’s separation from service with the Company and its affiliates within the meaning of Treas. Reg. §1.409A-1(h) or any successor thereto.</w:t>
      </w:r>
    </w:p>
    <w:p>
      <w:pPr>
        <w:spacing w:after="0" w:line="185" w:lineRule="exact"/>
        <w:rPr>
          <w:sz w:val="20"/>
          <w:szCs w:val="20"/>
          <w:color w:val="auto"/>
        </w:rPr>
      </w:pPr>
    </w:p>
    <w:p>
      <w:pPr>
        <w:ind w:right="180" w:firstLine="21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shall mean the Manager if he is a specified employee as defined in Section 409A of the Code as of the date of his Separation from Service.</w:t>
      </w:r>
    </w:p>
    <w:p>
      <w:pPr>
        <w:spacing w:after="0" w:line="18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Allowance</w:t>
      </w:r>
      <w:r>
        <w:rPr>
          <w:rFonts w:ascii="Times New Roman" w:cs="Times New Roman" w:eastAsia="Times New Roman" w:hAnsi="Times New Roman"/>
          <w:sz w:val="22"/>
          <w:szCs w:val="22"/>
          <w:b w:val="1"/>
          <w:bCs w:val="1"/>
          <w:color w:val="auto"/>
        </w:rPr>
        <w:t>.</w:t>
      </w:r>
    </w:p>
    <w:p>
      <w:pPr>
        <w:spacing w:after="0" w:line="129" w:lineRule="exact"/>
        <w:rPr>
          <w:rFonts w:ascii="Times New Roman" w:cs="Times New Roman" w:eastAsia="Times New Roman" w:hAnsi="Times New Roman"/>
          <w:sz w:val="22"/>
          <w:szCs w:val="22"/>
          <w:b w:val="1"/>
          <w:bCs w:val="1"/>
          <w:color w:val="auto"/>
        </w:rPr>
      </w:pPr>
    </w:p>
    <w:p>
      <w:pPr>
        <w:ind w:right="40" w:firstLine="656"/>
        <w:spacing w:after="0" w:line="257" w:lineRule="auto"/>
        <w:tabs>
          <w:tab w:leader="none" w:pos="1293"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Severance Allowance</w:t>
      </w:r>
      <w:r>
        <w:rPr>
          <w:rFonts w:ascii="Times New Roman" w:cs="Times New Roman" w:eastAsia="Times New Roman" w:hAnsi="Times New Roman"/>
          <w:sz w:val="22"/>
          <w:szCs w:val="22"/>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172" w:lineRule="exact"/>
        <w:rPr>
          <w:rFonts w:ascii="Times New Roman" w:cs="Times New Roman" w:eastAsia="Times New Roman" w:hAnsi="Times New Roman"/>
          <w:sz w:val="22"/>
          <w:szCs w:val="22"/>
          <w:color w:val="auto"/>
        </w:rPr>
      </w:pPr>
    </w:p>
    <w:p>
      <w:pPr>
        <w:ind w:left="1960" w:right="440" w:hanging="656"/>
        <w:spacing w:after="0" w:line="263" w:lineRule="auto"/>
        <w:tabs>
          <w:tab w:leader="none" w:pos="1948"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equivalent to the highest annualized base salary which the Manager was entitled to receive from the Company and its subsidiaries at any time during his employment prior to the Covered Termination;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00" w:lineRule="exact"/>
        <w:rPr>
          <w:sz w:val="20"/>
          <w:szCs w:val="20"/>
          <w:color w:val="auto"/>
        </w:rPr>
      </w:pPr>
    </w:p>
    <w:p>
      <w:pPr>
        <w:spacing w:after="0" w:line="282" w:lineRule="exact"/>
        <w:rPr>
          <w:sz w:val="20"/>
          <w:szCs w:val="20"/>
          <w:color w:val="auto"/>
        </w:rPr>
      </w:pPr>
    </w:p>
    <w:p>
      <w:pPr>
        <w:ind w:left="1960" w:hanging="656"/>
        <w:spacing w:after="0" w:line="247" w:lineRule="auto"/>
        <w:tabs>
          <w:tab w:leader="none" w:pos="195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w:t>
      </w:r>
    </w:p>
    <w:p>
      <w:pPr>
        <w:spacing w:after="0" w:line="22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In no event shall any retention bonus or change in control or success fee be taken into account when determining the amount of the Severance Allowance hereunder.</w:t>
      </w:r>
    </w:p>
    <w:p>
      <w:pPr>
        <w:spacing w:after="0" w:line="171" w:lineRule="exact"/>
        <w:rPr>
          <w:sz w:val="20"/>
          <w:szCs w:val="20"/>
          <w:color w:val="auto"/>
        </w:rPr>
      </w:pPr>
    </w:p>
    <w:p>
      <w:pPr>
        <w:ind w:right="160" w:firstLine="656"/>
        <w:spacing w:after="0" w:line="268" w:lineRule="auto"/>
        <w:tabs>
          <w:tab w:leader="none" w:pos="1291"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Severance Allowance</w:t>
      </w:r>
      <w:r>
        <w:rPr>
          <w:rFonts w:ascii="Times New Roman" w:cs="Times New Roman" w:eastAsia="Times New Roman" w:hAnsi="Times New Roman"/>
          <w:sz w:val="21"/>
          <w:szCs w:val="21"/>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5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and Welfare Benefits</w:t>
      </w:r>
      <w:r>
        <w:rPr>
          <w:rFonts w:ascii="Times New Roman" w:cs="Times New Roman" w:eastAsia="Times New Roman" w:hAnsi="Times New Roman"/>
          <w:sz w:val="22"/>
          <w:szCs w:val="22"/>
          <w:b w:val="1"/>
          <w:bCs w:val="1"/>
          <w:color w:val="auto"/>
        </w:rPr>
        <w:t>.</w:t>
      </w:r>
    </w:p>
    <w:p>
      <w:pPr>
        <w:spacing w:after="0" w:line="115" w:lineRule="exact"/>
        <w:rPr>
          <w:rFonts w:ascii="Times New Roman" w:cs="Times New Roman" w:eastAsia="Times New Roman" w:hAnsi="Times New Roman"/>
          <w:sz w:val="22"/>
          <w:szCs w:val="22"/>
          <w:b w:val="1"/>
          <w:bCs w:val="1"/>
          <w:color w:val="auto"/>
        </w:rPr>
      </w:pPr>
    </w:p>
    <w:p>
      <w:pPr>
        <w:ind w:right="80" w:firstLine="656"/>
        <w:spacing w:after="0" w:line="257" w:lineRule="auto"/>
        <w:tabs>
          <w:tab w:leader="none" w:pos="1293"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Outplacement</w:t>
      </w:r>
      <w:r>
        <w:rPr>
          <w:rFonts w:ascii="Times New Roman" w:cs="Times New Roman" w:eastAsia="Times New Roman" w:hAnsi="Times New Roman"/>
          <w:sz w:val="22"/>
          <w:szCs w:val="22"/>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186" w:lineRule="exact"/>
        <w:rPr>
          <w:rFonts w:ascii="Times New Roman" w:cs="Times New Roman" w:eastAsia="Times New Roman" w:hAnsi="Times New Roman"/>
          <w:sz w:val="22"/>
          <w:szCs w:val="22"/>
          <w:color w:val="auto"/>
        </w:rPr>
      </w:pPr>
    </w:p>
    <w:p>
      <w:pPr>
        <w:ind w:right="560" w:firstLine="656"/>
        <w:spacing w:after="0" w:line="271" w:lineRule="auto"/>
        <w:tabs>
          <w:tab w:leader="none" w:pos="1291"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Welfare Benefits</w:t>
      </w:r>
      <w:r>
        <w:rPr>
          <w:rFonts w:ascii="Times New Roman" w:cs="Times New Roman" w:eastAsia="Times New Roman" w:hAnsi="Times New Roman"/>
          <w:sz w:val="22"/>
          <w:szCs w:val="22"/>
          <w:color w:val="auto"/>
        </w:rPr>
        <w:t>. Subject to Section 6, for a period eighteen months following a Covered Termination of the Manager, the Manager and the Manager’s dependents shall be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1" w:lineRule="exact"/>
        <w:rPr>
          <w:rFonts w:ascii="Times New Roman" w:cs="Times New Roman" w:eastAsia="Times New Roman" w:hAnsi="Times New Roman"/>
          <w:sz w:val="22"/>
          <w:szCs w:val="22"/>
          <w:color w:val="auto"/>
        </w:rPr>
      </w:pPr>
    </w:p>
    <w:p>
      <w:pPr>
        <w:ind w:left="280" w:hanging="128"/>
        <w:spacing w:after="0"/>
        <w:tabs>
          <w:tab w:leader="none" w:pos="2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8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1"/>
          <w:szCs w:val="21"/>
          <w:color w:val="auto"/>
        </w:rPr>
        <w:t>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his dependents because the Manager is no longer an employee of the Company or its subsidiaries, the Company itself shall, to the extent necessary, pay or otherwise provide for such benefits to the Manager and his dependents.</w:t>
      </w:r>
    </w:p>
    <w:p>
      <w:pPr>
        <w:spacing w:after="0" w:line="18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Other Employment</w:t>
      </w:r>
      <w:r>
        <w:rPr>
          <w:rFonts w:ascii="Times New Roman" w:cs="Times New Roman" w:eastAsia="Times New Roman" w:hAnsi="Times New Roman"/>
          <w:sz w:val="22"/>
          <w:szCs w:val="22"/>
          <w:b w:val="1"/>
          <w:bCs w:val="1"/>
          <w:color w:val="auto"/>
        </w:rPr>
        <w:t>.</w:t>
      </w:r>
    </w:p>
    <w:p>
      <w:pPr>
        <w:spacing w:after="0" w:line="129" w:lineRule="exact"/>
        <w:rPr>
          <w:sz w:val="20"/>
          <w:szCs w:val="20"/>
          <w:color w:val="auto"/>
        </w:rPr>
      </w:pPr>
    </w:p>
    <w:p>
      <w:pPr>
        <w:ind w:firstLine="216"/>
        <w:spacing w:after="0" w:line="249" w:lineRule="auto"/>
        <w:rPr>
          <w:sz w:val="20"/>
          <w:szCs w:val="20"/>
          <w:color w:val="auto"/>
        </w:rPr>
      </w:pPr>
      <w:r>
        <w:rPr>
          <w:rFonts w:ascii="Times New Roman" w:cs="Times New Roman" w:eastAsia="Times New Roman" w:hAnsi="Times New Roman"/>
          <w:sz w:val="22"/>
          <w:szCs w:val="22"/>
          <w:color w:val="auto"/>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his family); and the Manager’s “family” shall mean his parents, his siblings and their spouses, his children and their spouses, and the Manager’s spouse and his parents and siblings. Nothing herein shall relieve the Company of its obligations for compensation or benefits accrued up to the time of termination provided for herein.</w:t>
      </w: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Payments and Benefits</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20" w:firstLine="216"/>
        <w:spacing w:after="0" w:line="248" w:lineRule="auto"/>
        <w:rPr>
          <w:sz w:val="20"/>
          <w:szCs w:val="20"/>
          <w:color w:val="auto"/>
        </w:rPr>
      </w:pPr>
      <w:r>
        <w:rPr>
          <w:rFonts w:ascii="Times New Roman" w:cs="Times New Roman" w:eastAsia="Times New Roman" w:hAnsi="Times New Roman"/>
          <w:sz w:val="22"/>
          <w:szCs w:val="22"/>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180"/>
          </w:cols>
          <w:pgMar w:left="320" w:top="1440" w:right="399" w:bottom="1440" w:gutter="0" w:footer="0" w:header="0"/>
        </w:sectPr>
      </w:pPr>
    </w:p>
    <w:bookmarkStart w:id="52" w:name="page53"/>
    <w:bookmarkEnd w:id="52"/>
    <w:p>
      <w:pPr>
        <w:spacing w:after="0" w:line="200" w:lineRule="exact"/>
        <w:rPr>
          <w:sz w:val="20"/>
          <w:szCs w:val="20"/>
          <w:color w:val="auto"/>
        </w:rPr>
      </w:pPr>
    </w:p>
    <w:p>
      <w:pPr>
        <w:spacing w:after="0" w:line="2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w:t>
      </w:r>
    </w:p>
    <w:p>
      <w:pPr>
        <w:spacing w:after="0" w:line="20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After Covered Termination</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20" w:firstLine="216"/>
        <w:spacing w:after="0" w:line="251" w:lineRule="auto"/>
        <w:rPr>
          <w:sz w:val="20"/>
          <w:szCs w:val="20"/>
          <w:color w:val="auto"/>
        </w:rPr>
      </w:pPr>
      <w:r>
        <w:rPr>
          <w:rFonts w:ascii="Times New Roman" w:cs="Times New Roman" w:eastAsia="Times New Roman" w:hAnsi="Times New Roman"/>
          <w:sz w:val="22"/>
          <w:szCs w:val="22"/>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Section 409A Rules.</w:t>
      </w:r>
    </w:p>
    <w:p>
      <w:pPr>
        <w:spacing w:after="0" w:line="237" w:lineRule="exact"/>
        <w:rPr>
          <w:rFonts w:ascii="Times New Roman" w:cs="Times New Roman" w:eastAsia="Times New Roman" w:hAnsi="Times New Roman"/>
          <w:sz w:val="22"/>
          <w:szCs w:val="22"/>
          <w:b w:val="1"/>
          <w:bCs w:val="1"/>
          <w:color w:val="auto"/>
        </w:rPr>
      </w:pPr>
    </w:p>
    <w:p>
      <w:pPr>
        <w:ind w:right="20" w:firstLine="656"/>
        <w:spacing w:after="0" w:line="260" w:lineRule="auto"/>
        <w:tabs>
          <w:tab w:leader="none" w:pos="1293"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7" w:lineRule="exact"/>
        <w:rPr>
          <w:rFonts w:ascii="Times New Roman" w:cs="Times New Roman" w:eastAsia="Times New Roman" w:hAnsi="Times New Roman"/>
          <w:sz w:val="21"/>
          <w:szCs w:val="21"/>
          <w:color w:val="auto"/>
        </w:rPr>
      </w:pPr>
    </w:p>
    <w:p>
      <w:pPr>
        <w:ind w:left="280" w:hanging="128"/>
        <w:spacing w:after="0"/>
        <w:tabs>
          <w:tab w:leader="none" w:pos="28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160"/>
          </w:cols>
          <w:pgMar w:left="320" w:top="1440" w:right="419" w:bottom="1440" w:gutter="0" w:footer="0" w:header="0"/>
        </w:sectPr>
      </w:pPr>
    </w:p>
    <w:bookmarkStart w:id="53" w:name="page54"/>
    <w:bookmarkEnd w:id="53"/>
    <w:p>
      <w:pPr>
        <w:spacing w:after="0" w:line="200" w:lineRule="exact"/>
        <w:rPr>
          <w:sz w:val="20"/>
          <w:szCs w:val="20"/>
          <w:color w:val="auto"/>
        </w:rPr>
      </w:pPr>
    </w:p>
    <w:p>
      <w:pPr>
        <w:spacing w:after="0" w:line="282" w:lineRule="exact"/>
        <w:rPr>
          <w:sz w:val="20"/>
          <w:szCs w:val="20"/>
          <w:color w:val="auto"/>
        </w:rPr>
      </w:pPr>
    </w:p>
    <w:p>
      <w:pPr>
        <w:ind w:left="-8" w:firstLine="656"/>
        <w:spacing w:after="0" w:line="252" w:lineRule="auto"/>
        <w:tabs>
          <w:tab w:leader="none" w:pos="128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In-Kind Benefits</w:t>
      </w:r>
      <w:r>
        <w:rPr>
          <w:rFonts w:ascii="Times New Roman" w:cs="Times New Roman" w:eastAsia="Times New Roman" w:hAnsi="Times New Roman"/>
          <w:sz w:val="22"/>
          <w:szCs w:val="22"/>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179" w:lineRule="exact"/>
        <w:rPr>
          <w:rFonts w:ascii="Times New Roman" w:cs="Times New Roman" w:eastAsia="Times New Roman" w:hAnsi="Times New Roman"/>
          <w:sz w:val="22"/>
          <w:szCs w:val="22"/>
          <w:color w:val="auto"/>
        </w:rPr>
      </w:pPr>
    </w:p>
    <w:p>
      <w:pPr>
        <w:ind w:left="-8" w:right="60" w:firstLine="656"/>
        <w:spacing w:after="0" w:line="257" w:lineRule="auto"/>
        <w:tabs>
          <w:tab w:leader="none" w:pos="128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and Construction</w:t>
      </w:r>
      <w:r>
        <w:rPr>
          <w:rFonts w:ascii="Times New Roman" w:cs="Times New Roman" w:eastAsia="Times New Roman" w:hAnsi="Times New Roman"/>
          <w:sz w:val="22"/>
          <w:szCs w:val="22"/>
          <w:color w:val="auto"/>
        </w:rPr>
        <w:t>. This Agreement is intended to comply with Section 409A of the Code and shall be administered, interpreted, and construed in accordance therewith to avoid the imposition of additional tax under Section 409A of the Code.</w:t>
      </w:r>
    </w:p>
    <w:p>
      <w:pPr>
        <w:spacing w:after="0" w:line="200" w:lineRule="exact"/>
        <w:rPr>
          <w:rFonts w:ascii="Times New Roman" w:cs="Times New Roman" w:eastAsia="Times New Roman" w:hAnsi="Times New Roman"/>
          <w:sz w:val="22"/>
          <w:szCs w:val="22"/>
          <w:color w:val="auto"/>
        </w:rPr>
      </w:pPr>
    </w:p>
    <w:p>
      <w:pPr>
        <w:spacing w:after="0" w:line="21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and Noncompetition</w:t>
      </w:r>
      <w:r>
        <w:rPr>
          <w:rFonts w:ascii="Times New Roman" w:cs="Times New Roman" w:eastAsia="Times New Roman" w:hAnsi="Times New Roman"/>
          <w:sz w:val="22"/>
          <w:szCs w:val="22"/>
          <w:b w:val="1"/>
          <w:bCs w:val="1"/>
          <w:color w:val="auto"/>
        </w:rPr>
        <w:t>.</w:t>
      </w:r>
    </w:p>
    <w:p>
      <w:pPr>
        <w:spacing w:after="0" w:line="129" w:lineRule="exact"/>
        <w:rPr>
          <w:rFonts w:ascii="Times New Roman" w:cs="Times New Roman" w:eastAsia="Times New Roman" w:hAnsi="Times New Roman"/>
          <w:sz w:val="22"/>
          <w:szCs w:val="22"/>
          <w:b w:val="1"/>
          <w:bCs w:val="1"/>
          <w:color w:val="auto"/>
        </w:rPr>
      </w:pPr>
    </w:p>
    <w:p>
      <w:pPr>
        <w:ind w:left="-8" w:firstLine="656"/>
        <w:spacing w:after="0" w:line="247" w:lineRule="auto"/>
        <w:tabs>
          <w:tab w:leader="none" w:pos="128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his employment with the Company.</w:t>
      </w:r>
    </w:p>
    <w:p>
      <w:pPr>
        <w:spacing w:after="0" w:line="190" w:lineRule="exact"/>
        <w:rPr>
          <w:rFonts w:ascii="Times New Roman" w:cs="Times New Roman" w:eastAsia="Times New Roman" w:hAnsi="Times New Roman"/>
          <w:sz w:val="22"/>
          <w:szCs w:val="22"/>
          <w:color w:val="auto"/>
        </w:rPr>
      </w:pPr>
    </w:p>
    <w:p>
      <w:pPr>
        <w:ind w:left="1952" w:right="340" w:hanging="656"/>
        <w:spacing w:after="0" w:line="284" w:lineRule="auto"/>
        <w:tabs>
          <w:tab w:leader="none" w:pos="194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Manager agrees that at no time during or following his employment with the Company will he use, divulge, or pass on, directly or through any other individual or entity, any Trade Secrets.</w:t>
      </w:r>
    </w:p>
    <w:p>
      <w:pPr>
        <w:spacing w:after="0" w:line="143" w:lineRule="exact"/>
        <w:rPr>
          <w:rFonts w:ascii="Times New Roman" w:cs="Times New Roman" w:eastAsia="Times New Roman" w:hAnsi="Times New Roman"/>
          <w:sz w:val="22"/>
          <w:szCs w:val="22"/>
          <w:color w:val="auto"/>
        </w:rPr>
      </w:pPr>
    </w:p>
    <w:p>
      <w:pPr>
        <w:ind w:left="1952" w:right="20" w:hanging="656"/>
        <w:spacing w:after="0" w:line="252" w:lineRule="auto"/>
        <w:tabs>
          <w:tab w:leader="none" w:pos="194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his possession or control which constitute or contain any Proprietary Business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12"/>
          </w:cols>
          <w:pgMar w:left="328" w:top="1440" w:right="359" w:bottom="1440" w:gutter="0" w:footer="0" w:header="0"/>
        </w:sectPr>
      </w:pPr>
    </w:p>
    <w:bookmarkStart w:id="54" w:name="page55"/>
    <w:bookmarkEnd w:id="54"/>
    <w:p>
      <w:pPr>
        <w:spacing w:after="0" w:line="200" w:lineRule="exact"/>
        <w:rPr>
          <w:sz w:val="20"/>
          <w:szCs w:val="20"/>
          <w:color w:val="auto"/>
        </w:rPr>
      </w:pPr>
    </w:p>
    <w:p>
      <w:pPr>
        <w:spacing w:after="0" w:line="282" w:lineRule="exact"/>
        <w:rPr>
          <w:sz w:val="20"/>
          <w:szCs w:val="20"/>
          <w:color w:val="auto"/>
        </w:rPr>
      </w:pPr>
    </w:p>
    <w:p>
      <w:pPr>
        <w:ind w:left="-152" w:right="520" w:firstLine="656"/>
        <w:spacing w:after="0" w:line="284" w:lineRule="auto"/>
        <w:tabs>
          <w:tab w:leader="none" w:pos="11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Manager agrees that during his employment and for a period of one (1) year thereafter, regardless of the reason for the termination of the Manager’s employment, he will not:</w:t>
      </w:r>
    </w:p>
    <w:p>
      <w:pPr>
        <w:spacing w:after="0" w:line="143" w:lineRule="exact"/>
        <w:rPr>
          <w:rFonts w:ascii="Times New Roman" w:cs="Times New Roman" w:eastAsia="Times New Roman" w:hAnsi="Times New Roman"/>
          <w:sz w:val="22"/>
          <w:szCs w:val="22"/>
          <w:color w:val="auto"/>
        </w:rPr>
      </w:pPr>
    </w:p>
    <w:p>
      <w:pPr>
        <w:ind w:left="1808" w:right="120" w:hanging="656"/>
        <w:spacing w:after="0" w:line="268" w:lineRule="auto"/>
        <w:tabs>
          <w:tab w:leader="none" w:pos="1796"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163" w:lineRule="exact"/>
        <w:rPr>
          <w:rFonts w:ascii="Times New Roman" w:cs="Times New Roman" w:eastAsia="Times New Roman" w:hAnsi="Times New Roman"/>
          <w:sz w:val="21"/>
          <w:szCs w:val="21"/>
          <w:color w:val="auto"/>
        </w:rPr>
      </w:pPr>
    </w:p>
    <w:p>
      <w:pPr>
        <w:ind w:left="1808" w:right="40" w:hanging="656"/>
        <w:spacing w:after="0" w:line="252" w:lineRule="auto"/>
        <w:tabs>
          <w:tab w:leader="none" w:pos="180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his or any firm, corporation, business, or other entity with which he is or may become associated; or</w:t>
      </w:r>
    </w:p>
    <w:p>
      <w:pPr>
        <w:spacing w:after="0" w:line="192" w:lineRule="exact"/>
        <w:rPr>
          <w:rFonts w:ascii="Times New Roman" w:cs="Times New Roman" w:eastAsia="Times New Roman" w:hAnsi="Times New Roman"/>
          <w:sz w:val="22"/>
          <w:szCs w:val="22"/>
          <w:color w:val="auto"/>
        </w:rPr>
      </w:pPr>
    </w:p>
    <w:p>
      <w:pPr>
        <w:ind w:left="1808" w:hanging="656"/>
        <w:spacing w:after="0" w:line="252" w:lineRule="auto"/>
        <w:tabs>
          <w:tab w:leader="none" w:pos="1808"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179" w:lineRule="exact"/>
        <w:rPr>
          <w:rFonts w:ascii="Times New Roman" w:cs="Times New Roman" w:eastAsia="Times New Roman" w:hAnsi="Times New Roman"/>
          <w:sz w:val="22"/>
          <w:szCs w:val="22"/>
          <w:color w:val="auto"/>
        </w:rPr>
      </w:pPr>
    </w:p>
    <w:p>
      <w:pPr>
        <w:ind w:left="-152" w:firstLine="656"/>
        <w:spacing w:after="0" w:line="251" w:lineRule="auto"/>
        <w:tabs>
          <w:tab w:leader="none" w:pos="114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181" w:lineRule="exact"/>
        <w:rPr>
          <w:rFonts w:ascii="Times New Roman" w:cs="Times New Roman" w:eastAsia="Times New Roman" w:hAnsi="Times New Roman"/>
          <w:sz w:val="22"/>
          <w:szCs w:val="22"/>
          <w:color w:val="auto"/>
        </w:rPr>
      </w:pPr>
    </w:p>
    <w:p>
      <w:pPr>
        <w:ind w:left="-152" w:right="80" w:firstLine="656"/>
        <w:spacing w:after="0" w:line="250" w:lineRule="auto"/>
        <w:tabs>
          <w:tab w:leader="none" w:pos="11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ind w:left="128" w:hanging="128"/>
        <w:spacing w:after="0"/>
        <w:tabs>
          <w:tab w:leader="none" w:pos="1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068"/>
          </w:cols>
          <w:pgMar w:left="472" w:top="1440" w:right="359" w:bottom="1440" w:gutter="0" w:footer="0" w:header="0"/>
        </w:sectPr>
      </w:pPr>
    </w:p>
    <w:bookmarkStart w:id="55" w:name="page56"/>
    <w:bookmarkEnd w:id="55"/>
    <w:p>
      <w:pPr>
        <w:spacing w:after="0" w:line="200" w:lineRule="exact"/>
        <w:rPr>
          <w:sz w:val="20"/>
          <w:szCs w:val="20"/>
          <w:color w:val="auto"/>
        </w:rPr>
      </w:pPr>
    </w:p>
    <w:p>
      <w:pPr>
        <w:spacing w:after="0" w:line="28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2"/>
          <w:szCs w:val="22"/>
          <w:color w:val="auto"/>
        </w:rPr>
        <w:t>Company’s obligations to pay amounts and continue the benefits under this Agreement to the Manager (and his dependents) shall immediately terminate.</w:t>
      </w:r>
    </w:p>
    <w:p>
      <w:pPr>
        <w:spacing w:after="0" w:line="140"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Set-Off Mitigation</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22"/>
          <w:szCs w:val="22"/>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Costs and Expenses of Enforcement</w:t>
      </w:r>
      <w:r>
        <w:rPr>
          <w:rFonts w:ascii="Times New Roman" w:cs="Times New Roman" w:eastAsia="Times New Roman" w:hAnsi="Times New Roman"/>
          <w:sz w:val="22"/>
          <w:szCs w:val="22"/>
          <w:b w:val="1"/>
          <w:bCs w:val="1"/>
          <w:color w:val="auto"/>
        </w:rPr>
        <w:t>.</w:t>
      </w:r>
    </w:p>
    <w:p>
      <w:pPr>
        <w:spacing w:after="0" w:line="87" w:lineRule="exact"/>
        <w:rPr>
          <w:rFonts w:ascii="Times New Roman" w:cs="Times New Roman" w:eastAsia="Times New Roman" w:hAnsi="Times New Roman"/>
          <w:sz w:val="22"/>
          <w:szCs w:val="22"/>
          <w:b w:val="1"/>
          <w:bCs w:val="1"/>
          <w:color w:val="auto"/>
        </w:rPr>
      </w:pPr>
    </w:p>
    <w:p>
      <w:pPr>
        <w:ind w:right="100" w:firstLine="656"/>
        <w:spacing w:after="0" w:line="250"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180" w:lineRule="exact"/>
        <w:rPr>
          <w:rFonts w:ascii="Times New Roman" w:cs="Times New Roman" w:eastAsia="Times New Roman" w:hAnsi="Times New Roman"/>
          <w:sz w:val="22"/>
          <w:szCs w:val="22"/>
          <w:color w:val="auto"/>
        </w:rPr>
      </w:pPr>
    </w:p>
    <w:p>
      <w:pPr>
        <w:ind w:right="60" w:firstLine="656"/>
        <w:spacing w:after="0" w:line="251" w:lineRule="auto"/>
        <w:tabs>
          <w:tab w:leader="none" w:pos="12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the event that it shall be necessary or desirable for the Manager to retain legal counsel and/or incur other costs and expenses in connection with the enforcement of any and all of his rights under this Agreement at any time during his lifetime, the Company shall pay (or the Manager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 the final outcome.</w:t>
      </w:r>
    </w:p>
    <w:p>
      <w:pPr>
        <w:spacing w:after="0" w:line="19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on Payment Obligation</w:t>
      </w:r>
      <w:r>
        <w:rPr>
          <w:rFonts w:ascii="Times New Roman" w:cs="Times New Roman" w:eastAsia="Times New Roman" w:hAnsi="Times New Roman"/>
          <w:sz w:val="22"/>
          <w:szCs w:val="22"/>
          <w:b w:val="1"/>
          <w:bCs w:val="1"/>
          <w:color w:val="auto"/>
        </w:rPr>
        <w:t>.</w:t>
      </w:r>
    </w:p>
    <w:p>
      <w:pPr>
        <w:spacing w:after="0" w:line="115" w:lineRule="exact"/>
        <w:rPr>
          <w:rFonts w:ascii="Times New Roman" w:cs="Times New Roman" w:eastAsia="Times New Roman" w:hAnsi="Times New Roman"/>
          <w:sz w:val="22"/>
          <w:szCs w:val="22"/>
          <w:b w:val="1"/>
          <w:bCs w:val="1"/>
          <w:color w:val="auto"/>
        </w:rPr>
      </w:pPr>
    </w:p>
    <w:p>
      <w:pPr>
        <w:ind w:right="220" w:firstLine="656"/>
        <w:spacing w:after="0" w:line="271"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13, all terms capitalized but not otherwise defined herein shall have the meanings as set forth in Section 280G of the Code. In addition:</w:t>
      </w:r>
    </w:p>
    <w:p>
      <w:pPr>
        <w:spacing w:after="0" w:line="157" w:lineRule="exact"/>
        <w:rPr>
          <w:rFonts w:ascii="Times New Roman" w:cs="Times New Roman" w:eastAsia="Times New Roman" w:hAnsi="Times New Roman"/>
          <w:sz w:val="22"/>
          <w:szCs w:val="22"/>
          <w:color w:val="auto"/>
        </w:rPr>
      </w:pPr>
    </w:p>
    <w:p>
      <w:pPr>
        <w:ind w:left="1960" w:right="260" w:hanging="656"/>
        <w:spacing w:after="0" w:line="256" w:lineRule="auto"/>
        <w:tabs>
          <w:tab w:leader="none" w:pos="1948"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82" w:lineRule="exact"/>
        <w:rPr>
          <w:sz w:val="20"/>
          <w:szCs w:val="20"/>
          <w:color w:val="auto"/>
        </w:rPr>
      </w:pPr>
    </w:p>
    <w:p>
      <w:pPr>
        <w:ind w:left="1960" w:right="260" w:hanging="656"/>
        <w:spacing w:after="0" w:line="263" w:lineRule="auto"/>
        <w:tabs>
          <w:tab w:leader="none" w:pos="195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167" w:lineRule="exact"/>
        <w:rPr>
          <w:rFonts w:ascii="Times New Roman" w:cs="Times New Roman" w:eastAsia="Times New Roman" w:hAnsi="Times New Roman"/>
          <w:sz w:val="22"/>
          <w:szCs w:val="22"/>
          <w:color w:val="auto"/>
        </w:rPr>
      </w:pPr>
    </w:p>
    <w:p>
      <w:pPr>
        <w:ind w:left="1960" w:right="460" w:hanging="656"/>
        <w:spacing w:after="0" w:line="295" w:lineRule="auto"/>
        <w:tabs>
          <w:tab w:leader="none" w:pos="19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“Base Amount” and the amount of “Reasonable Compensation” allocable to any “Parachute Payment” shall be determined in accordance with Section 280G(b)(3) and (4) of the Code.</w:t>
      </w:r>
    </w:p>
    <w:p>
      <w:pPr>
        <w:spacing w:after="0" w:line="135" w:lineRule="exact"/>
        <w:rPr>
          <w:rFonts w:ascii="Times New Roman" w:cs="Times New Roman" w:eastAsia="Times New Roman" w:hAnsi="Times New Roman"/>
          <w:sz w:val="21"/>
          <w:szCs w:val="21"/>
          <w:color w:val="auto"/>
        </w:rPr>
      </w:pPr>
    </w:p>
    <w:p>
      <w:pPr>
        <w:ind w:right="40" w:firstLine="656"/>
        <w:spacing w:after="0" w:line="252"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79" w:lineRule="exact"/>
        <w:rPr>
          <w:sz w:val="20"/>
          <w:szCs w:val="20"/>
          <w:color w:val="auto"/>
        </w:rPr>
      </w:pPr>
    </w:p>
    <w:p>
      <w:pPr>
        <w:ind w:right="120" w:firstLine="212"/>
        <w:spacing w:after="0" w:line="247" w:lineRule="auto"/>
        <w:rPr>
          <w:sz w:val="20"/>
          <w:szCs w:val="20"/>
          <w:color w:val="auto"/>
        </w:rPr>
      </w:pPr>
      <w:r>
        <w:rPr>
          <w:rFonts w:ascii="Times New Roman" w:cs="Times New Roman" w:eastAsia="Times New Roman" w:hAnsi="Times New Roman"/>
          <w:sz w:val="22"/>
          <w:szCs w:val="22"/>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his consent. The determination of such tax counsel under this Section 13 shall be final and binding upon the Manager and the Company.</w:t>
      </w:r>
    </w:p>
    <w:p>
      <w:pPr>
        <w:spacing w:after="0" w:line="231" w:lineRule="exact"/>
        <w:rPr>
          <w:sz w:val="20"/>
          <w:szCs w:val="20"/>
          <w:color w:val="auto"/>
        </w:rPr>
      </w:pPr>
    </w:p>
    <w:p>
      <w:pPr>
        <w:ind w:right="80" w:firstLine="656"/>
        <w:spacing w:after="0" w:line="271" w:lineRule="auto"/>
        <w:tabs>
          <w:tab w:leader="none" w:pos="12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 Payments</w:t>
      </w:r>
      <w:r>
        <w:rPr>
          <w:rFonts w:ascii="Times New Roman" w:cs="Times New Roman" w:eastAsia="Times New Roman" w:hAnsi="Times New Roman"/>
          <w:sz w:val="22"/>
          <w:szCs w:val="22"/>
          <w:color w:val="auto"/>
        </w:rPr>
        <w:t>. Notwithstanding any other provision of this Agreement, no payment shall be made hereunder to or for the benefit of the Manager if and to the extent that such payments are determined to be illegal.</w:t>
      </w:r>
    </w:p>
    <w:p>
      <w:pPr>
        <w:spacing w:after="0" w:line="15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firstLine="204"/>
        <w:spacing w:after="0" w:line="263" w:lineRule="auto"/>
        <w:rPr>
          <w:sz w:val="20"/>
          <w:szCs w:val="20"/>
          <w:color w:val="auto"/>
        </w:rPr>
      </w:pPr>
      <w:r>
        <w:rPr>
          <w:rFonts w:ascii="Times New Roman" w:cs="Times New Roman" w:eastAsia="Times New Roman" w:hAnsi="Times New Roman"/>
          <w:sz w:val="22"/>
          <w:szCs w:val="22"/>
          <w:color w:val="auto"/>
        </w:rPr>
        <w:t>Any notices, requests, demands, and other communications provided for by this Agreement shall be sufficient if in writing, and if hand delivered or if sent by registered or certified mail, if to the Manager, at the last address he had filed in writing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20"/>
          </w:cols>
          <w:pgMar w:left="320" w:top="1440" w:right="359" w:bottom="1440" w:gutter="0" w:footer="0" w:header="0"/>
        </w:sectPr>
      </w:pPr>
    </w:p>
    <w:bookmarkStart w:id="57" w:name="page58"/>
    <w:bookmarkEnd w:id="57"/>
    <w:p>
      <w:pPr>
        <w:spacing w:after="0" w:line="200" w:lineRule="exact"/>
        <w:rPr>
          <w:sz w:val="20"/>
          <w:szCs w:val="20"/>
          <w:color w:val="auto"/>
        </w:rPr>
      </w:pPr>
    </w:p>
    <w:p>
      <w:pPr>
        <w:spacing w:after="0" w:line="282"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22"/>
          <w:szCs w:val="22"/>
          <w:color w:val="auto"/>
        </w:rPr>
        <w:t>if to the Company, at its principal executive offices. Notices, requests, etc. shall be effective when actually received by the addressee or at such address.</w:t>
      </w:r>
    </w:p>
    <w:p>
      <w:pPr>
        <w:spacing w:after="0" w:line="16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300" w:firstLine="216"/>
        <w:spacing w:after="0" w:line="271" w:lineRule="auto"/>
        <w:rPr>
          <w:sz w:val="20"/>
          <w:szCs w:val="20"/>
          <w:color w:val="auto"/>
        </w:rPr>
      </w:pPr>
      <w:r>
        <w:rPr>
          <w:rFonts w:ascii="Times New Roman" w:cs="Times New Roman" w:eastAsia="Times New Roman" w:hAnsi="Times New Roman"/>
          <w:sz w:val="22"/>
          <w:szCs w:val="22"/>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81"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Benefit</w:t>
      </w:r>
      <w:r>
        <w:rPr>
          <w:rFonts w:ascii="Times New Roman" w:cs="Times New Roman" w:eastAsia="Times New Roman" w:hAnsi="Times New Roman"/>
          <w:sz w:val="22"/>
          <w:szCs w:val="22"/>
          <w:b w:val="1"/>
          <w:bCs w:val="1"/>
          <w:color w:val="auto"/>
        </w:rPr>
        <w:t>.</w:t>
      </w:r>
    </w:p>
    <w:p>
      <w:pPr>
        <w:spacing w:after="0" w:line="129" w:lineRule="exact"/>
        <w:rPr>
          <w:rFonts w:ascii="Times New Roman" w:cs="Times New Roman" w:eastAsia="Times New Roman" w:hAnsi="Times New Roman"/>
          <w:sz w:val="22"/>
          <w:szCs w:val="22"/>
          <w:b w:val="1"/>
          <w:bCs w:val="1"/>
          <w:color w:val="auto"/>
        </w:rPr>
      </w:pPr>
    </w:p>
    <w:p>
      <w:pPr>
        <w:ind w:right="240" w:firstLine="656"/>
        <w:spacing w:after="0" w:line="257" w:lineRule="auto"/>
        <w:tabs>
          <w:tab w:leader="none" w:pos="12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72" w:lineRule="exact"/>
        <w:rPr>
          <w:rFonts w:ascii="Times New Roman" w:cs="Times New Roman" w:eastAsia="Times New Roman" w:hAnsi="Times New Roman"/>
          <w:sz w:val="22"/>
          <w:szCs w:val="22"/>
          <w:color w:val="auto"/>
        </w:rPr>
      </w:pPr>
    </w:p>
    <w:p>
      <w:pPr>
        <w:ind w:right="80" w:firstLine="656"/>
        <w:spacing w:after="0" w:line="272" w:lineRule="auto"/>
        <w:tabs>
          <w:tab w:leader="none" w:pos="1291"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60" w:lineRule="exact"/>
        <w:rPr>
          <w:rFonts w:ascii="Times New Roman" w:cs="Times New Roman" w:eastAsia="Times New Roman" w:hAnsi="Times New Roman"/>
          <w:sz w:val="21"/>
          <w:szCs w:val="21"/>
          <w:color w:val="auto"/>
        </w:rPr>
      </w:pPr>
    </w:p>
    <w:p>
      <w:pPr>
        <w:ind w:right="140" w:firstLine="656"/>
        <w:spacing w:after="0" w:line="251" w:lineRule="auto"/>
        <w:tabs>
          <w:tab w:leader="none" w:pos="12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620" w:firstLine="212"/>
        <w:spacing w:after="0" w:line="271" w:lineRule="auto"/>
        <w:rPr>
          <w:sz w:val="20"/>
          <w:szCs w:val="20"/>
          <w:color w:val="auto"/>
        </w:rPr>
      </w:pPr>
      <w:r>
        <w:rPr>
          <w:rFonts w:ascii="Times New Roman" w:cs="Times New Roman" w:eastAsia="Times New Roman" w:hAnsi="Times New Roman"/>
          <w:sz w:val="22"/>
          <w:szCs w:val="22"/>
          <w:color w:val="auto"/>
        </w:rPr>
        <w:t>The provisions of this Agreement shall be construed in accordance with the laws of the Commonwealth of Pennsylvania without reference to principles of conflicts of laws.</w:t>
      </w:r>
    </w:p>
    <w:p>
      <w:pPr>
        <w:spacing w:after="0" w:line="19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b w:val="1"/>
          <w:bCs w:val="1"/>
          <w:color w:val="auto"/>
        </w:rPr>
        <w:t>.</w:t>
      </w:r>
    </w:p>
    <w:p>
      <w:pPr>
        <w:spacing w:after="0" w:line="115" w:lineRule="exact"/>
        <w:rPr>
          <w:rFonts w:ascii="Times New Roman" w:cs="Times New Roman" w:eastAsia="Times New Roman" w:hAnsi="Times New Roman"/>
          <w:sz w:val="22"/>
          <w:szCs w:val="22"/>
          <w:b w:val="1"/>
          <w:bCs w:val="1"/>
          <w:color w:val="auto"/>
        </w:rPr>
      </w:pPr>
    </w:p>
    <w:p>
      <w:pPr>
        <w:ind w:firstLine="656"/>
        <w:spacing w:after="0" w:line="268" w:lineRule="auto"/>
        <w:tabs>
          <w:tab w:leader="none" w:pos="129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change in control provisions set forth in the Company’s annual incentive plan and long-term incentive plans, this Agreement represents the entire agreement and understanding of the parties with respect to the subject matter hereof. The Manager understands and acknowledges that the Company’s severance plan, annual incentive plan and long-term incentive plans are hereby amended with respect to the Manager to avoid duplication of benefits, as provided in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82" w:lineRule="exact"/>
        <w:rPr>
          <w:sz w:val="20"/>
          <w:szCs w:val="20"/>
          <w:color w:val="auto"/>
        </w:rPr>
      </w:pPr>
    </w:p>
    <w:p>
      <w:pPr>
        <w:ind w:right="160" w:firstLine="656"/>
        <w:spacing w:after="0" w:line="272" w:lineRule="auto"/>
        <w:tabs>
          <w:tab w:leader="none" w:pos="129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56"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400" w:firstLine="212"/>
        <w:spacing w:after="0" w:line="284" w:lineRule="auto"/>
        <w:rPr>
          <w:sz w:val="20"/>
          <w:szCs w:val="20"/>
          <w:color w:val="auto"/>
        </w:rPr>
      </w:pPr>
      <w:r>
        <w:rPr>
          <w:rFonts w:ascii="Times New Roman" w:cs="Times New Roman" w:eastAsia="Times New Roman" w:hAnsi="Times New Roman"/>
          <w:sz w:val="22"/>
          <w:szCs w:val="22"/>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6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116" w:lineRule="exact"/>
        <w:rPr>
          <w:sz w:val="20"/>
          <w:szCs w:val="20"/>
          <w:color w:val="auto"/>
        </w:rPr>
      </w:pPr>
    </w:p>
    <w:p>
      <w:pPr>
        <w:ind w:right="40" w:firstLine="216"/>
        <w:spacing w:after="0" w:line="271" w:lineRule="auto"/>
        <w:rPr>
          <w:sz w:val="20"/>
          <w:szCs w:val="20"/>
          <w:color w:val="auto"/>
        </w:rPr>
      </w:pPr>
      <w:r>
        <w:rPr>
          <w:rFonts w:ascii="Times New Roman" w:cs="Times New Roman" w:eastAsia="Times New Roman" w:hAnsi="Times New Roman"/>
          <w:sz w:val="22"/>
          <w:szCs w:val="22"/>
          <w:color w:val="auto"/>
        </w:rPr>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8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129" w:lineRule="exact"/>
        <w:rPr>
          <w:sz w:val="20"/>
          <w:szCs w:val="20"/>
          <w:color w:val="auto"/>
        </w:rPr>
      </w:pPr>
    </w:p>
    <w:p>
      <w:pPr>
        <w:ind w:firstLine="212"/>
        <w:spacing w:after="0" w:line="249" w:lineRule="auto"/>
        <w:rPr>
          <w:sz w:val="20"/>
          <w:szCs w:val="20"/>
          <w:color w:val="auto"/>
        </w:rPr>
      </w:pPr>
      <w:r>
        <w:rPr>
          <w:rFonts w:ascii="Times New Roman" w:cs="Times New Roman" w:eastAsia="Times New Roman" w:hAnsi="Times New Roman"/>
          <w:sz w:val="22"/>
          <w:szCs w:val="22"/>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209" w:lineRule="exact"/>
        <w:rPr>
          <w:sz w:val="20"/>
          <w:szCs w:val="20"/>
          <w:color w:val="auto"/>
        </w:rPr>
      </w:pPr>
    </w:p>
    <w:p>
      <w:pPr>
        <w:ind w:right="340" w:firstLine="216"/>
        <w:spacing w:after="0" w:line="257" w:lineRule="auto"/>
        <w:rPr>
          <w:sz w:val="20"/>
          <w:szCs w:val="20"/>
          <w:color w:val="auto"/>
        </w:rPr>
      </w:pPr>
      <w:r>
        <w:rPr>
          <w:rFonts w:ascii="Times New Roman" w:cs="Times New Roman" w:eastAsia="Times New Roman" w:hAnsi="Times New Roman"/>
          <w:sz w:val="22"/>
          <w:szCs w:val="22"/>
          <w:color w:val="auto"/>
        </w:rPr>
        <w:t>IN WITNESS WHEREOF, the Manager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TOM COLER</w:t>
      </w:r>
    </w:p>
    <w:p>
      <w:pPr>
        <w:spacing w:after="0" w:line="25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u w:val="single" w:color="auto"/>
          <w:color w:val="auto"/>
        </w:rPr>
        <w:t>[/s/ TOM COLER]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160"/>
          </w:cols>
          <w:pgMar w:left="320" w:top="1440" w:right="419" w:bottom="1440" w:gutter="0" w:footer="0" w:header="0"/>
        </w:sectPr>
      </w:pPr>
    </w:p>
    <w:bookmarkStart w:id="59" w:name="page60"/>
    <w:bookmarkEnd w:id="59"/>
    <w:p>
      <w:pPr>
        <w:spacing w:after="0" w:line="200" w:lineRule="exact"/>
        <w:rPr>
          <w:sz w:val="20"/>
          <w:szCs w:val="20"/>
          <w:color w:val="auto"/>
        </w:rPr>
      </w:pPr>
    </w:p>
    <w:p>
      <w:pPr>
        <w:spacing w:after="0" w:line="27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QUAKER CHEMICAL CORPORATION DBA QUAKER HOUGHTON</w:t>
      </w:r>
    </w:p>
    <w:p>
      <w:pPr>
        <w:spacing w:after="0" w:line="2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Title:_____________________________________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9979"/>
          </w:cols>
          <w:pgMar w:left="480" w:top="1440" w:right="1440" w:bottom="1440" w:gutter="0" w:footer="0" w:header="0"/>
        </w:sectPr>
      </w:pPr>
    </w:p>
    <w:bookmarkStart w:id="60" w:name="page61"/>
    <w:bookmarkEnd w:id="60"/>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97355" cy="651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97355" cy="65151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current compensation structure at Quaker Houghton (the “Company”) for a member of the Board of Directors of the Company (the “Board”), </w:t>
      </w:r>
      <w:r>
        <w:rPr>
          <w:rFonts w:ascii="Times New Roman" w:cs="Times New Roman" w:eastAsia="Times New Roman" w:hAnsi="Times New Roman"/>
          <w:sz w:val="18"/>
          <w:szCs w:val="18"/>
          <w:b w:val="1"/>
          <w:bCs w:val="1"/>
          <w:color w:val="auto"/>
        </w:rPr>
        <w:t>###PARTICIPANT_NAME###</w:t>
      </w:r>
      <w:r>
        <w:rPr>
          <w:rFonts w:ascii="Times New Roman" w:cs="Times New Roman" w:eastAsia="Times New Roman" w:hAnsi="Times New Roman"/>
          <w:sz w:val="18"/>
          <w:szCs w:val="18"/>
          <w:color w:val="auto"/>
        </w:rPr>
        <w:t xml:space="preserve"> (the “Grantee”), is hereby issued </w:t>
      </w:r>
      <w:r>
        <w:rPr>
          <w:rFonts w:ascii="Times New Roman" w:cs="Times New Roman" w:eastAsia="Times New Roman" w:hAnsi="Times New Roman"/>
          <w:sz w:val="18"/>
          <w:szCs w:val="18"/>
          <w:b w:val="1"/>
          <w:bCs w:val="1"/>
          <w:color w:val="auto"/>
        </w:rPr>
        <w:t>###TOTAL_AWARDS###</w:t>
      </w:r>
      <w:r>
        <w:rPr>
          <w:rFonts w:ascii="Times New Roman" w:cs="Times New Roman" w:eastAsia="Times New Roman" w:hAnsi="Times New Roman"/>
          <w:sz w:val="18"/>
          <w:szCs w:val="18"/>
          <w:color w:val="auto"/>
        </w:rPr>
        <w:t xml:space="preserve"> restricted stock units (“RSUs”) of the Company as a Restricted Stock Unit Award (the “Award”) under the Quaker Houghton Long-Term Performance Incentive Plan (the “2024 Plan”) representing a</w:t>
      </w:r>
    </w:p>
    <w:p>
      <w:pPr>
        <w:spacing w:after="0" w:line="1" w:lineRule="exact"/>
        <w:rPr>
          <w:sz w:val="20"/>
          <w:szCs w:val="20"/>
          <w:color w:val="auto"/>
        </w:rPr>
      </w:pPr>
    </w:p>
    <w:p>
      <w:pPr>
        <w:spacing w:after="0"/>
        <w:tabs>
          <w:tab w:leader="none" w:pos="2240" w:val="left"/>
          <w:tab w:leader="none" w:pos="3100" w:val="left"/>
          <w:tab w:leader="none" w:pos="3940" w:val="left"/>
          <w:tab w:leader="none" w:pos="5080" w:val="left"/>
          <w:tab w:leader="none" w:pos="5640" w:val="left"/>
          <w:tab w:leader="none" w:pos="6200" w:val="left"/>
          <w:tab w:leader="none" w:pos="8380" w:val="left"/>
          <w:tab w:leader="none" w:pos="9060" w:val="left"/>
          <w:tab w:leader="none" w:pos="10200" w:val="left"/>
          <w:tab w:leader="none" w:pos="11080" w:val="left"/>
        </w:tabs>
        <w:rPr>
          <w:sz w:val="20"/>
          <w:szCs w:val="20"/>
          <w:color w:val="auto"/>
        </w:rPr>
      </w:pPr>
      <w:r>
        <w:rPr>
          <w:rFonts w:ascii="Times New Roman" w:cs="Times New Roman" w:eastAsia="Times New Roman" w:hAnsi="Times New Roman"/>
          <w:sz w:val="18"/>
          <w:szCs w:val="18"/>
          <w:b w:val="1"/>
          <w:bCs w:val="1"/>
          <w:color w:val="auto"/>
        </w:rPr>
        <w:t>###TOTAL_VALUE###</w:t>
      </w:r>
      <w:r>
        <w:rPr>
          <w:sz w:val="20"/>
          <w:szCs w:val="20"/>
          <w:color w:val="auto"/>
        </w:rPr>
        <w:tab/>
      </w: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award</w:t>
      </w:r>
      <w:r>
        <w:rPr>
          <w:sz w:val="20"/>
          <w:szCs w:val="20"/>
          <w:color w:val="auto"/>
        </w:rPr>
        <w:tab/>
      </w:r>
      <w:r>
        <w:rPr>
          <w:rFonts w:ascii="Times New Roman" w:cs="Times New Roman" w:eastAsia="Times New Roman" w:hAnsi="Times New Roman"/>
          <w:sz w:val="18"/>
          <w:szCs w:val="18"/>
          <w:color w:val="auto"/>
        </w:rPr>
        <w:t>calculated</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b w:val="1"/>
          <w:bCs w:val="1"/>
          <w:color w:val="auto"/>
        </w:rPr>
        <w:t>###GRANT_DATE###</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“Effective</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at</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###MARKET_PRICE_AT_TIME_OF_GRANT### </w:t>
      </w:r>
      <w:r>
        <w:rPr>
          <w:rFonts w:ascii="Times New Roman" w:cs="Times New Roman" w:eastAsia="Times New Roman" w:hAnsi="Times New Roman"/>
          <w:sz w:val="18"/>
          <w:szCs w:val="18"/>
          <w:color w:val="auto"/>
        </w:rPr>
        <w:t>per RSU. Each vested RSU entitles Grantee to receive one share of Common Stock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Distribution Date (as defined below). This Award is subject to Grantee’s acceptance of the terms and conditions of this Award set forth in this agreement (the “Agreement”).</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Except as provided herein and in the 2024 Plan, RSUs subject to this Award will vest in a single installment on the earlier of, (i) </w:t>
      </w:r>
      <w:r>
        <w:rPr>
          <w:rFonts w:ascii="Times New Roman" w:cs="Times New Roman" w:eastAsia="Times New Roman" w:hAnsi="Times New Roman"/>
          <w:sz w:val="18"/>
          <w:szCs w:val="18"/>
          <w:b w:val="1"/>
          <w:bCs w:val="1"/>
          <w:color w:val="auto"/>
        </w:rPr>
        <w:t xml:space="preserve">###FIRST_VEST_DATE###, </w:t>
      </w:r>
      <w:r>
        <w:rPr>
          <w:rFonts w:ascii="Times New Roman" w:cs="Times New Roman" w:eastAsia="Times New Roman" w:hAnsi="Times New Roman"/>
          <w:sz w:val="18"/>
          <w:szCs w:val="18"/>
          <w:color w:val="auto"/>
        </w:rPr>
        <w:t>or (ii) if Grantee’s retirement date is the date of the Company’s annual meeting in the next service year (and Grantee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for re-election to serve a new term on the Board), the day before the date of the Company’s annual meeting in that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and conditions of this Award are governed by this Agreement and the 2024 Plan. Unless otherwise defined herein, terms used in this Agreement have the meanings assigned to them in the 2024 Plan. In the event of any inconsistency between the terms of this Agreement and the terms of the 2024 Plan, the terms of the 2024 Plan shall govern.</w:t>
      </w:r>
    </w:p>
    <w:p>
      <w:pPr>
        <w:spacing w:after="0" w:line="68" w:lineRule="exact"/>
        <w:rPr>
          <w:sz w:val="20"/>
          <w:szCs w:val="20"/>
          <w:color w:val="auto"/>
        </w:rPr>
      </w:pPr>
    </w:p>
    <w:p>
      <w:pPr>
        <w:ind w:left="340" w:right="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Date of this Award, the RSUs will be credited to a separate account maintained by the 2024 Plan’s third-party administrator on Grantee’s behalf.</w:t>
      </w:r>
    </w:p>
    <w:p>
      <w:pPr>
        <w:spacing w:after="0" w:line="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may not be transferred in any manner other than by will or the laws of descent or distribution.</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not actual shares of Common Stock, and do not have voting rights.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receive dividend equivalents on RSUs. On each date that the Company pays a cash dividend to holders of Common Stock, the Company, through the 2024 Plan’s third-party administrator, will credit to Grantee’s account an additional number of RSUs equal to the total number of RSUs credited to Grantee’s account on such date, multiplied by the dollar amount of the per share cash dividend, and divided by the Fair Market Value of a share of Common Stock on such date. RSUs credited pursuant to this paragraph will be subject to the same terms and conditions, and will be paid at the same time and in the same form, as the RSUs to which the dividend equivalent rights relate.</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2024 Plan, unvested RSUs will be forfeited in the event Grantee’s Board directorship ends prior to the completion of the vesting period, unless such termination is due to (i) death, (ii) Total Disability or (iii) retirement at or after the retirement age under the Board’s retirement policy. Any fractional RSUs will be forfeited.</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vested RSUs, a corresponding number of actual shares of Common Stock will be deposited into a stock plan account established under Grantee’s name by the 2024 Plan’s third-party administrator in the calendar year in which the vesting date or, if applicable, within ninety (90) days after a Covered Termination occurs. The date of such transfer shall be referred to as the “Distribution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Quaker Chemical Corporation</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Quaker Houghton Company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901 E. Hector Street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Conshohocken, PA 19428-2380</w:t>
      </w:r>
    </w:p>
    <w:p>
      <w:pPr>
        <w:spacing w:after="0" w:line="16"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T: 610.832.4000</w:t>
      </w:r>
    </w:p>
    <w:p>
      <w:pPr>
        <w:spacing w:after="0" w:line="24" w:lineRule="exact"/>
        <w:rPr>
          <w:sz w:val="20"/>
          <w:szCs w:val="20"/>
          <w:color w:val="auto"/>
        </w:rPr>
      </w:pPr>
    </w:p>
    <w:p>
      <w:pPr>
        <w:ind w:left="10060"/>
        <w:spacing w:after="0"/>
        <w:rPr>
          <w:sz w:val="20"/>
          <w:szCs w:val="20"/>
          <w:color w:val="auto"/>
        </w:rPr>
      </w:pPr>
      <w:r>
        <w:rPr>
          <w:rFonts w:ascii="Arial" w:cs="Arial" w:eastAsia="Arial" w:hAnsi="Arial"/>
          <w:sz w:val="12"/>
          <w:szCs w:val="12"/>
          <w:color w:val="auto"/>
        </w:rPr>
        <w:t>quakerhoughton.com</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48" w:lineRule="exact"/>
        <w:rPr>
          <w:sz w:val="20"/>
          <w:szCs w:val="20"/>
          <w:color w:val="auto"/>
        </w:rPr>
      </w:pPr>
    </w:p>
    <w:p>
      <w:pPr>
        <w:jc w:val="both"/>
        <w:ind w:left="332" w:hanging="332"/>
        <w:spacing w:after="0" w:line="258" w:lineRule="auto"/>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Grantee or to Grantee’s beneficiary upon vesting of the RSUs hereunder will be subject to withholding by the 2024 Plan’s third-party administrator of amounts sufficient to cover the applicable withholding obligations. In the event that any required tax withholding upon the settlement of such RSUs exceeds your other compensation due from the Company, Grantee agrees to remit to the Company, as a condition to settlement of such RSUs, such additional amounts in cash as are necessary to satisfy the required withholding. Any and all withholding obligations may be settled with shares of Common Stock.</w:t>
      </w:r>
    </w:p>
    <w:p>
      <w:pPr>
        <w:spacing w:after="0" w:line="75"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Grantee’s right to receive or retain this Award, to retain any amount received pursuant to this Award (in cash or Common Stock) and, in the case of Common Stock received pursuant to this Award, to retain any profit or gain the Grantee realized in connection with this Award, shall be subject to any recoupment or “clawback” policy adopted by the Company.</w:t>
      </w:r>
    </w:p>
    <w:p>
      <w:pPr>
        <w:spacing w:after="0" w:line="67" w:lineRule="exact"/>
        <w:rPr>
          <w:rFonts w:ascii="Times New Roman" w:cs="Times New Roman" w:eastAsia="Times New Roman" w:hAnsi="Times New Roman"/>
          <w:sz w:val="18"/>
          <w:szCs w:val="18"/>
          <w:color w:val="auto"/>
        </w:rPr>
      </w:pPr>
    </w:p>
    <w:p>
      <w:pPr>
        <w:jc w:val="both"/>
        <w:ind w:left="332" w:hanging="332"/>
        <w:spacing w:after="0" w:line="247" w:lineRule="auto"/>
        <w:tabs>
          <w:tab w:leader="none" w:pos="3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 Grantee is a specified employee (as defined in Treas. Reg. §1.409A-1(i)), any payment or benefit under this Agreement that constitutes deferred compensation subject to Code Section 409A and for which the payment event is separation from service (as defined in Treas. Reg. §1.409A-1(h)) shall not be made or provided to the Grantee before the date that is six (6) months after the date of the Grantee’s separation from service. Any payment or benefit that is delayed pursuant to this paragraph shall be made or provided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business day of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the Grantee’s separation from service occurs. With respect to any cash payment delayed pursuant to this paragraph, the delayed payment shall include interest, at the Wall Street Journal Prime Rate published in the Wall Street Journal on the date of the Grantee’s separation from service (or the previous business day if such date is not a business day), for the period from the date the payment would have been made but for this paragraph through the date payment is made. The provisions of this paragraph shall apply only to the extent required to avoid a Grantee’s incurrence of any additional tax or interest under Code Section 409A. To the extent any payment or benefit under the 2024 Plan constitutes deferred compensation subject to Code Section 409A, this 2024 Plan is intended to comply with Code Section 409A and shall be administered, interpreted and construed in accordance therewith to avoid the imposition of additional tax under Code Section 409A.</w:t>
      </w:r>
    </w:p>
    <w:p>
      <w:pPr>
        <w:spacing w:after="0" w:line="84" w:lineRule="exact"/>
        <w:rPr>
          <w:rFonts w:ascii="Times New Roman" w:cs="Times New Roman" w:eastAsia="Times New Roman" w:hAnsi="Times New Roman"/>
          <w:sz w:val="18"/>
          <w:szCs w:val="18"/>
          <w:color w:val="auto"/>
        </w:rPr>
      </w:pPr>
    </w:p>
    <w:p>
      <w:pPr>
        <w:ind w:left="332" w:hanging="332"/>
        <w:spacing w:after="0" w:line="282"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2024 Plan or this Agreement will be construed as creating any right in the Grantee to continued employment or service, or as altering or amending the existing terms and conditions of the Grantee’s employment or service.</w:t>
      </w:r>
    </w:p>
    <w:p>
      <w:pPr>
        <w:spacing w:after="0" w:line="53"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given hereunder shall be mailed by registered or certified mail to the Company to the attention of its Secretary, at 901 E. Hector Street, Conshohocken, Pennsylvania 19428, and to Grantee at Grantee’s address as it appears on the Company’s books and records unless either of said parties has duly notified the other in writing of a change in address.</w:t>
      </w:r>
    </w:p>
    <w:p>
      <w:pPr>
        <w:spacing w:after="0" w:line="67" w:lineRule="exact"/>
        <w:rPr>
          <w:rFonts w:ascii="Times New Roman" w:cs="Times New Roman" w:eastAsia="Times New Roman" w:hAnsi="Times New Roman"/>
          <w:sz w:val="18"/>
          <w:szCs w:val="18"/>
          <w:color w:val="auto"/>
        </w:rPr>
      </w:pPr>
    </w:p>
    <w:p>
      <w:pPr>
        <w:ind w:left="332" w:hanging="332"/>
        <w:spacing w:after="0" w:line="282"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preempted by Federal law, this Agreement shall be construed, administered and governed in all respects under and by the laws of the Commonwealth of Pennsylvania, without giving effect to its conflict of laws principles.</w:t>
      </w:r>
    </w:p>
    <w:p>
      <w:pPr>
        <w:spacing w:after="0" w:line="5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all the understandings between the parties hereto pertaining to the matter referred to herein, and supersedes all undertakings and agreements, whether oral or in writing, previously entered into by them with respect thereto. Grantee represents that, in executing this Agreement, Grantee has not relied upon any representation or statement not set forth herein made by the Company with regard to the subject matter of this Agreement.</w:t>
      </w:r>
    </w:p>
    <w:p>
      <w:pPr>
        <w:spacing w:after="0" w:line="7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QUAKER HOUGHTON</w:t>
      </w:r>
    </w:p>
    <w:p>
      <w:pPr>
        <w:spacing w:after="0" w:line="200" w:lineRule="exact"/>
        <w:rPr>
          <w:sz w:val="20"/>
          <w:szCs w:val="20"/>
          <w:color w:val="auto"/>
        </w:rPr>
      </w:pPr>
    </w:p>
    <w:p>
      <w:pPr>
        <w:spacing w:after="0" w:line="26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-7620</wp:posOffset>
            </wp:positionV>
            <wp:extent cx="685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Robert T. Traub</w:t>
      </w:r>
    </w:p>
    <w:p>
      <w:pPr>
        <w:sectPr>
          <w:pgSz w:w="11900" w:h="16838" w:orient="portrait"/>
          <w:cols w:equalWidth="0" w:num="1">
            <w:col w:w="11232"/>
          </w:cols>
          <w:pgMar w:left="328" w:top="1440" w:right="339" w:bottom="1440" w:gutter="0" w:footer="0" w:header="0"/>
        </w:sectPr>
      </w:pPr>
    </w:p>
    <w:bookmarkStart w:id="62" w:name="page63"/>
    <w:bookmarkEnd w:id="62"/>
    <w:p>
      <w:pPr>
        <w:jc w:val="both"/>
        <w:ind w:firstLine="259"/>
        <w:spacing w:after="0" w:line="256" w:lineRule="auto"/>
        <w:rPr>
          <w:sz w:val="20"/>
          <w:szCs w:val="20"/>
          <w:color w:val="auto"/>
        </w:rPr>
      </w:pPr>
      <w:r>
        <w:rPr>
          <w:rFonts w:ascii="Times New Roman" w:cs="Times New Roman" w:eastAsia="Times New Roman" w:hAnsi="Times New Roman"/>
          <w:sz w:val="18"/>
          <w:szCs w:val="18"/>
          <w:color w:val="auto"/>
        </w:rPr>
        <w:t>Grantee represents that Grantee is familiar with the terms and provisions of the 2024 Plan, and hereby accepts this Award subject to the terms and provisions of the 2024 Plan insofar as they relate to RSUs granted thereunder. Grantee agrees hereby to accept as binding, conclusive, and final all decisions or interpretations of the Company upon any questions arising under the 2024 Plan or this Grant. Grantee authorizes the Company to withhold in accordance with applicable law from any compensation payable to Grantee any taxes required to be withheld by Federal, state, or local law as a result of the vesting of this Award.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-7620</wp:posOffset>
            </wp:positionV>
            <wp:extent cx="6858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###PARTICIPANT_NAME###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Date: ###ACCEPTANCE_DATE###</w:t>
      </w:r>
    </w:p>
    <w:p>
      <w:pPr>
        <w:sectPr>
          <w:pgSz w:w="11900" w:h="16838" w:orient="portrait"/>
          <w:cols w:equalWidth="0" w:num="1">
            <w:col w:w="11240"/>
          </w:cols>
          <w:pgMar w:left="320" w:top="133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Compensation and Human Resources Committee (the “Committee”) of the Board of Directors of Quaker Houghton (the “Company”) has approved the award (the “Award”) to </w:t>
      </w:r>
      <w:r>
        <w:rPr>
          <w:rFonts w:ascii="Times New Roman" w:cs="Times New Roman" w:eastAsia="Times New Roman" w:hAnsi="Times New Roman"/>
          <w:sz w:val="18"/>
          <w:szCs w:val="18"/>
          <w:b w:val="1"/>
          <w:bCs w:val="1"/>
          <w:color w:val="auto"/>
        </w:rPr>
        <w:t>###PARTICIPANT_NAME###</w:t>
      </w:r>
      <w:r>
        <w:rPr>
          <w:rFonts w:ascii="Times New Roman" w:cs="Times New Roman" w:eastAsia="Times New Roman" w:hAnsi="Times New Roman"/>
          <w:sz w:val="18"/>
          <w:szCs w:val="18"/>
          <w:color w:val="auto"/>
        </w:rPr>
        <w:t xml:space="preserve"> (the “Grantee”), of </w:t>
      </w:r>
      <w:r>
        <w:rPr>
          <w:rFonts w:ascii="Times New Roman" w:cs="Times New Roman" w:eastAsia="Times New Roman" w:hAnsi="Times New Roman"/>
          <w:sz w:val="18"/>
          <w:szCs w:val="18"/>
          <w:b w:val="1"/>
          <w:bCs w:val="1"/>
          <w:color w:val="auto"/>
        </w:rPr>
        <w:t>###TOTAL_AWARDS###</w:t>
      </w:r>
      <w:r>
        <w:rPr>
          <w:rFonts w:ascii="Times New Roman" w:cs="Times New Roman" w:eastAsia="Times New Roman" w:hAnsi="Times New Roman"/>
          <w:sz w:val="18"/>
          <w:szCs w:val="18"/>
          <w:color w:val="auto"/>
        </w:rPr>
        <w:t xml:space="preserve"> Restricted Stock Units (“RSUs”) under the Quaker Houghton Long-Term Performance Incentive Plan (the “2024 Plan”). Each vested RSU entitles Grantee to receive one share of Common Stock of the Company on the Distribution Date. Subject to Grantee’s acceptance of the terms and conditions of this Award set forth in this agreement (the “Agreement”), this Award is effective as of </w:t>
      </w:r>
      <w:r>
        <w:rPr>
          <w:rFonts w:ascii="Times New Roman" w:cs="Times New Roman" w:eastAsia="Times New Roman" w:hAnsi="Times New Roman"/>
          <w:sz w:val="18"/>
          <w:szCs w:val="18"/>
          <w:b w:val="1"/>
          <w:bCs w:val="1"/>
          <w:color w:val="auto"/>
        </w:rPr>
        <w:t>###GRANT_DATE###</w:t>
      </w:r>
      <w:r>
        <w:rPr>
          <w:rFonts w:ascii="Times New Roman" w:cs="Times New Roman" w:eastAsia="Times New Roman" w:hAnsi="Times New Roman"/>
          <w:sz w:val="18"/>
          <w:szCs w:val="18"/>
          <w:color w:val="auto"/>
        </w:rPr>
        <w:t xml:space="preserve"> (the “Effective Date”).</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Except as provided herein and in the 2024 Plan, RSUs subject to this Award will vest per the vesting schedule listed below. The initial vesting will occur on </w:t>
      </w:r>
      <w:r>
        <w:rPr>
          <w:rFonts w:ascii="Times New Roman" w:cs="Times New Roman" w:eastAsia="Times New Roman" w:hAnsi="Times New Roman"/>
          <w:sz w:val="18"/>
          <w:szCs w:val="18"/>
          <w:b w:val="1"/>
          <w:bCs w:val="1"/>
          <w:color w:val="auto"/>
        </w:rPr>
        <w:t xml:space="preserve">###FIRST_VEST_DATE### </w:t>
      </w:r>
      <w:r>
        <w:rPr>
          <w:rFonts w:ascii="Times New Roman" w:cs="Times New Roman" w:eastAsia="Times New Roman" w:hAnsi="Times New Roman"/>
          <w:sz w:val="18"/>
          <w:szCs w:val="18"/>
          <w:color w:val="auto"/>
        </w:rPr>
        <w:t>(the “Vesting Date”) (the period from the Effective Date to the Vesting Date, the “Restriction Period”).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###VEST_SCHEDULE_TABLE###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and conditions of this Award are governed by this Agreement and the 2024 Plan. Unless otherwise defined herein, terms used in this Agreement have the meanings assigned to them in the 2024 Plan. In the event of any inconsistency between the terms of this Agreement and the terms of the 2024 Plan, the terms of the 2024 Plan shall govern.</w:t>
      </w:r>
    </w:p>
    <w:p>
      <w:pPr>
        <w:spacing w:after="0" w:line="68"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Date of this Award, the RSUs will be credited to a separate account maintained by the 2024 Plan’s third-party administrator on Grantee’s behalf.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may not be transferred in any manner other than by will or the laws of descent or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not actual shares of Common Stock, and do not have voting rights.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receive dividend equivalents on RSUs. On each date that the Company pays a cash dividend to holders of Common Stock, the Company, through the 2024 Plan’s third-party administrator, will credit to Grantee’s account an additional number of RSUs equal to the total number of RSUs credited to Grantee’s account on such date, multiplied by the dollar amount of the per share cash dividend, and divided by the Fair Market Value of a share of Common Stock on such date. RSUs credited pursuant to this paragraph will be subject to the same terms and conditions, and will be paid at the same time and in the same form, as the RSUs to which the dividend equivalent rights relate.</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2024 Plan, unvested RSUs will be forfeited immediately after Grantee’s Termination of Service with the Company and its subsidiaries, unless such termination is due to death or Total Disability or by the Company without Cause, or on or after attainment of age sixty (60), in which case the unvested RSUs will vest on the date of termination on a pro rata basis (based on the number of full months of active service with the Company or a subsidiary during the Vesting Period over the total number of full months in the Vesting Period). In the event of a Covered Termination (generally a Termination of Service by action of the Company without Cause or a resignation for Good Reason in each case within two (2) years following a Change in Control), all unvested RSUs will fully vest as of the date of such Covered Termination. Any fractional RSUs will be forfeited.</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vested RSUs, a corresponding number of actual shares of Common Stock will be deposited into a stock plan account established under Grantee’s name by the 2024 Plan’s third-party administrator in the calendar year in which the vesting date or, if applicable, within ninety (90) days after a Covered Termination occurs. The date of such transfer shall be referred to as the “Distribution Date.”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Grantee or to Grantee’s beneficiary upon vesting of the RSUs hereunder will be subject to withholding by the 2024 Plan’s third-party administrator of amounts sufficient to cover the applicable withholding obligations. In the event that any required tax withholding upon the settlement of such RSUs exceeds your other compensation due from the Company, Grantee agrees to remit to the Company, as a condition to settlement of such RSUs, such additional amounts in cash as are necessary to satisfy the required withholding. Any and all withholding obligations may be settled with shares of Common Stock.</w:t>
      </w:r>
    </w:p>
    <w:p>
      <w:pPr>
        <w:sectPr>
          <w:pgSz w:w="11900" w:h="16838" w:orient="portrait"/>
          <w:cols w:equalWidth="0" w:num="1">
            <w:col w:w="11240"/>
          </w:cols>
          <w:pgMar w:left="320" w:top="1305" w:right="339" w:bottom="1440" w:gutter="0" w:footer="0" w:header="0"/>
        </w:sectPr>
      </w:pPr>
    </w:p>
    <w:bookmarkStart w:id="64" w:name="page65"/>
    <w:bookmarkEnd w:id="64"/>
    <w:p>
      <w:pPr>
        <w:jc w:val="both"/>
        <w:ind w:left="328" w:hanging="328"/>
        <w:spacing w:after="0" w:line="266"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Grantee’s right to receive or retain this Award, to retain any amount received pursuant to this Award (in cash or Common Stock) and, in the case of Common Stock received pursuant to this Award, to retain any profit or gain the Grantee realized in connection with this Award, shall be subject to any recoupment or “clawback” policy adopted by the Company.</w:t>
      </w:r>
    </w:p>
    <w:p>
      <w:pPr>
        <w:spacing w:after="0" w:line="67"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 Grantee is a specified employee (as defined in Treas. Reg. §1.409A-1(i)), any payment or benefit under this Agreement that constitutes deferred compensation subject to Code Section 409A and for which the payment event is separation from service (as defined in Treas. Reg. §1.409A-1(h)) shall not be made or provided to the Grantee before the date that is six</w:t>
      </w:r>
    </w:p>
    <w:p>
      <w:pPr>
        <w:spacing w:after="0" w:line="1" w:lineRule="exact"/>
        <w:rPr>
          <w:rFonts w:ascii="Times New Roman" w:cs="Times New Roman" w:eastAsia="Times New Roman" w:hAnsi="Times New Roman"/>
          <w:sz w:val="18"/>
          <w:szCs w:val="18"/>
          <w:color w:val="auto"/>
        </w:rPr>
      </w:pPr>
    </w:p>
    <w:p>
      <w:pPr>
        <w:jc w:val="both"/>
        <w:ind w:left="328"/>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after the date of the Grantee’s separation from service. Any payment or benefit that is delayed pursuant to this paragraph shall be made or provided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business day of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the Grantee’s separation from service occurs. With respect to any cash payment delayed pursuant to this paragraph, the delayed payment shall include interest, at the Wall Street Journal Prime Rate published in the Wall Street Journal on the date of the Grantee’s separation from service (or the previous business day if such date is not a business day), for the period from the date the payment would have been made but for this paragraph through the date payment is made. The provisions of this paragraph shall apply only to the extent required to avoid a Grantee’s incurrence of any additional tax or interest under Code Section 409A. To the extent any payment or benefit under the 2024 Plan constitutes deferred compensation subject to Code Section 409A, this 2024 Plan is intended to comply with Code Section 409A and shall be administered, interpreted and construed in accordance therewith to avoid the imposition of additional tax under Code Section 409A.</w:t>
      </w:r>
    </w:p>
    <w:p>
      <w:pPr>
        <w:spacing w:after="0" w:line="89"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2024 Plan or this Agreement will be construed as creating any right in the Grantee to continued employment or service, or as altering or amending the existing terms and conditions of the Grantee’s employment or service.</w:t>
      </w:r>
    </w:p>
    <w:p>
      <w:pPr>
        <w:spacing w:after="0" w:line="53"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given hereunder shall be mailed by registered or certified mail to the Company to the attention of its Secretary, at 901 E. Hector Street, Conshohocken, Pennsylvania 19428, and to Grantee at Grantee’s address as it appears on the Company’s books and records unless either of said parties has duly notified the other in writing of a change in address.</w:t>
      </w:r>
    </w:p>
    <w:p>
      <w:pPr>
        <w:spacing w:after="0" w:line="6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preempted by Federal law, this Agreement shall be construed, administered and governed in all respects under and by the laws of the Commonwealth of Pennsylvania, without giving effect to its conflict of laws principles.</w:t>
      </w:r>
    </w:p>
    <w:p>
      <w:pPr>
        <w:spacing w:after="0" w:line="5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all the understandings between the parties hereto pertaining to the matter referred to herein, and supersedes all undertakings and agreements, whether oral or in writing, previously entered into by them with respect thereto.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23"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auto"/>
        </w:rPr>
        <w:t>QUAKER HOUGHTON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6858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4388"/>
        <w:spacing w:after="0"/>
        <w:rPr>
          <w:sz w:val="20"/>
          <w:szCs w:val="20"/>
          <w:color w:val="auto"/>
        </w:rPr>
      </w:pPr>
      <w:r>
        <w:rPr>
          <w:rFonts w:ascii="Times New Roman" w:cs="Times New Roman" w:eastAsia="Times New Roman" w:hAnsi="Times New Roman"/>
          <w:sz w:val="18"/>
          <w:szCs w:val="18"/>
          <w:color w:val="auto"/>
        </w:rPr>
        <w:t>Andrew E. Tometich</w:t>
      </w:r>
    </w:p>
    <w:p>
      <w:pPr>
        <w:sectPr>
          <w:pgSz w:w="11900" w:h="16838" w:orient="portrait"/>
          <w:cols w:equalWidth="0" w:num="1">
            <w:col w:w="10908"/>
          </w:cols>
          <w:pgMar w:left="652" w:top="1174" w:right="339" w:bottom="1440" w:gutter="0" w:footer="0" w:header="0"/>
        </w:sectPr>
      </w:pPr>
    </w:p>
    <w:bookmarkStart w:id="65" w:name="page66"/>
    <w:bookmarkEnd w:id="65"/>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Grantee represents that Grantee is familiar with the terms and provisions of the 2024 Plan, and hereby accepts this Award subject to the terms and provisions of the 2024 Plan insofar as they relate to RSUs granted thereunder. Grantee agrees hereby to accept as binding, conclusive, and final all decisions or interpretations of the Committee upon any questions arising under the 2024 Plan or this Grant. Grantee authorizes the Company to withhold in accordance with applicable law from any compensation payable to Grantee any taxes required to be withheld by Federal, state, or local law as a result of the vesting of this Award.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-7620</wp:posOffset>
            </wp:positionV>
            <wp:extent cx="685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Date: ###ACCEPTANCE_DATE###</w:t>
      </w:r>
    </w:p>
    <w:p>
      <w:pPr>
        <w:sectPr>
          <w:pgSz w:w="11900" w:h="16838" w:orient="portrait"/>
          <w:cols w:equalWidth="0" w:num="1">
            <w:col w:w="11240"/>
          </w:cols>
          <w:pgMar w:left="320" w:top="1440" w:right="339" w:bottom="1440" w:gutter="0" w:footer="0" w:header="0"/>
        </w:sectPr>
      </w:pPr>
    </w:p>
    <w:bookmarkStart w:id="66" w:name="page67"/>
    <w:bookmarkEnd w:id="66"/>
    <w:p>
      <w:pPr>
        <w:ind w:right="780"/>
        <w:spacing w:after="0" w:line="28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97355" cy="651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697355" cy="651510"/>
                    </a:xfrm>
                    <a:prstGeom prst="rect">
                      <a:avLst/>
                    </a:prstGeom>
                    <a:noFill/>
                  </pic:spPr>
                </pic:pic>
              </a:graphicData>
            </a:graphic>
          </wp:anchor>
        </w:drawing>
        <w:t>CERTAIN IDENTIFIED INFORMATION HAS BEEN EXCLUDED FROM THE EXHIBIT BECAUSE IT IS BOTH NOT MATERIAL AND IS THE TYPE THAT THE REGISTRANT TREATS AS PRIVATE OR CONFIDENTIAL. OMITTED INFORMATION HAS BEEN REPLACED WITH BRACKETS AND 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AWARD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and Human Resources Committee of the Board of Directors (the “Committee”) of Quaker Houghton (the “Company”) has approved an award (the “Award”) to </w:t>
      </w:r>
      <w:r>
        <w:rPr>
          <w:rFonts w:ascii="Times New Roman" w:cs="Times New Roman" w:eastAsia="Times New Roman" w:hAnsi="Times New Roman"/>
          <w:sz w:val="18"/>
          <w:szCs w:val="18"/>
          <w:b w:val="1"/>
          <w:bCs w:val="1"/>
          <w:color w:val="auto"/>
        </w:rPr>
        <w:t>###PARTICIPANT_NAME###</w:t>
      </w:r>
      <w:r>
        <w:rPr>
          <w:rFonts w:ascii="Times New Roman" w:cs="Times New Roman" w:eastAsia="Times New Roman" w:hAnsi="Times New Roman"/>
          <w:sz w:val="18"/>
          <w:szCs w:val="18"/>
          <w:color w:val="auto"/>
        </w:rPr>
        <w:t xml:space="preserve"> (the “Grantee”), of </w:t>
      </w:r>
      <w:r>
        <w:rPr>
          <w:rFonts w:ascii="Times New Roman" w:cs="Times New Roman" w:eastAsia="Times New Roman" w:hAnsi="Times New Roman"/>
          <w:sz w:val="18"/>
          <w:szCs w:val="18"/>
          <w:b w:val="1"/>
          <w:bCs w:val="1"/>
          <w:color w:val="auto"/>
        </w:rPr>
        <w:t>###TOTAL_AWARDS###</w:t>
      </w:r>
      <w:r>
        <w:rPr>
          <w:rFonts w:ascii="Times New Roman" w:cs="Times New Roman" w:eastAsia="Times New Roman" w:hAnsi="Times New Roman"/>
          <w:sz w:val="18"/>
          <w:szCs w:val="18"/>
          <w:color w:val="auto"/>
        </w:rPr>
        <w:t xml:space="preserve"> performance stock units (the “PSUs,” the number of PSUs granted, the “Target PSU Award”) as of </w:t>
      </w:r>
      <w:r>
        <w:rPr>
          <w:rFonts w:ascii="Times New Roman" w:cs="Times New Roman" w:eastAsia="Times New Roman" w:hAnsi="Times New Roman"/>
          <w:sz w:val="18"/>
          <w:szCs w:val="18"/>
          <w:b w:val="1"/>
          <w:bCs w:val="1"/>
          <w:color w:val="auto"/>
        </w:rPr>
        <w:t>###GRANT_DATE###</w:t>
      </w:r>
      <w:r>
        <w:rPr>
          <w:rFonts w:ascii="Times New Roman" w:cs="Times New Roman" w:eastAsia="Times New Roman" w:hAnsi="Times New Roman"/>
          <w:sz w:val="18"/>
          <w:szCs w:val="18"/>
          <w:color w:val="auto"/>
        </w:rPr>
        <w:t xml:space="preserve"> (the “Grant Date”) under the Quaker Houghton Long-Term Performance Incentive Plan (the “2024 Plan”) subject to achievement of the performance criteria described in this Agreement (the “Agreement”). The Award is subject to your acceptance of the terms and conditions set forth in the Agreement and in the 2024 Plan. The level of payment can range from 0% to 200% of the Target PSU Award depending on the achievement of the performance criteria. Unless otherwise defined herein, terms used in this Agreement have the meanings assigned to them in the 2024 Plan. In the event of any inconsistency between the terms of this Agreement and the terms of the 2024 Plan, the terms of the 2024 Plan shall govern.</w:t>
      </w:r>
    </w:p>
    <w:p>
      <w:pPr>
        <w:spacing w:after="0" w:line="84" w:lineRule="exact"/>
        <w:rPr>
          <w:sz w:val="20"/>
          <w:szCs w:val="20"/>
          <w:color w:val="auto"/>
        </w:rPr>
      </w:pPr>
    </w:p>
    <w:p>
      <w:pPr>
        <w:jc w:val="both"/>
        <w:ind w:left="980" w:hanging="648"/>
        <w:spacing w:after="0" w:line="258"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Award (to the extent it is vested) will be paid in the calendar year following the calendar year in which the Performance Period ends. The number of shares of Quaker Houghton that will be paid under the Award will be equal to the sum of (x) (i) 50%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(ii) the payout percentage for the Relative Total Shareholder Return Achievement Percentile (“Relative TSR Achievement Percentile”) performance criterion </w:t>
      </w:r>
      <w:r>
        <w:rPr>
          <w:rFonts w:ascii="Times New Roman" w:cs="Times New Roman" w:eastAsia="Times New Roman" w:hAnsi="Times New Roman"/>
          <w:sz w:val="18"/>
          <w:szCs w:val="18"/>
          <w:i w:val="1"/>
          <w:iCs w:val="1"/>
          <w:color w:val="auto"/>
        </w:rPr>
        <w:t xml:space="preserve">times </w:t>
      </w:r>
      <w:r>
        <w:rPr>
          <w:rFonts w:ascii="Times New Roman" w:cs="Times New Roman" w:eastAsia="Times New Roman" w:hAnsi="Times New Roman"/>
          <w:sz w:val="18"/>
          <w:szCs w:val="18"/>
          <w:color w:val="auto"/>
        </w:rPr>
        <w:t>(iii) the Target PSU Award; and (y) (i) 50%</w:t>
      </w:r>
      <w:r>
        <w:rPr>
          <w:rFonts w:ascii="Times New Roman" w:cs="Times New Roman" w:eastAsia="Times New Roman" w:hAnsi="Times New Roman"/>
          <w:sz w:val="18"/>
          <w:szCs w:val="18"/>
          <w:i w:val="1"/>
          <w:iCs w:val="1"/>
          <w:color w:val="auto"/>
        </w:rPr>
        <w:t xml:space="preserve"> times </w:t>
      </w:r>
      <w:r>
        <w:rPr>
          <w:rFonts w:ascii="Times New Roman" w:cs="Times New Roman" w:eastAsia="Times New Roman" w:hAnsi="Times New Roman"/>
          <w:sz w:val="18"/>
          <w:szCs w:val="18"/>
          <w:color w:val="auto"/>
        </w:rPr>
        <w:t>(ii) the payout percentage for the Adjusted Return on Invested Capital (ROIC)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criterion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(iii) the Target PSU Award.</w:t>
      </w:r>
    </w:p>
    <w:p>
      <w:pPr>
        <w:spacing w:after="0" w:line="7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Achievement Percentile and the ROIC will be determined individually for each year during the three-year period from January 1, 2024, to December 31, 2026 (such three-year period, the “Performance Period”) and cumulatively for the full Performance Period. The payout percentage will be determined by assigning (i) a weight of 25% for performance during each of the three years during the Performance Period (for a total weight of 75%) and (ii) a weight of 25% for the cumulative performance during the Performance Period. The payout percentages (and vesting) of the Award will be determined by the Committee in its sole discretion. The Award will become vested as of the last day of the Performance Period to the extent determined by the Committee.</w:t>
      </w:r>
    </w:p>
    <w:p>
      <w:pPr>
        <w:spacing w:after="0" w:line="105" w:lineRule="exact"/>
        <w:rPr>
          <w:sz w:val="20"/>
          <w:szCs w:val="20"/>
          <w:color w:val="auto"/>
        </w:rPr>
      </w:pPr>
    </w:p>
    <w:tbl>
      <w:tblPr>
        <w:tblLayout w:type="fixed"/>
        <w:tblInd w:w="270" w:type="dxa"/>
        <w:tblCellMar>
          <w:top w:w="0" w:type="dxa"/>
          <w:left w:w="0" w:type="dxa"/>
          <w:bottom w:w="0" w:type="dxa"/>
          <w:right w:w="0" w:type="dxa"/>
        </w:tblCellMar>
      </w:tblPr>
      <w:tr>
        <w:trPr>
          <w:trHeight w:val="234"/>
        </w:trPr>
        <w:tc>
          <w:tcPr>
            <w:tcW w:w="470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Award Measure</w:t>
            </w:r>
          </w:p>
        </w:tc>
        <w:tc>
          <w:tcPr>
            <w:tcW w:w="16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Award Parameters as a % of Goal</w:t>
            </w:r>
          </w:p>
        </w:tc>
        <w:tc>
          <w:tcPr>
            <w:tcW w:w="13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4700" w:type="dxa"/>
            <w:vAlign w:val="bottom"/>
            <w:tcBorders>
              <w:left w:val="single" w:sz="8" w:color="auto"/>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43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Board Discretion to Pay Between 0%-200%of Target</w:t>
            </w:r>
          </w:p>
        </w:tc>
        <w:tc>
          <w:tcPr>
            <w:tcW w:w="0" w:type="dxa"/>
            <w:vAlign w:val="bottom"/>
          </w:tcPr>
          <w:p>
            <w:pPr>
              <w:spacing w:after="0"/>
              <w:rPr>
                <w:sz w:val="1"/>
                <w:szCs w:val="1"/>
                <w:color w:val="auto"/>
              </w:rPr>
            </w:pPr>
          </w:p>
        </w:tc>
      </w:tr>
      <w:tr>
        <w:trPr>
          <w:trHeight w:val="121"/>
        </w:trPr>
        <w:tc>
          <w:tcPr>
            <w:tcW w:w="470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43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Relative TSR Achievement Percentile* (relative to the</w:t>
            </w:r>
          </w:p>
        </w:tc>
        <w:tc>
          <w:tcPr>
            <w:tcW w:w="1680" w:type="dxa"/>
            <w:vAlign w:val="bottom"/>
            <w:tcBorders>
              <w:right w:val="single" w:sz="8" w:color="auto"/>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380" w:type="dxa"/>
            <w:vAlign w:val="bottom"/>
            <w:tcBorders>
              <w:right w:val="single" w:sz="8" w:color="auto"/>
            </w:tcBorders>
          </w:tcPr>
          <w:p>
            <w:pPr>
              <w:ind w:left="20"/>
              <w:spacing w:after="0" w:line="218"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p>
        </w:tc>
        <w:tc>
          <w:tcPr>
            <w:tcW w:w="0" w:type="dxa"/>
            <w:vAlign w:val="bottom"/>
          </w:tcPr>
          <w:p>
            <w:pPr>
              <w:spacing w:after="0"/>
              <w:rPr>
                <w:sz w:val="1"/>
                <w:szCs w:val="1"/>
                <w:color w:val="auto"/>
              </w:rPr>
            </w:pPr>
          </w:p>
        </w:tc>
      </w:tr>
      <w:tr>
        <w:trPr>
          <w:trHeight w:val="194"/>
        </w:trPr>
        <w:tc>
          <w:tcPr>
            <w:tcW w:w="4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TSR of companies in the S&amp;P 1500 Chemical Group)</w:t>
            </w:r>
          </w:p>
        </w:tc>
        <w:tc>
          <w:tcPr>
            <w:tcW w:w="168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percentile</w:t>
            </w:r>
          </w:p>
        </w:tc>
        <w:tc>
          <w:tcPr>
            <w:tcW w:w="0" w:type="dxa"/>
            <w:vAlign w:val="bottom"/>
          </w:tcPr>
          <w:p>
            <w:pPr>
              <w:spacing w:after="0"/>
              <w:rPr>
                <w:sz w:val="1"/>
                <w:szCs w:val="1"/>
                <w:color w:val="auto"/>
              </w:rPr>
            </w:pPr>
          </w:p>
        </w:tc>
      </w:tr>
      <w:tr>
        <w:trPr>
          <w:trHeight w:val="54"/>
        </w:trPr>
        <w:tc>
          <w:tcPr>
            <w:tcW w:w="4700" w:type="dxa"/>
            <w:vAlign w:val="bottom"/>
            <w:tcBorders>
              <w:left w:val="single" w:sz="8" w:color="auto"/>
              <w:right w:val="single" w:sz="8" w:color="auto"/>
            </w:tcBorders>
            <w:vMerge w:val="continue"/>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Percentage</w:t>
            </w:r>
          </w:p>
        </w:tc>
        <w:tc>
          <w:tcPr>
            <w:tcW w:w="16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50%</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100%</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200%</w:t>
            </w:r>
          </w:p>
        </w:tc>
        <w:tc>
          <w:tcPr>
            <w:tcW w:w="0" w:type="dxa"/>
            <w:vAlign w:val="bottom"/>
          </w:tcPr>
          <w:p>
            <w:pPr>
              <w:spacing w:after="0"/>
              <w:rPr>
                <w:sz w:val="1"/>
                <w:szCs w:val="1"/>
                <w:color w:val="auto"/>
              </w:rPr>
            </w:pPr>
          </w:p>
        </w:tc>
      </w:tr>
      <w:tr>
        <w:trPr>
          <w:trHeight w:val="40"/>
        </w:trPr>
        <w:tc>
          <w:tcPr>
            <w:tcW w:w="47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Return on Invested Capital (ROIC)*</w:t>
            </w:r>
          </w:p>
        </w:tc>
        <w:tc>
          <w:tcPr>
            <w:tcW w:w="1680" w:type="dxa"/>
            <w:vAlign w:val="bottom"/>
            <w:tcBorders>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[XX%]</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[XX%]</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[XX%]</w:t>
            </w:r>
          </w:p>
        </w:tc>
        <w:tc>
          <w:tcPr>
            <w:tcW w:w="0" w:type="dxa"/>
            <w:vAlign w:val="bottom"/>
          </w:tcPr>
          <w:p>
            <w:pPr>
              <w:spacing w:after="0"/>
              <w:rPr>
                <w:sz w:val="1"/>
                <w:szCs w:val="1"/>
                <w:color w:val="auto"/>
              </w:rPr>
            </w:pPr>
          </w:p>
        </w:tc>
      </w:tr>
      <w:tr>
        <w:trPr>
          <w:trHeight w:val="40"/>
        </w:trPr>
        <w:tc>
          <w:tcPr>
            <w:tcW w:w="47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Percentage</w:t>
            </w:r>
          </w:p>
        </w:tc>
        <w:tc>
          <w:tcPr>
            <w:tcW w:w="16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50%</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100%</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200%</w:t>
            </w:r>
          </w:p>
        </w:tc>
        <w:tc>
          <w:tcPr>
            <w:tcW w:w="0" w:type="dxa"/>
            <w:vAlign w:val="bottom"/>
          </w:tcPr>
          <w:p>
            <w:pPr>
              <w:spacing w:after="0"/>
              <w:rPr>
                <w:sz w:val="1"/>
                <w:szCs w:val="1"/>
                <w:color w:val="auto"/>
              </w:rPr>
            </w:pPr>
          </w:p>
        </w:tc>
      </w:tr>
      <w:tr>
        <w:trPr>
          <w:trHeight w:val="40"/>
        </w:trPr>
        <w:tc>
          <w:tcPr>
            <w:tcW w:w="4700" w:type="dxa"/>
            <w:vAlign w:val="bottom"/>
            <w:tcBorders>
              <w:left w:val="single" w:sz="8" w:color="auto"/>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achievement will be determined in the sole discretion of Quaker Houghton and may include adjustments relating to (i) accounting rule changes,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Board-approved strategic changes, (iii) legislation or regulations that significantly impact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Quaker Chemical Corporation</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Quaker Houghton Company</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901 E. Hector Street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Conshohocken, PA 19428-2380</w:t>
      </w:r>
    </w:p>
    <w:p>
      <w:pPr>
        <w:spacing w:after="0" w:line="16"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T: 610.832.4000</w:t>
      </w:r>
    </w:p>
    <w:p>
      <w:pPr>
        <w:spacing w:after="0" w:line="69" w:lineRule="exact"/>
        <w:rPr>
          <w:sz w:val="20"/>
          <w:szCs w:val="20"/>
          <w:color w:val="auto"/>
        </w:rPr>
      </w:pPr>
    </w:p>
    <w:p>
      <w:pPr>
        <w:ind w:left="360" w:right="1320"/>
        <w:spacing w:after="0" w:line="243" w:lineRule="auto"/>
        <w:rPr>
          <w:sz w:val="20"/>
          <w:szCs w:val="20"/>
          <w:color w:val="auto"/>
        </w:rPr>
      </w:pPr>
      <w:r>
        <w:rPr>
          <w:rFonts w:ascii="Arial" w:cs="Arial" w:eastAsia="Arial" w:hAnsi="Arial"/>
          <w:sz w:val="14"/>
          <w:szCs w:val="14"/>
          <w:color w:val="auto"/>
        </w:rPr>
        <w:t>Information with respect to performance targets for the ROIC metric during the pendency of the performance period is not considered material to an understanding of our compensation arrangements and is not included in this exhibit because it represents confidential business or financial information that we do not otherwise disclose to the public. Disclosing this information could cause significant competitive harm to the Company.</w:t>
      </w:r>
    </w:p>
    <w:p>
      <w:pPr>
        <w:ind w:left="10060"/>
        <w:spacing w:after="0"/>
        <w:rPr>
          <w:sz w:val="20"/>
          <w:szCs w:val="20"/>
          <w:color w:val="auto"/>
        </w:rPr>
      </w:pPr>
      <w:r>
        <w:rPr>
          <w:rFonts w:ascii="Arial" w:cs="Arial" w:eastAsia="Arial" w:hAnsi="Arial"/>
          <w:sz w:val="12"/>
          <w:szCs w:val="12"/>
          <w:color w:val="auto"/>
        </w:rPr>
        <w:t>quakerhoughton.com</w:t>
      </w:r>
    </w:p>
    <w:p>
      <w:pPr>
        <w:sectPr>
          <w:pgSz w:w="11900" w:h="16838" w:orient="portrait"/>
          <w:cols w:equalWidth="0" w:num="1">
            <w:col w:w="11240"/>
          </w:cols>
          <w:pgMar w:left="320" w:top="1235"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business results, (iv) capital or business restructurings including mergers and acquisitions, (v) legal actions against Quaker Houghton significantly affecting operating income, (vi) translational foreign exchange, (vii) natural disasters that cause material changes in business conditions, (viii) force majeures (e.g. terrorism, acts of god, war), (ix) significant operational restructuring (e.g. major IT conversion), or (x) unexpected external landscape changes that impact Award assumptions. Quaker Houghton reserves the discretion to determine the payout percentage (if any) for achievement thresholds that fall in between the thresholds described in the Table above; provided, however, that no payment will be made with respect to the Relative TSR award measure if the Relative TSR Achievement Percentile is below 25% and no payment will be made with respect to the Return on Investment Capital award measure if the Adjusted Return on Investment Capital 3-Year Average achievement percentage is less than [X.X]%</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980" w:hanging="648"/>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(or Grantee’s beneficiary) will have no voting rights with respect to the PSUs.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not be entitled to receive cash dividends or dividend equivalents on PSUs.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may not be transferred in any manner other than by will or the laws of descent or distribution.</w:t>
      </w:r>
    </w:p>
    <w:p>
      <w:pPr>
        <w:spacing w:after="0" w:line="117"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PSUs will be forfeited in the event Grantee’s employment ends prior to the last day of the Performance Period, unless such termination is due to (i) death, (ii) Total Disability, (iii) Termination of Service by action of the Company without Cause, or (iv) Termination of Service on or after attainment of age sixty (60), in each case, as provided in the 2024 Plan. If the Grantee’s termination occurs due to the aforementioned circumstances, then the Grantee’s PSUs will be prorated based on number of full months of active service during the Performance Period and the Award will be paid the same time that it otherwise would have been paid in the calendar year following the calendar year in which the Performance Period ends. In the event of a Covered Termination (generally a Termination of Service by action of the Company without Cause or a resignation for Good Reason in each case within two (2) years following a Change in Control), all unvested PSUs will fully vest as of the date of such Covered Termination and will be paid within ninety (90) days after such Covered Termination occurs. Payment may be subject to any Release requirements described in the 2024 Plan. Any fractional PSUs will be forfeited.</w:t>
      </w:r>
    </w:p>
    <w:p>
      <w:pPr>
        <w:spacing w:after="0" w:line="80"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Grantee or to Grantee’s beneficiary upon vesting of the PSUs hereunder will be subject to withholding by the 2024 Plan’s third-party administrator of amounts sufficient to cover the applicable withholding obligations. In the event that any required tax withholding upon the settlement of such PSUs exceeds your other compensation due from the Company, Grantee agrees to remit to the Company, as a condition to settlement of such PSUs, such additional amounts in cash as are necessary to satisfy the required withholding. Any and all withholding obligations may be settled with shares of Common Stock.</w:t>
      </w:r>
    </w:p>
    <w:p>
      <w:pPr>
        <w:spacing w:after="0" w:line="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Grantee’s right to receive or retain this Award, to retain any amount received pursuant to this Award (in cash or Common Stock) and, in the case of Common Stock received pursuant to this Award, to retain any profit or gain the Grantee realized in connection with this Award, shall be subject to any recoupment or “clawback” policy adopted by the Company.</w:t>
      </w:r>
    </w:p>
    <w:p>
      <w:pPr>
        <w:spacing w:after="0" w:line="67" w:lineRule="exact"/>
        <w:rPr>
          <w:rFonts w:ascii="Times New Roman" w:cs="Times New Roman" w:eastAsia="Times New Roman" w:hAnsi="Times New Roman"/>
          <w:sz w:val="18"/>
          <w:szCs w:val="18"/>
          <w:color w:val="auto"/>
        </w:rPr>
      </w:pPr>
    </w:p>
    <w:p>
      <w:pPr>
        <w:jc w:val="both"/>
        <w:ind w:left="980" w:hanging="648"/>
        <w:spacing w:after="0" w:line="245"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 Grantee is a specified employee (as defined in Treas. Reg. §1.409A-1(i)), any payment or benefit under this Agreement that constitutes deferred compensation subject to Code Section 409A and for which the payment event is separation from service (as defined in Treas. Reg. §1.409A-1(h)) shall not be made or provided to the Grantee before the date that is six (6) months after the date of the Grantee’s separation from service. Any payment or benefit that is delayed pursuant to this paragraph shall be made or provided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business day of the seventh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the Grantee’s separation from service occurs. With respect to any cash payment delayed pursuant to this paragraph, the delayed payment shall include interest, at the Wall Street Journal Prime Rate published in the Wall Street Journal on the date of the Grantee’s separation from service (or the previous business day if such date is not a business day), for the period from the date the payment would have been made but for this paragraph through the date payment is made. The provisions of this paragraph shall</w:t>
      </w:r>
    </w:p>
    <w:p>
      <w:pPr>
        <w:sectPr>
          <w:pgSz w:w="11900" w:h="16838" w:orient="portrait"/>
          <w:cols w:equalWidth="0" w:num="1">
            <w:col w:w="11240"/>
          </w:cols>
          <w:pgMar w:left="320" w:top="1334" w:right="339" w:bottom="1440" w:gutter="0" w:footer="0" w:header="0"/>
        </w:sectPr>
      </w:pPr>
    </w:p>
    <w:bookmarkStart w:id="68" w:name="page69"/>
    <w:bookmarkEnd w:id="68"/>
    <w:p>
      <w:pPr>
        <w:jc w:val="both"/>
        <w:ind w:left="648"/>
        <w:spacing w:after="0" w:line="261" w:lineRule="auto"/>
        <w:rPr>
          <w:sz w:val="20"/>
          <w:szCs w:val="20"/>
          <w:color w:val="auto"/>
        </w:rPr>
      </w:pPr>
      <w:r>
        <w:rPr>
          <w:rFonts w:ascii="Times New Roman" w:cs="Times New Roman" w:eastAsia="Times New Roman" w:hAnsi="Times New Roman"/>
          <w:sz w:val="18"/>
          <w:szCs w:val="18"/>
          <w:color w:val="auto"/>
        </w:rPr>
        <w:t>apply only to the extent required to avoid a Grantee’s incurrence of any additional tax or interest under Code Section 409A. To the extent any payment or benefit under the 2024 Plan constitutes deferred compensation subject to Code Section 409A, this 2024 Plan is intended to comply with Code Section 409A and shall be administered, interpreted and construed in accordance therewith to avoid the imposition of additional tax under Code Section 409A.</w:t>
      </w:r>
    </w:p>
    <w:p>
      <w:pPr>
        <w:spacing w:after="0" w:line="72" w:lineRule="exact"/>
        <w:rPr>
          <w:sz w:val="20"/>
          <w:szCs w:val="20"/>
          <w:color w:val="auto"/>
        </w:rPr>
      </w:pPr>
    </w:p>
    <w:p>
      <w:pPr>
        <w:ind w:left="648" w:right="20" w:hanging="648"/>
        <w:spacing w:after="0" w:line="282" w:lineRule="auto"/>
        <w:tabs>
          <w:tab w:leader="none" w:pos="6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2024 Plan or this Agreement will be construed as creating any right in the Grantee to continued employment or service, or as altering or amending the existing terms and conditions of the Grantee’s employment or service.</w:t>
      </w:r>
    </w:p>
    <w:p>
      <w:pPr>
        <w:spacing w:after="0" w:line="53" w:lineRule="exact"/>
        <w:rPr>
          <w:rFonts w:ascii="Times New Roman" w:cs="Times New Roman" w:eastAsia="Times New Roman" w:hAnsi="Times New Roman"/>
          <w:sz w:val="18"/>
          <w:szCs w:val="18"/>
          <w:color w:val="auto"/>
        </w:rPr>
      </w:pPr>
    </w:p>
    <w:p>
      <w:pPr>
        <w:jc w:val="both"/>
        <w:ind w:left="648" w:right="20" w:hanging="648"/>
        <w:spacing w:after="0" w:line="266" w:lineRule="auto"/>
        <w:tabs>
          <w:tab w:leader="none" w:pos="6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given hereunder shall be mailed by registered or certified mail to the Company to the attention of its Secretary, at 901 E. Hector Street, Conshohocken, Pennsylvania 19428, and to Grantee at Grantee’s address as it appears on the Company’s books and records unless either of said parties has duly notified the other in writing of a change in address.</w:t>
      </w:r>
    </w:p>
    <w:p>
      <w:pPr>
        <w:spacing w:after="0" w:line="67" w:lineRule="exact"/>
        <w:rPr>
          <w:rFonts w:ascii="Times New Roman" w:cs="Times New Roman" w:eastAsia="Times New Roman" w:hAnsi="Times New Roman"/>
          <w:sz w:val="18"/>
          <w:szCs w:val="18"/>
          <w:color w:val="auto"/>
        </w:rPr>
      </w:pPr>
    </w:p>
    <w:p>
      <w:pPr>
        <w:ind w:left="648" w:hanging="648"/>
        <w:spacing w:after="0" w:line="282" w:lineRule="auto"/>
        <w:tabs>
          <w:tab w:leader="none" w:pos="6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preempted by Federal law, this Agreement shall be construed, administered and governed in all respects under and by the laws of the Commonwealth of Pennsylvania, without giving effect to its conflict of laws principles.</w:t>
      </w:r>
    </w:p>
    <w:p>
      <w:pPr>
        <w:spacing w:after="0" w:line="53" w:lineRule="exact"/>
        <w:rPr>
          <w:rFonts w:ascii="Times New Roman" w:cs="Times New Roman" w:eastAsia="Times New Roman" w:hAnsi="Times New Roman"/>
          <w:sz w:val="18"/>
          <w:szCs w:val="18"/>
          <w:color w:val="auto"/>
        </w:rPr>
      </w:pPr>
    </w:p>
    <w:p>
      <w:pPr>
        <w:jc w:val="both"/>
        <w:ind w:left="648" w:hanging="648"/>
        <w:spacing w:after="0" w:line="261" w:lineRule="auto"/>
        <w:tabs>
          <w:tab w:leader="none" w:pos="6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all the understandings between the parties hereto pertaining to the matter referred to herein, and supersedes all undertakings and agreements, whether oral or in writing, previously entered into by them with respect thereto.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23"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auto"/>
        </w:rPr>
        <w:t>QUAKER HOUGHTON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685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4388"/>
        <w:spacing w:after="0"/>
        <w:rPr>
          <w:sz w:val="20"/>
          <w:szCs w:val="20"/>
          <w:color w:val="auto"/>
        </w:rPr>
      </w:pPr>
      <w:r>
        <w:rPr>
          <w:rFonts w:ascii="Times New Roman" w:cs="Times New Roman" w:eastAsia="Times New Roman" w:hAnsi="Times New Roman"/>
          <w:sz w:val="18"/>
          <w:szCs w:val="18"/>
          <w:color w:val="auto"/>
        </w:rPr>
        <w:t>Andrew E. Tometich</w:t>
      </w:r>
    </w:p>
    <w:p>
      <w:pPr>
        <w:sectPr>
          <w:pgSz w:w="11900" w:h="16838" w:orient="portrait"/>
          <w:cols w:equalWidth="0" w:num="1">
            <w:col w:w="10908"/>
          </w:cols>
          <w:pgMar w:left="652" w:top="1336"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Grantee represents that Grantee is familiar with the terms and provisions of the 2024 Plan, and hereby accepts this Award subject to the terms and provisions of the 2024 Plan insofar as they relate to PSUs granted thereunder. Grantee agrees hereby to accept as binding, conclusive, and final all decisions or interpretations of the Committee upon any questions arising under the 2024 Plan or this Grant. Grantee authorizes the Company to withhold in accordance with applicable law from any compensation payable to Grantee any taxes required to be withheld by Federal, state, or local law as a result of the vesting of this Award.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571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###PARTICIPANT_NAME###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Date: ###ACCEPTANCE_DATE###</w:t>
      </w:r>
    </w:p>
    <w:p>
      <w:pPr>
        <w:sectPr>
          <w:pgSz w:w="11900" w:h="16838" w:orient="portrait"/>
          <w:cols w:equalWidth="0" w:num="1">
            <w:col w:w="11240"/>
          </w:cols>
          <w:pgMar w:left="320" w:top="1336" w:right="339" w:bottom="1440" w:gutter="0" w:footer="0" w:header="0"/>
        </w:sectPr>
      </w:pPr>
    </w:p>
    <w:bookmarkStart w:id="70" w:name="page71"/>
    <w:bookmarkEnd w:id="70"/>
    <w:p>
      <w:pPr>
        <w:ind w:right="780"/>
        <w:spacing w:after="0" w:line="28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97355"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697355" cy="651510"/>
                    </a:xfrm>
                    <a:prstGeom prst="rect">
                      <a:avLst/>
                    </a:prstGeom>
                    <a:noFill/>
                  </pic:spPr>
                </pic:pic>
              </a:graphicData>
            </a:graphic>
          </wp:anchor>
        </w:drawing>
        <w:t>CERTAIN IDENTIFIED INFORMATION HAS BEEN EXCLUDED FROM THE EXHIBIT BECAUSE IT IS BOTH NOT MATERIAL AND IS THE TYPE THAT THE REGISTRANT TREATS AS PRIVATE OR CONFIDENTIAL. OMITTED INFORMATION HAS BEEN REPLACED WITH BRACKETS AND 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AWARD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and Human Resources Committee of the Board of Directors (the “Committee”) of Quaker Houghton (the “Company”) has approved an award (the “Award”) to </w:t>
      </w:r>
      <w:r>
        <w:rPr>
          <w:rFonts w:ascii="Times New Roman" w:cs="Times New Roman" w:eastAsia="Times New Roman" w:hAnsi="Times New Roman"/>
          <w:sz w:val="18"/>
          <w:szCs w:val="18"/>
          <w:b w:val="1"/>
          <w:bCs w:val="1"/>
          <w:color w:val="auto"/>
        </w:rPr>
        <w:t>###PARTICIPANT_NAME###</w:t>
      </w:r>
      <w:r>
        <w:rPr>
          <w:rFonts w:ascii="Times New Roman" w:cs="Times New Roman" w:eastAsia="Times New Roman" w:hAnsi="Times New Roman"/>
          <w:sz w:val="18"/>
          <w:szCs w:val="18"/>
          <w:color w:val="auto"/>
        </w:rPr>
        <w:t xml:space="preserve"> (the “Grantee”), of </w:t>
      </w:r>
      <w:r>
        <w:rPr>
          <w:rFonts w:ascii="Times New Roman" w:cs="Times New Roman" w:eastAsia="Times New Roman" w:hAnsi="Times New Roman"/>
          <w:sz w:val="18"/>
          <w:szCs w:val="18"/>
          <w:b w:val="1"/>
          <w:bCs w:val="1"/>
          <w:color w:val="auto"/>
        </w:rPr>
        <w:t>###TOTAL_AWARDS###</w:t>
      </w:r>
      <w:r>
        <w:rPr>
          <w:rFonts w:ascii="Times New Roman" w:cs="Times New Roman" w:eastAsia="Times New Roman" w:hAnsi="Times New Roman"/>
          <w:sz w:val="18"/>
          <w:szCs w:val="18"/>
          <w:color w:val="auto"/>
        </w:rPr>
        <w:t xml:space="preserve"> performance stock units (the “PSUs,” the number of PSUs granted, the “Target PSU Award”) as of </w:t>
      </w:r>
      <w:r>
        <w:rPr>
          <w:rFonts w:ascii="Times New Roman" w:cs="Times New Roman" w:eastAsia="Times New Roman" w:hAnsi="Times New Roman"/>
          <w:sz w:val="18"/>
          <w:szCs w:val="18"/>
          <w:b w:val="1"/>
          <w:bCs w:val="1"/>
          <w:color w:val="auto"/>
        </w:rPr>
        <w:t>###GRANT_DATE###</w:t>
      </w:r>
      <w:r>
        <w:rPr>
          <w:rFonts w:ascii="Times New Roman" w:cs="Times New Roman" w:eastAsia="Times New Roman" w:hAnsi="Times New Roman"/>
          <w:sz w:val="18"/>
          <w:szCs w:val="18"/>
          <w:color w:val="auto"/>
        </w:rPr>
        <w:t xml:space="preserve"> (the “Grant Date”) under the Quaker Houghton 2016 Long-Term Performance Incentive Plan (the “Plan”) subject to achievement of the performance criteria described in this Agreement (the “Agreement”). The Award is subject to your acceptance of the terms and conditions set forth in the Agreement and in the Plan. The level of payment can range from 0% to 200% of the Target PSU Award depending on the achievement of the performance criteria. Unless otherwise defined herein, terms used in this Agreement have the meanings assigned to them in the Plan. In the event of any inconsistency between the terms of this Agreement and the terms of the Plan, the terms of the Plan shall govern.</w:t>
      </w:r>
    </w:p>
    <w:p>
      <w:pPr>
        <w:spacing w:after="0" w:line="84" w:lineRule="exact"/>
        <w:rPr>
          <w:sz w:val="20"/>
          <w:szCs w:val="20"/>
          <w:color w:val="auto"/>
        </w:rPr>
      </w:pPr>
    </w:p>
    <w:p>
      <w:pPr>
        <w:ind w:left="980" w:right="120" w:hanging="648"/>
        <w:spacing w:after="0" w:line="258"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(to the extent it is vested) will be paid in the calendar year following the end of the Performance Period. The number of shares of Quaker Houghton that will be paid under the Award will be equal to the sum of (x) (i) 50% times (ii) the payout percentage for the Relative Total Shareholder Return Achievement Percentile (“Relative TSR Achievement Percentile”) performance criterion times (iii) the Target PSU Award; and (y) (i) 50% times (ii) the payout percentage for the Adjusted Return on Invested Capital (ROIC) performance criterion times (iii) the Target PSU Award. .</w:t>
      </w:r>
    </w:p>
    <w:p>
      <w:pPr>
        <w:spacing w:after="0" w:line="75" w:lineRule="exact"/>
        <w:rPr>
          <w:rFonts w:ascii="Times New Roman" w:cs="Times New Roman" w:eastAsia="Times New Roman" w:hAnsi="Times New Roman"/>
          <w:sz w:val="18"/>
          <w:szCs w:val="18"/>
          <w:color w:val="auto"/>
        </w:rPr>
      </w:pPr>
    </w:p>
    <w:p>
      <w:pPr>
        <w:ind w:left="980" w:right="120" w:hanging="648"/>
        <w:spacing w:after="0" w:line="25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Achievement Percentile and the ROIC will be determined individually for each year during the three-year period from January 1, 2024 to December 31, 2026 (such three-year period, the “Performance Period”) and cumulatively for the full Performance Period. The payout percentage will be determined by assigning (i) a weight of 25% for performance during each of the three years during the Performance Period (for a total weight of 75%) and (ii) a weight of 25% for the cumulative performance during the Performance Period. The payout percentages (and vesting) of the Award will be determined by the Committee in its sole discretion. The Award will become vested as of the last day of the Performance Period to the extent determined by the Committee.</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1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Award Measure</w:t>
            </w:r>
          </w:p>
        </w:tc>
        <w:tc>
          <w:tcPr>
            <w:tcW w:w="17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3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Award Parameters as a % of Goal</w:t>
            </w:r>
          </w:p>
        </w:tc>
        <w:tc>
          <w:tcPr>
            <w:tcW w:w="14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51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4420" w:type="dxa"/>
            <w:vAlign w:val="bottom"/>
            <w:tcBorders>
              <w:right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Board Discretion to Pay Between 0%-200%of Target</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42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Relative TSR Achievement Percentile* (relative to the TSR of</w:t>
            </w:r>
          </w:p>
        </w:tc>
        <w:tc>
          <w:tcPr>
            <w:tcW w:w="172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w w:val="96"/>
              </w:rPr>
              <w:t>50%</w:t>
            </w:r>
          </w:p>
        </w:tc>
        <w:tc>
          <w:tcPr>
            <w:tcW w:w="15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500" w:type="dxa"/>
            <w:vAlign w:val="bottom"/>
            <w:tcBorders>
              <w:right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6"/>
              </w:rPr>
              <w:t>50</w:t>
            </w:r>
            <w:r>
              <w:rPr>
                <w:rFonts w:ascii="Times New Roman" w:cs="Times New Roman" w:eastAsia="Times New Roman" w:hAnsi="Times New Roman"/>
                <w:sz w:val="23"/>
                <w:szCs w:val="23"/>
                <w:color w:val="auto"/>
                <w:w w:val="96"/>
                <w:vertAlign w:val="superscript"/>
              </w:rPr>
              <w:t>th</w:t>
            </w:r>
            <w:r>
              <w:rPr>
                <w:rFonts w:ascii="Times New Roman" w:cs="Times New Roman" w:eastAsia="Times New Roman" w:hAnsi="Times New Roman"/>
                <w:sz w:val="18"/>
                <w:szCs w:val="18"/>
                <w:color w:val="auto"/>
                <w:w w:val="96"/>
              </w:rPr>
              <w:t xml:space="preserve"> percentile</w:t>
            </w:r>
          </w:p>
        </w:tc>
        <w:tc>
          <w:tcPr>
            <w:tcW w:w="1420" w:type="dxa"/>
            <w:vAlign w:val="bottom"/>
            <w:tcBorders>
              <w:right w:val="single" w:sz="8" w:color="auto"/>
            </w:tcBorders>
          </w:tcPr>
          <w:p>
            <w:pPr>
              <w:ind w:left="60"/>
              <w:spacing w:after="0" w:line="218"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p>
        </w:tc>
        <w:tc>
          <w:tcPr>
            <w:tcW w:w="0" w:type="dxa"/>
            <w:vAlign w:val="bottom"/>
          </w:tcPr>
          <w:p>
            <w:pPr>
              <w:spacing w:after="0"/>
              <w:rPr>
                <w:sz w:val="1"/>
                <w:szCs w:val="1"/>
                <w:color w:val="auto"/>
              </w:rPr>
            </w:pPr>
          </w:p>
        </w:tc>
      </w:tr>
      <w:tr>
        <w:trPr>
          <w:trHeight w:val="180"/>
        </w:trPr>
        <w:tc>
          <w:tcPr>
            <w:tcW w:w="51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companies in the S&amp;P 1500 Chemical Group)</w:t>
            </w:r>
          </w:p>
        </w:tc>
        <w:tc>
          <w:tcPr>
            <w:tcW w:w="172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percentile</w:t>
            </w:r>
          </w:p>
        </w:tc>
        <w:tc>
          <w:tcPr>
            <w:tcW w:w="0" w:type="dxa"/>
            <w:vAlign w:val="bottom"/>
          </w:tcPr>
          <w:p>
            <w:pPr>
              <w:spacing w:after="0"/>
              <w:rPr>
                <w:sz w:val="1"/>
                <w:szCs w:val="1"/>
                <w:color w:val="auto"/>
              </w:rPr>
            </w:pPr>
          </w:p>
        </w:tc>
      </w:tr>
      <w:tr>
        <w:trPr>
          <w:trHeight w:val="54"/>
        </w:trPr>
        <w:tc>
          <w:tcPr>
            <w:tcW w:w="5100" w:type="dxa"/>
            <w:vAlign w:val="bottom"/>
            <w:tcBorders>
              <w:left w:val="single" w:sz="8" w:color="auto"/>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Payout Percentage</w:t>
            </w:r>
          </w:p>
        </w:tc>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50%</w:t>
            </w:r>
          </w:p>
        </w:tc>
        <w:tc>
          <w:tcPr>
            <w:tcW w:w="15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Payout at 100%</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Payout at 200%</w:t>
            </w:r>
          </w:p>
        </w:tc>
        <w:tc>
          <w:tcPr>
            <w:tcW w:w="0" w:type="dxa"/>
            <w:vAlign w:val="bottom"/>
          </w:tcPr>
          <w:p>
            <w:pPr>
              <w:spacing w:after="0"/>
              <w:rPr>
                <w:sz w:val="1"/>
                <w:szCs w:val="1"/>
                <w:color w:val="auto"/>
              </w:rPr>
            </w:pPr>
          </w:p>
        </w:tc>
      </w:tr>
      <w:tr>
        <w:trPr>
          <w:trHeight w:val="40"/>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Return on Invested Capital (ROIC)*</w:t>
            </w:r>
          </w:p>
        </w:tc>
        <w:tc>
          <w:tcPr>
            <w:tcW w:w="1720" w:type="dxa"/>
            <w:vAlign w:val="bottom"/>
            <w:tcBorders>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6"/>
              </w:rPr>
              <w:t>50%</w:t>
            </w: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[XX%]</w:t>
            </w:r>
          </w:p>
        </w:tc>
        <w:tc>
          <w:tcPr>
            <w:tcW w:w="1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[XX%]</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[XX%]</w:t>
            </w:r>
          </w:p>
        </w:tc>
        <w:tc>
          <w:tcPr>
            <w:tcW w:w="0" w:type="dxa"/>
            <w:vAlign w:val="bottom"/>
          </w:tcPr>
          <w:p>
            <w:pPr>
              <w:spacing w:after="0"/>
              <w:rPr>
                <w:sz w:val="1"/>
                <w:szCs w:val="1"/>
                <w:color w:val="auto"/>
              </w:rPr>
            </w:pPr>
          </w:p>
        </w:tc>
      </w:tr>
      <w:tr>
        <w:trPr>
          <w:trHeight w:val="40"/>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Payout Percentage</w:t>
            </w:r>
          </w:p>
        </w:tc>
        <w:tc>
          <w:tcPr>
            <w:tcW w:w="17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Payout at 50%</w:t>
            </w:r>
          </w:p>
        </w:tc>
        <w:tc>
          <w:tcPr>
            <w:tcW w:w="15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Payout at 100%</w:t>
            </w:r>
          </w:p>
        </w:tc>
        <w:tc>
          <w:tcPr>
            <w:tcW w:w="1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Payout at 200%</w:t>
            </w:r>
          </w:p>
        </w:tc>
        <w:tc>
          <w:tcPr>
            <w:tcW w:w="0" w:type="dxa"/>
            <w:vAlign w:val="bottom"/>
          </w:tcPr>
          <w:p>
            <w:pPr>
              <w:spacing w:after="0"/>
              <w:rPr>
                <w:sz w:val="1"/>
                <w:szCs w:val="1"/>
                <w:color w:val="auto"/>
              </w:rPr>
            </w:pPr>
          </w:p>
        </w:tc>
      </w:tr>
      <w:tr>
        <w:trPr>
          <w:trHeight w:val="40"/>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i w:val="1"/>
          <w:iCs w:val="1"/>
          <w:color w:val="auto"/>
        </w:rPr>
        <w:t>*Award Award achievement will be determined in the sole discretion of Quaker Houghton and may include adjustments relating to (i) accounting rule changes, (ii) Board-approved strategic changes, (iii) legislation or regulations that significantly impact the business results, (iv) capital or business restructurings including mergers and acquisitions, (v) legal actions against Quaker Houghton significantly affecting operating income, (vi) translational foreign exchange, (vii) natural disasters that cause material changes in business conditions, (viii) force majeures (e.g. terrorism, acts of god, war), (ix) significant operational restructuring (e.g. major IT conversion) or (x) unexpected external landscape changes that impact Award assumptions. Quaker Houghton reserves the discretion to</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Quaker Chemical Corporation</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Quaker Houghton Company</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901 E. Hector Street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Conshohocken, PA 19428-2380</w:t>
      </w:r>
    </w:p>
    <w:p>
      <w:pPr>
        <w:spacing w:after="0" w:line="22"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T: 610.832.4000</w:t>
      </w:r>
    </w:p>
    <w:p>
      <w:pPr>
        <w:spacing w:after="0" w:line="23" w:lineRule="exact"/>
        <w:rPr>
          <w:sz w:val="20"/>
          <w:szCs w:val="20"/>
          <w:color w:val="auto"/>
        </w:rPr>
      </w:pPr>
    </w:p>
    <w:p>
      <w:pPr>
        <w:ind w:left="10060"/>
        <w:spacing w:after="0"/>
        <w:rPr>
          <w:sz w:val="20"/>
          <w:szCs w:val="20"/>
          <w:color w:val="auto"/>
        </w:rPr>
      </w:pPr>
      <w:r>
        <w:rPr>
          <w:rFonts w:ascii="Arial" w:cs="Arial" w:eastAsia="Arial" w:hAnsi="Arial"/>
          <w:sz w:val="12"/>
          <w:szCs w:val="12"/>
          <w:color w:val="auto"/>
        </w:rPr>
        <w:t>quakerhoughton.com</w:t>
      </w:r>
    </w:p>
    <w:p>
      <w:pPr>
        <w:sectPr>
          <w:pgSz w:w="11900" w:h="16838" w:orient="portrait"/>
          <w:cols w:equalWidth="0" w:num="1">
            <w:col w:w="11240"/>
          </w:cols>
          <w:pgMar w:left="320" w:top="1289" w:right="339" w:bottom="1440" w:gutter="0" w:footer="0" w:header="0"/>
        </w:sectPr>
      </w:pPr>
    </w:p>
    <w:bookmarkStart w:id="71" w:name="page72"/>
    <w:bookmarkEnd w:id="71"/>
    <w:p>
      <w:pPr>
        <w:ind w:right="240"/>
        <w:spacing w:after="0" w:line="273" w:lineRule="auto"/>
        <w:rPr>
          <w:sz w:val="20"/>
          <w:szCs w:val="20"/>
          <w:color w:val="auto"/>
        </w:rPr>
      </w:pPr>
      <w:r>
        <w:rPr>
          <w:rFonts w:ascii="Times New Roman" w:cs="Times New Roman" w:eastAsia="Times New Roman" w:hAnsi="Times New Roman"/>
          <w:sz w:val="16"/>
          <w:szCs w:val="16"/>
          <w:i w:val="1"/>
          <w:iCs w:val="1"/>
          <w:color w:val="auto"/>
        </w:rPr>
        <w:t>determine the payout percentage (if any) for achievement thresholds that fall in between the thresholds described in the Table above; provided, however, that no payment will be made with respect to the Relative TSR award measure if the Relative TSR Achievement Percentile is below 25% and no payment will be made with respect to the Return on Investment Capital award measure if the Adjusted Return on Investment Capital 3-Year Average achievement percentage is less than [X.X]%</w:t>
      </w:r>
    </w:p>
    <w:p>
      <w:pPr>
        <w:spacing w:after="0" w:line="58" w:lineRule="exact"/>
        <w:rPr>
          <w:sz w:val="20"/>
          <w:szCs w:val="20"/>
          <w:color w:val="auto"/>
        </w:rPr>
      </w:pPr>
    </w:p>
    <w:p>
      <w:pPr>
        <w:ind w:left="980" w:hanging="648"/>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(or Grantee’s beneficiary) will have no voting rights with respect to the PSUs.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not be entitled to receive cash dividends or dividend equivalents on PSUs.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may not be transferred in any manner other than by will or the laws of descent or distribution.</w:t>
      </w:r>
    </w:p>
    <w:p>
      <w:pPr>
        <w:spacing w:after="0" w:line="117" w:lineRule="exact"/>
        <w:rPr>
          <w:rFonts w:ascii="Times New Roman" w:cs="Times New Roman" w:eastAsia="Times New Roman" w:hAnsi="Times New Roman"/>
          <w:sz w:val="18"/>
          <w:szCs w:val="18"/>
          <w:color w:val="auto"/>
        </w:rPr>
      </w:pPr>
    </w:p>
    <w:p>
      <w:pPr>
        <w:ind w:left="980" w:right="20" w:hanging="648"/>
        <w:spacing w:after="0" w:line="258"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PSUs will be forfeited in the event Grantee’s employment ends prior to the last day of the Performance Period, unless such termination is due to (i) death, (ii) Total Disability or (iii) Termination of Service on or after attainment of age 60, in each case, as provided in the Plan. If the Grantee’s termination occurs due to the aforementioned circumstances, then the Grantee’s PSUs will be prorated based on number of full months of active service during the Performance Period and the Award will be paid the same time that it otherwise would have been paid.</w:t>
      </w:r>
    </w:p>
    <w:p>
      <w:pPr>
        <w:spacing w:after="0" w:line="75" w:lineRule="exact"/>
        <w:rPr>
          <w:rFonts w:ascii="Times New Roman" w:cs="Times New Roman" w:eastAsia="Times New Roman" w:hAnsi="Times New Roman"/>
          <w:sz w:val="18"/>
          <w:szCs w:val="18"/>
          <w:color w:val="auto"/>
        </w:rPr>
      </w:pPr>
    </w:p>
    <w:p>
      <w:pPr>
        <w:ind w:left="980" w:hanging="648"/>
        <w:spacing w:after="0" w:line="258"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Grantee or to Grantee’s beneficiary upon vesting of the PSUs hereunder will be subject to withholding by the Plan’s third-party administrator of amounts sufficient to cover the applicable withholding obligations. In the event that any required tax withholding upon the settlement of such PSUs exceeds your other compensation due from the Company, Grantee agrees to remit to the Company, as a condition to settlement of such PSUs, such additional amounts in cash as are necessary to satisfy the required withholding. Any and all withholding obligations may be settled with shares of Common Stock.</w:t>
      </w:r>
    </w:p>
    <w:p>
      <w:pPr>
        <w:spacing w:after="0" w:line="75" w:lineRule="exact"/>
        <w:rPr>
          <w:rFonts w:ascii="Times New Roman" w:cs="Times New Roman" w:eastAsia="Times New Roman" w:hAnsi="Times New Roman"/>
          <w:sz w:val="18"/>
          <w:szCs w:val="18"/>
          <w:color w:val="auto"/>
        </w:rPr>
      </w:pPr>
    </w:p>
    <w:p>
      <w:pPr>
        <w:ind w:left="980" w:right="200" w:hanging="648"/>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receive or retain this Award, to retain any amount received pursuant to this Award (in cash or Common Stock) and, in the case of Common Stock received pursuant to this Award, to retain any profit or gain the Grantee realized in connection with this Award, shall be subject to any recoupment or “clawback” policy adopted by the Company.</w:t>
      </w:r>
    </w:p>
    <w:p>
      <w:pPr>
        <w:spacing w:after="0" w:line="67"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or this Agreement will be construed as creating any right in the Grantee to continued employment or service, or as altering or amending the existing terms and conditions of the Grantee’s employment or service.</w:t>
      </w:r>
    </w:p>
    <w:p>
      <w:pPr>
        <w:spacing w:after="0" w:line="53" w:lineRule="exact"/>
        <w:rPr>
          <w:rFonts w:ascii="Times New Roman" w:cs="Times New Roman" w:eastAsia="Times New Roman" w:hAnsi="Times New Roman"/>
          <w:sz w:val="18"/>
          <w:szCs w:val="18"/>
          <w:color w:val="auto"/>
        </w:rPr>
      </w:pPr>
    </w:p>
    <w:p>
      <w:pPr>
        <w:ind w:left="980" w:right="200" w:hanging="648"/>
        <w:spacing w:after="0" w:line="266"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required to be given hereunder shall be mailed by registered or certified mail to the Company to the attention of its Secretary, at 901 E. Hector Street, Conshohocken, Pennsylvania 19428, and to Grantee at Grantee’s address as it appears on the Company’s books and records unless either of said parties has duly notified the other in writing of a change in address.</w:t>
      </w:r>
    </w:p>
    <w:p>
      <w:pPr>
        <w:spacing w:after="0" w:line="67" w:lineRule="exact"/>
        <w:rPr>
          <w:rFonts w:ascii="Times New Roman" w:cs="Times New Roman" w:eastAsia="Times New Roman" w:hAnsi="Times New Roman"/>
          <w:sz w:val="18"/>
          <w:szCs w:val="18"/>
          <w:color w:val="auto"/>
        </w:rPr>
      </w:pPr>
    </w:p>
    <w:p>
      <w:pPr>
        <w:ind w:left="980" w:right="260" w:hanging="648"/>
        <w:spacing w:after="0" w:line="282" w:lineRule="auto"/>
        <w:tabs>
          <w:tab w:leader="none" w:pos="9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preempted by Federal law, this Agreement shall be construed, administered and governed in all respects under and by the laws of the Commonwealth of Pennsylvania, without giving effect to its conflict of laws principles.</w:t>
      </w:r>
    </w:p>
    <w:p>
      <w:pPr>
        <w:spacing w:after="0" w:line="53" w:lineRule="exact"/>
        <w:rPr>
          <w:rFonts w:ascii="Times New Roman" w:cs="Times New Roman" w:eastAsia="Times New Roman" w:hAnsi="Times New Roman"/>
          <w:sz w:val="18"/>
          <w:szCs w:val="18"/>
          <w:color w:val="auto"/>
        </w:rPr>
      </w:pPr>
    </w:p>
    <w:p>
      <w:pPr>
        <w:ind w:left="980" w:right="40" w:hanging="648"/>
        <w:spacing w:after="0" w:line="261" w:lineRule="auto"/>
        <w:tabs>
          <w:tab w:leader="none" w:pos="9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all the understandings between the parties hereto pertaining to the matter referred to herein, and supersedes all undertakings and agreements, whether oral or in writing, previously entered into by them with respect thereto.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QUAKER HOUGHTON</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685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Andrew E. Tometich</w:t>
      </w:r>
    </w:p>
    <w:p>
      <w:pPr>
        <w:sectPr>
          <w:pgSz w:w="11900" w:h="16838" w:orient="portrait"/>
          <w:cols w:equalWidth="0" w:num="1">
            <w:col w:w="11200"/>
          </w:cols>
          <w:pgMar w:left="320" w:top="1339" w:right="379" w:bottom="1440" w:gutter="0" w:footer="0" w:header="0"/>
        </w:sectPr>
      </w:pPr>
    </w:p>
    <w:bookmarkStart w:id="72" w:name="page73"/>
    <w:bookmarkEnd w:id="72"/>
    <w:p>
      <w:pPr>
        <w:ind w:firstLine="324"/>
        <w:spacing w:after="0" w:line="256" w:lineRule="auto"/>
        <w:rPr>
          <w:sz w:val="20"/>
          <w:szCs w:val="20"/>
          <w:color w:val="auto"/>
        </w:rPr>
      </w:pPr>
      <w:r>
        <w:rPr>
          <w:rFonts w:ascii="Times New Roman" w:cs="Times New Roman" w:eastAsia="Times New Roman" w:hAnsi="Times New Roman"/>
          <w:sz w:val="18"/>
          <w:szCs w:val="18"/>
          <w:color w:val="auto"/>
        </w:rPr>
        <w:t>Grantee represents that Grantee is familiar with the terms and provisions of the Plan, and hereby accepts this Award subject to the terms and provisions of the Plan insofar as they relate to PSUs granted thereunder. Grantee agrees hereby to accept as binding, conclusive, and final all decisions or interpretations of the Committee upon any questions arising under the Plan or this Grant. Grantee authorizes the Company to withhold in accordance with applicable law from any compensation payable to Grantee any taxes required to be withheld by Federal, state, or local law as a result of the vesting of this Award. Grantee represents that, in executing this Agreement, Grantee has not relied upon any representation or statement not set forth herein made by the Company with regard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571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###PARTICIPANT_NAME###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Date: ###ACCEPTANCE_DATE###</w:t>
      </w:r>
    </w:p>
    <w:p>
      <w:pPr>
        <w:sectPr>
          <w:pgSz w:w="11900" w:h="16838" w:orient="portrait"/>
          <w:cols w:equalWidth="0" w:num="1">
            <w:col w:w="11220"/>
          </w:cols>
          <w:pgMar w:left="320" w:top="1336" w:right="359" w:bottom="1440" w:gutter="0" w:footer="0" w:header="0"/>
        </w:sectPr>
      </w:pPr>
    </w:p>
    <w:bookmarkStart w:id="73" w:name="page74"/>
    <w:bookmarkEnd w:id="7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E. Tometich,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Coler,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June 30,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June 30,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3"/>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lowerLetter"/>
      <w:start w:val="1"/>
    </w:lvl>
  </w:abstractNum>
  <w:abstractNum w:abstractNumId="7">
    <w:nsid w:val="5577F8E1"/>
    <w:multiLevelType w:val="hybridMultilevel"/>
    <w:lvl w:ilvl="0">
      <w:lvlJc w:val="left"/>
      <w:lvlText w:val="\endash "/>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2"/>
    </w:lvl>
  </w:abstractNum>
  <w:abstractNum w:abstractNumId="11">
    <w:nsid w:val="77465F01"/>
    <w:multiLevelType w:val="hybridMultilevel"/>
    <w:lvl w:ilvl="0">
      <w:lvlJc w:val="left"/>
      <w:lvlText w:val="%1."/>
      <w:numFmt w:val="decimal"/>
      <w:start w:val="3"/>
    </w:lvl>
  </w:abstractNum>
  <w:abstractNum w:abstractNumId="12">
    <w:nsid w:val="7724C67E"/>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13">
    <w:nsid w:val="5C482A97"/>
    <w:multiLevelType w:val="hybridMultilevel"/>
    <w:lvl w:ilvl="0">
      <w:lvlJc w:val="left"/>
      <w:lvlText w:val="%1."/>
      <w:numFmt w:val="decimal"/>
      <w:start w:val="5"/>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decimal"/>
      <w:start w:val="6"/>
    </w:lvl>
  </w:abstractNum>
  <w:abstractNum w:abstractNumId="16">
    <w:nsid w:val="51EAD36B"/>
    <w:multiLevelType w:val="hybridMultilevel"/>
    <w:lvl w:ilvl="0">
      <w:lvlJc w:val="left"/>
      <w:lvlText w:val="%1."/>
      <w:numFmt w:val="decimal"/>
      <w:start w:val="7"/>
    </w:lvl>
  </w:abstractNum>
  <w:abstractNum w:abstractNumId="17">
    <w:nsid w:val="2D517796"/>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8">
    <w:nsid w:val="580BD78F"/>
    <w:multiLevelType w:val="hybridMultilevel"/>
    <w:lvl w:ilvl="0">
      <w:lvlJc w:val="left"/>
      <w:lvlText w:val="(%1)"/>
      <w:numFmt w:val="lowerLetter"/>
      <w:start w:val="2"/>
    </w:lvl>
  </w:abstractNum>
  <w:abstractNum w:abstractNumId="19">
    <w:nsid w:val="153EA438"/>
    <w:multiLevelType w:val="hybridMultilevel"/>
    <w:lvl w:ilvl="0">
      <w:lvlJc w:val="left"/>
      <w:lvlText w:val="%1."/>
      <w:numFmt w:val="decimal"/>
      <w:start w:val="9"/>
    </w:lvl>
  </w:abstractNum>
  <w:abstractNum w:abstractNumId="20">
    <w:nsid w:val="3855585C"/>
    <w:multiLevelType w:val="hybridMultilevel"/>
    <w:lvl w:ilvl="0">
      <w:lvlJc w:val="left"/>
      <w:lvlText w:val="%1."/>
      <w:numFmt w:val="decimal"/>
      <w:start w:val="10"/>
    </w:lvl>
  </w:abstractNum>
  <w:abstractNum w:abstractNumId="21">
    <w:nsid w:val="70A64E2A"/>
    <w:multiLevelType w:val="hybridMultilevel"/>
    <w:lvl w:ilvl="0">
      <w:lvlJc w:val="left"/>
      <w:lvlText w:val="%1."/>
      <w:numFmt w:val="decimal"/>
      <w:start w:val="1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2"/>
    </w:lvl>
  </w:abstractNum>
  <w:abstractNum w:abstractNumId="24">
    <w:nsid w:val="1D4ED43B"/>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5">
    <w:nsid w:val="725A06FB"/>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26">
    <w:nsid w:val="2CD89A32"/>
    <w:multiLevelType w:val="hybridMultilevel"/>
    <w:lvl w:ilvl="0">
      <w:lvlJc w:val="left"/>
      <w:lvlText w:val="(%1)"/>
      <w:numFmt w:val="lowerLetter"/>
      <w:start w:val="1"/>
    </w:lvl>
    <w:lvl w:ilvl="1">
      <w:lvlJc w:val="left"/>
      <w:lvlText w:val="(%2)"/>
      <w:numFmt w:val="lowerRoman"/>
      <w:start w:val="1"/>
    </w:lvl>
  </w:abstractNum>
  <w:abstractNum w:abstractNumId="27">
    <w:nsid w:val="57E4CCAF"/>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lvl w:ilvl="3">
      <w:lvlJc w:val="left"/>
      <w:lvlText w:val="(%4)"/>
      <w:numFmt w:val="lowerLetter"/>
      <w:start w:val="9"/>
    </w:lvl>
  </w:abstractNum>
  <w:abstractNum w:abstractNumId="28">
    <w:nsid w:val="7A6D8D3C"/>
    <w:multiLevelType w:val="hybridMultilevel"/>
    <w:lvl w:ilvl="0">
      <w:lvlJc w:val="left"/>
      <w:lvlText w:val="(%1)"/>
      <w:numFmt w:val="lowerRoman"/>
      <w:start w:val="2"/>
    </w:lvl>
  </w:abstractNum>
  <w:abstractNum w:abstractNumId="29">
    <w:nsid w:val="4B588F54"/>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30">
    <w:nsid w:val="542289EC"/>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31">
    <w:nsid w:val="6DE91B18"/>
    <w:multiLevelType w:val="hybridMultilevel"/>
    <w:lvl w:ilvl="0">
      <w:lvlJc w:val="left"/>
      <w:lvlText w:val="%1."/>
      <w:numFmt w:val="decimal"/>
      <w:start w:val="6"/>
    </w:lvl>
  </w:abstractNum>
  <w:abstractNum w:abstractNumId="32">
    <w:nsid w:val="38437FDB"/>
    <w:multiLevelType w:val="hybridMultilevel"/>
    <w:lvl w:ilvl="0">
      <w:lvlJc w:val="left"/>
      <w:lvlText w:val="%1."/>
      <w:numFmt w:val="decimal"/>
      <w:start w:val="7"/>
    </w:lvl>
  </w:abstractNum>
  <w:abstractNum w:abstractNumId="33">
    <w:nsid w:val="7644A45C"/>
    <w:multiLevelType w:val="hybridMultilevel"/>
    <w:lvl w:ilvl="0">
      <w:lvlJc w:val="left"/>
      <w:lvlText w:val="%1."/>
      <w:numFmt w:val="decimal"/>
      <w:start w:val="8"/>
    </w:lvl>
  </w:abstractNum>
  <w:abstractNum w:abstractNumId="34">
    <w:nsid w:val="32FFF902"/>
    <w:multiLevelType w:val="hybridMultilevel"/>
    <w:lvl w:ilvl="0">
      <w:lvlJc w:val="left"/>
      <w:lvlText w:val="%1."/>
      <w:numFmt w:val="decimal"/>
      <w:start w:val="9"/>
    </w:lvl>
    <w:lvl w:ilvl="1">
      <w:lvlJc w:val="left"/>
      <w:lvlText w:val="-"/>
      <w:numFmt w:val="bullet"/>
      <w:start w:val="1"/>
    </w:lvl>
    <w:lvl w:ilvl="2">
      <w:lvlJc w:val="left"/>
      <w:lvlText w:val="(%3)"/>
      <w:numFmt w:val="lowerLetter"/>
      <w:start w:val="1"/>
    </w:lvl>
  </w:abstractNum>
  <w:abstractNum w:abstractNumId="35">
    <w:nsid w:val="684A48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
    <w:nsid w:val="579478F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749ABB43"/>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8">
    <w:nsid w:val="3DC240FB"/>
    <w:multiLevelType w:val="hybridMultilevel"/>
    <w:lvl w:ilvl="0">
      <w:lvlJc w:val="left"/>
      <w:lvlText w:val="%1."/>
      <w:numFmt w:val="decimal"/>
      <w:start w:val="11"/>
    </w:lvl>
  </w:abstractNum>
  <w:abstractNum w:abstractNumId="39">
    <w:nsid w:val="1BA026F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40">
    <w:nsid w:val="79A1DEAA"/>
    <w:multiLevelType w:val="hybridMultilevel"/>
    <w:lvl w:ilvl="0">
      <w:lvlJc w:val="left"/>
      <w:lvlText w:val="%1"/>
      <w:numFmt w:val="lowerLetter"/>
      <w:start w:val="1"/>
    </w:lvl>
    <w:lvl w:ilvl="1">
      <w:lvlJc w:val="left"/>
      <w:lvlText w:val="(%2)"/>
      <w:numFmt w:val="lowerRoman"/>
      <w:start w:val="2"/>
    </w:lvl>
  </w:abstractNum>
  <w:abstractNum w:abstractNumId="41">
    <w:nsid w:val="75C6C33A"/>
    <w:multiLevelType w:val="hybridMultilevel"/>
    <w:lvl w:ilvl="0">
      <w:lvlJc w:val="left"/>
      <w:lvlText w:val="(%1)"/>
      <w:numFmt w:val="lowerLetter"/>
      <w:start w:val="2"/>
    </w:lvl>
    <w:lvl w:ilvl="1">
      <w:lvlJc w:val="left"/>
      <w:lvlText w:val="%2"/>
      <w:numFmt w:val="lowerRoman"/>
      <w:start w:val="1"/>
    </w:lvl>
  </w:abstractNum>
  <w:abstractNum w:abstractNumId="42">
    <w:nsid w:val="12E685FB"/>
    <w:multiLevelType w:val="hybridMultilevel"/>
    <w:lvl w:ilvl="0">
      <w:lvlJc w:val="left"/>
      <w:lvlText w:val="%1"/>
      <w:numFmt w:val="decimal"/>
      <w:start w:val="1"/>
    </w:lvl>
    <w:lvl w:ilvl="1">
      <w:lvlJc w:val="left"/>
      <w:lvlText w:val="(%2)"/>
      <w:numFmt w:val="lowerLetter"/>
      <w:start w:val="3"/>
    </w:lvl>
  </w:abstractNum>
  <w:abstractNum w:abstractNumId="43">
    <w:nsid w:val="70C6A529"/>
    <w:multiLevelType w:val="hybridMultilevel"/>
    <w:lvl w:ilvl="0">
      <w:lvlJc w:val="left"/>
      <w:lvlText w:val="%1."/>
      <w:numFmt w:val="decimal"/>
      <w:start w:val="14"/>
    </w:lvl>
    <w:lvl w:ilvl="1">
      <w:lvlJc w:val="left"/>
      <w:lvlText w:val="%2"/>
      <w:numFmt w:val="lowerLetter"/>
      <w:start w:val="1"/>
    </w:lvl>
  </w:abstractNum>
  <w:abstractNum w:abstractNumId="44">
    <w:nsid w:val="520EEDD1"/>
    <w:multiLevelType w:val="hybridMultilevel"/>
    <w:lvl w:ilvl="0">
      <w:lvlJc w:val="left"/>
      <w:lvlText w:val="%1."/>
      <w:numFmt w:val="decimal"/>
      <w:start w:val="15"/>
    </w:lvl>
  </w:abstractNum>
  <w:abstractNum w:abstractNumId="45">
    <w:nsid w:val="374A3FE6"/>
    <w:multiLevelType w:val="hybridMultilevel"/>
    <w:lvl w:ilvl="0">
      <w:lvlJc w:val="left"/>
      <w:lvlText w:val="%1."/>
      <w:numFmt w:val="decimal"/>
      <w:start w:val="16"/>
    </w:lvl>
    <w:lvl w:ilvl="1">
      <w:lvlJc w:val="left"/>
      <w:lvlText w:val="(%2)"/>
      <w:numFmt w:val="lowerLetter"/>
      <w:start w:val="1"/>
    </w:lvl>
  </w:abstractNum>
  <w:abstractNum w:abstractNumId="46">
    <w:nsid w:val="4F4EF005"/>
    <w:multiLevelType w:val="hybridMultilevel"/>
    <w:lvl w:ilvl="0">
      <w:lvlJc w:val="left"/>
      <w:lvlText w:val="%1."/>
      <w:numFmt w:val="decimal"/>
      <w:start w:val="18"/>
    </w:lvl>
    <w:lvl w:ilvl="1">
      <w:lvlJc w:val="left"/>
      <w:lvlText w:val="(%2)"/>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2"/>
    </w:lvl>
  </w:abstractNum>
  <w:abstractNum w:abstractNumId="48">
    <w:nsid w:val="649BB77C"/>
    <w:multiLevelType w:val="hybridMultilevel"/>
    <w:lvl w:ilvl="0">
      <w:lvlJc w:val="left"/>
      <w:lvlText w:val="%1."/>
      <w:numFmt w:val="decimal"/>
      <w:start w:val="19"/>
    </w:lvl>
    <w:lvl w:ilvl="1">
      <w:lvlJc w:val="left"/>
      <w:lvlText w:val="%2"/>
      <w:numFmt w:val="lowerLetter"/>
      <w:start w:val="1"/>
    </w:lvl>
  </w:abstractNum>
  <w:abstractNum w:abstractNumId="49">
    <w:nsid w:val="275AC794"/>
    <w:multiLevelType w:val="hybridMultilevel"/>
    <w:lvl w:ilvl="0">
      <w:lvlJc w:val="left"/>
      <w:lvlText w:val="%1."/>
      <w:numFmt w:val="decimal"/>
      <w:start w:val="20"/>
    </w:lvl>
  </w:abstractNum>
  <w:abstractNum w:abstractNumId="50">
    <w:nsid w:val="39386575"/>
    <w:multiLevelType w:val="hybridMultilevel"/>
    <w:lvl w:ilvl="0">
      <w:lvlJc w:val="left"/>
      <w:lvlText w:val="%1."/>
      <w:numFmt w:val="decimal"/>
      <w:start w:val="2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7"/>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8"/>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3"/>
    </w:lvl>
  </w:abstractNum>
  <w:abstractNum w:abstractNumId="57">
    <w:nsid w:val="741226BB"/>
    <w:multiLevelType w:val="hybridMultilevel"/>
    <w:lvl w:ilvl="0">
      <w:lvlJc w:val="left"/>
      <w:lvlText w:val="%1."/>
      <w:numFmt w:val="decimal"/>
      <w:start w:val="10"/>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3"/>
    </w:lvl>
  </w:abstractNum>
  <w:abstractNum w:abstractNumId="60">
    <w:nsid w:val="3F6AB60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jpeg"/><Relationship Id="rId59" Type="http://schemas.openxmlformats.org/officeDocument/2006/relationships/image" Target="media/image49.jpe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jpe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jpe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54" Type="http://schemas.openxmlformats.org/officeDocument/2006/relationships/hyperlink" Target="https://www.sec.gov/Archives/edgar/data/81362/000008136219000013/exhibit31.htm" TargetMode="External"/><Relationship Id="rId55" Type="http://schemas.openxmlformats.org/officeDocument/2006/relationships/hyperlink" Target="https://www.sec.gov/Archives/edgar/data/81362/000110465922128616/tm2233147d1_ex3-1.htm" TargetMode="External"/><Relationship Id="rId56" Type="http://schemas.openxmlformats.org/officeDocument/2006/relationships/hyperlink" Target="https://www.sec.gov/ix?doc=/Archives/edgar/data/81362/000008136224000061/kwr-20240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2024-08-05T16:04:22Z</dcterms:created>
  <dcterms:modified xsi:type="dcterms:W3CDTF">2024-08-05T16:04:22Z</dcterms:modified>
</cp:coreProperties>
</file>